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8A2" w:rsidRDefault="00FA077A">
      <w:pPr>
        <w:spacing w:line="259" w:lineRule="auto"/>
        <w:jc w:val="left"/>
        <w:rPr>
          <w:noProof/>
        </w:rPr>
      </w:pPr>
      <w:r>
        <w:rPr>
          <w:noProof/>
          <w:lang w:eastAsia="pl-PL"/>
        </w:rPr>
        <w:drawing>
          <wp:anchor distT="0" distB="0" distL="114300" distR="114300" simplePos="0" relativeHeight="251664384" behindDoc="0" locked="0" layoutInCell="1" allowOverlap="1">
            <wp:simplePos x="0" y="0"/>
            <wp:positionH relativeFrom="column">
              <wp:posOffset>-899322</wp:posOffset>
            </wp:positionH>
            <wp:positionV relativeFrom="paragraph">
              <wp:posOffset>-1074420</wp:posOffset>
            </wp:positionV>
            <wp:extent cx="7560000" cy="10693333"/>
            <wp:effectExtent l="0" t="0" r="3175" b="0"/>
            <wp:wrapNone/>
            <wp:docPr id="2" name="Obraz 2" descr="okładka Strategia ZIT WrOF 2021-2027" title="OKŁAD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wa-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anchor>
        </w:drawing>
      </w:r>
      <w:r w:rsidR="007842AF">
        <w:rPr>
          <w:noProof/>
        </w:rPr>
        <w:t>Fplan</w:t>
      </w:r>
      <w:r w:rsidR="00BA18A2">
        <w:rPr>
          <w:noProof/>
        </w:rPr>
        <w:br w:type="page"/>
      </w:r>
    </w:p>
    <w:p w:rsidR="00956340" w:rsidRDefault="00956340" w:rsidP="00956340">
      <w:pPr>
        <w:jc w:val="left"/>
        <w:rPr>
          <w:b/>
          <w:sz w:val="20"/>
          <w:szCs w:val="20"/>
        </w:rPr>
      </w:pPr>
      <w:r w:rsidRPr="0004236C">
        <w:rPr>
          <w:b/>
          <w:noProof/>
          <w:lang w:eastAsia="pl-PL"/>
        </w:rPr>
        <w:lastRenderedPageBreak/>
        <w:drawing>
          <wp:inline distT="0" distB="0" distL="0" distR="0" wp14:anchorId="3322A755" wp14:editId="537A43BE">
            <wp:extent cx="1343374" cy="1216532"/>
            <wp:effectExtent l="0" t="0" r="0" b="3175"/>
            <wp:docPr id="12" name="Obraz 8" descr="logo ZIT WrOF" title="logo ZIT WrOF"/>
            <wp:cNvGraphicFramePr/>
            <a:graphic xmlns:a="http://schemas.openxmlformats.org/drawingml/2006/main">
              <a:graphicData uri="http://schemas.openxmlformats.org/drawingml/2006/picture">
                <pic:pic xmlns:pic="http://schemas.openxmlformats.org/drawingml/2006/picture">
                  <pic:nvPicPr>
                    <pic:cNvPr id="9" name="Obraz 8" descr="logo ZIT WrO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3374" cy="1216532"/>
                    </a:xfrm>
                    <a:prstGeom prst="rect">
                      <a:avLst/>
                    </a:prstGeom>
                  </pic:spPr>
                </pic:pic>
              </a:graphicData>
            </a:graphic>
          </wp:inline>
        </w:drawing>
      </w:r>
    </w:p>
    <w:p w:rsidR="00956340" w:rsidRDefault="00956340" w:rsidP="00956340">
      <w:pPr>
        <w:jc w:val="left"/>
        <w:rPr>
          <w:b/>
          <w:sz w:val="20"/>
          <w:szCs w:val="20"/>
        </w:rPr>
      </w:pPr>
      <w:r>
        <w:rPr>
          <w:b/>
          <w:noProof/>
          <w:lang w:eastAsia="pl-PL"/>
        </w:rPr>
        <mc:AlternateContent>
          <mc:Choice Requires="wps">
            <w:drawing>
              <wp:inline distT="0" distB="0" distL="0" distR="0" wp14:anchorId="1485B508" wp14:editId="687EA1AF">
                <wp:extent cx="4554855" cy="1114425"/>
                <wp:effectExtent l="0" t="0" r="0" b="0"/>
                <wp:docPr id="1028" name="Prostokąt 16" descr="Zintegrowane Inwestycje Terytorialne&#10;Wrocławskiego Obszaru Funkcjonalnego&#10;" title="Zintegrowane Inwestycje Terytori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4855" cy="1114425"/>
                        </a:xfrm>
                        <a:prstGeom prst="rect">
                          <a:avLst/>
                        </a:prstGeom>
                      </wps:spPr>
                      <wps:txbx>
                        <w:txbxContent>
                          <w:p w:rsidR="00C96A96" w:rsidRPr="00BF186E" w:rsidRDefault="00C96A96" w:rsidP="00956340">
                            <w:pPr>
                              <w:spacing w:after="0" w:line="240" w:lineRule="auto"/>
                              <w:rPr>
                                <w:rFonts w:ascii="Calibri" w:eastAsia="Calibri" w:hAnsi="Calibri"/>
                                <w:kern w:val="24"/>
                                <w:sz w:val="44"/>
                                <w:szCs w:val="44"/>
                              </w:rPr>
                            </w:pPr>
                            <w:r w:rsidRPr="00BF186E">
                              <w:rPr>
                                <w:rFonts w:ascii="Calibri" w:eastAsia="Calibri" w:hAnsi="Calibri"/>
                                <w:kern w:val="24"/>
                                <w:sz w:val="44"/>
                                <w:szCs w:val="44"/>
                              </w:rPr>
                              <w:t>Zintegrowane Inwestycje Terytorialne</w:t>
                            </w:r>
                          </w:p>
                          <w:p w:rsidR="00C96A96" w:rsidRPr="00BF186E" w:rsidRDefault="00C96A96" w:rsidP="00956340">
                            <w:pPr>
                              <w:spacing w:after="0" w:line="240" w:lineRule="auto"/>
                              <w:jc w:val="left"/>
                              <w:rPr>
                                <w:rFonts w:ascii="Calibri" w:eastAsia="Calibri" w:hAnsi="Calibri"/>
                                <w:kern w:val="24"/>
                                <w:sz w:val="44"/>
                                <w:szCs w:val="44"/>
                              </w:rPr>
                            </w:pPr>
                            <w:r w:rsidRPr="00BF186E">
                              <w:rPr>
                                <w:rFonts w:ascii="Calibri" w:eastAsia="Calibri" w:hAnsi="Calibri"/>
                                <w:kern w:val="24"/>
                                <w:sz w:val="44"/>
                                <w:szCs w:val="44"/>
                              </w:rPr>
                              <w:t>Wrocławskiego Obszaru Funkcjonalnego</w:t>
                            </w:r>
                          </w:p>
                        </w:txbxContent>
                      </wps:txbx>
                      <wps:bodyPr wrap="square">
                        <a:spAutoFit/>
                      </wps:bodyPr>
                    </wps:wsp>
                  </a:graphicData>
                </a:graphic>
              </wp:inline>
            </w:drawing>
          </mc:Choice>
          <mc:Fallback>
            <w:pict>
              <v:rect w14:anchorId="1485B508" id="Prostokąt 16" o:spid="_x0000_s1026" alt="Tytuł: Zintegrowane Inwestycje Terytorialne — opis: Zintegrowane Inwestycje Terytorialne&#10;Wrocławskiego Obszaru Funkcjonalnego&#10;" style="width:358.65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" filled="f" stroked="f">
                <v:path arrowok="t"/>
                <v:textbox style="mso-fit-shape-to-text:t">
                  <w:txbxContent>
                    <w:p w:rsidR="00C96A96" w:rsidRPr="00BF186E" w:rsidRDefault="00C96A96" w:rsidP="00956340">
                      <w:pPr>
                        <w:spacing w:after="0" w:line="240" w:lineRule="auto"/>
                        <w:rPr>
                          <w:rFonts w:ascii="Calibri" w:eastAsia="Calibri" w:hAnsi="Calibri"/>
                          <w:kern w:val="24"/>
                          <w:sz w:val="44"/>
                          <w:szCs w:val="44"/>
                        </w:rPr>
                      </w:pPr>
                      <w:r w:rsidRPr="00BF186E">
                        <w:rPr>
                          <w:rFonts w:ascii="Calibri" w:eastAsia="Calibri" w:hAnsi="Calibri"/>
                          <w:kern w:val="24"/>
                          <w:sz w:val="44"/>
                          <w:szCs w:val="44"/>
                        </w:rPr>
                        <w:t>Zintegrowane Inwestycje Terytorialne</w:t>
                      </w:r>
                    </w:p>
                    <w:p w:rsidR="00C96A96" w:rsidRPr="00BF186E" w:rsidRDefault="00C96A96" w:rsidP="00956340">
                      <w:pPr>
                        <w:spacing w:after="0" w:line="240" w:lineRule="auto"/>
                        <w:jc w:val="left"/>
                        <w:rPr>
                          <w:rFonts w:ascii="Calibri" w:eastAsia="Calibri" w:hAnsi="Calibri"/>
                          <w:kern w:val="24"/>
                          <w:sz w:val="44"/>
                          <w:szCs w:val="44"/>
                        </w:rPr>
                      </w:pPr>
                      <w:r w:rsidRPr="00BF186E">
                        <w:rPr>
                          <w:rFonts w:ascii="Calibri" w:eastAsia="Calibri" w:hAnsi="Calibri"/>
                          <w:kern w:val="24"/>
                          <w:sz w:val="44"/>
                          <w:szCs w:val="44"/>
                        </w:rPr>
                        <w:t>Wrocławskiego Obszaru Funkcjonalnego</w:t>
                      </w:r>
                    </w:p>
                  </w:txbxContent>
                </v:textbox>
                <w10:anchorlock/>
              </v:rect>
            </w:pict>
          </mc:Fallback>
        </mc:AlternateContent>
      </w:r>
    </w:p>
    <w:p w:rsidR="00956340" w:rsidRPr="002F1087" w:rsidRDefault="00956340" w:rsidP="00956340">
      <w:pPr>
        <w:spacing w:line="240" w:lineRule="auto"/>
        <w:jc w:val="left"/>
        <w:rPr>
          <w:b/>
          <w:color w:val="276E8B"/>
          <w:sz w:val="24"/>
          <w:szCs w:val="24"/>
        </w:rPr>
      </w:pPr>
      <w:r w:rsidRPr="002F1087">
        <w:rPr>
          <w:b/>
          <w:color w:val="276E8B"/>
          <w:sz w:val="24"/>
          <w:szCs w:val="24"/>
        </w:rPr>
        <w:t>Opracowanie Strategii Zintegrowanych Inwestycji Terytorialnych Wrocławskiego Obszaru Funkcjonalnego Biuro Zintegrowanych Inwestycji Terytorialnych w składzie:</w:t>
      </w:r>
    </w:p>
    <w:p w:rsidR="00956340" w:rsidRPr="002F1087" w:rsidRDefault="00956340" w:rsidP="00956340">
      <w:pPr>
        <w:pStyle w:val="Akapitzlist"/>
        <w:numPr>
          <w:ilvl w:val="0"/>
          <w:numId w:val="23"/>
        </w:numPr>
        <w:spacing w:after="0" w:line="276" w:lineRule="auto"/>
        <w:ind w:left="641" w:hanging="357"/>
        <w:jc w:val="left"/>
        <w:rPr>
          <w:sz w:val="24"/>
          <w:szCs w:val="24"/>
        </w:rPr>
      </w:pPr>
      <w:r w:rsidRPr="002F1087">
        <w:rPr>
          <w:sz w:val="24"/>
          <w:szCs w:val="24"/>
        </w:rPr>
        <w:t>Magdalena Wdowiak-Urbańczyk</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Magdalena Koprowska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Marcin Rotuski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Daria </w:t>
      </w:r>
      <w:proofErr w:type="spellStart"/>
      <w:r w:rsidRPr="002F1087">
        <w:rPr>
          <w:sz w:val="24"/>
          <w:szCs w:val="24"/>
        </w:rPr>
        <w:t>Gilar</w:t>
      </w:r>
      <w:proofErr w:type="spellEnd"/>
      <w:r w:rsidRPr="002F1087">
        <w:rPr>
          <w:sz w:val="24"/>
          <w:szCs w:val="24"/>
        </w:rPr>
        <w:t xml:space="preserve">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Agnieszka Głowińska</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Daniel Góra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Karolina </w:t>
      </w:r>
      <w:proofErr w:type="spellStart"/>
      <w:r w:rsidRPr="002F1087">
        <w:rPr>
          <w:sz w:val="24"/>
          <w:szCs w:val="24"/>
        </w:rPr>
        <w:t>Jurcewicz</w:t>
      </w:r>
      <w:proofErr w:type="spellEnd"/>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Róża Kilijańska</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Małgorzata Medyk</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Ewa Rucińska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 xml:space="preserve">Małgorzata Sawczak </w:t>
      </w:r>
    </w:p>
    <w:p w:rsidR="00956340" w:rsidRPr="002F1087" w:rsidRDefault="00956340" w:rsidP="00956340">
      <w:pPr>
        <w:pStyle w:val="Akapitzlist"/>
        <w:numPr>
          <w:ilvl w:val="0"/>
          <w:numId w:val="23"/>
        </w:numPr>
        <w:spacing w:after="200" w:line="276" w:lineRule="auto"/>
        <w:jc w:val="left"/>
        <w:rPr>
          <w:sz w:val="24"/>
          <w:szCs w:val="24"/>
        </w:rPr>
      </w:pPr>
      <w:r w:rsidRPr="002F1087">
        <w:rPr>
          <w:sz w:val="24"/>
          <w:szCs w:val="24"/>
        </w:rPr>
        <w:t>Małgorzata Wierzchołek</w:t>
      </w:r>
    </w:p>
    <w:p w:rsidR="00956340" w:rsidRPr="002F1087" w:rsidRDefault="00956340" w:rsidP="00956340">
      <w:pPr>
        <w:spacing w:line="240" w:lineRule="auto"/>
        <w:ind w:right="-426"/>
        <w:jc w:val="left"/>
        <w:rPr>
          <w:b/>
          <w:color w:val="276E8B"/>
          <w:sz w:val="24"/>
          <w:szCs w:val="24"/>
        </w:rPr>
      </w:pPr>
      <w:r w:rsidRPr="002F1087">
        <w:rPr>
          <w:b/>
          <w:color w:val="276E8B"/>
          <w:sz w:val="24"/>
          <w:szCs w:val="24"/>
        </w:rPr>
        <w:t>Współpraca przy Strategii Zintegrowanych Inwestycji Terytorialnych Wrocławskiego Obszaru Funkcjonalnego:</w:t>
      </w:r>
    </w:p>
    <w:p w:rsidR="00956340" w:rsidRDefault="00956340" w:rsidP="00956340">
      <w:pPr>
        <w:spacing w:after="200" w:line="276" w:lineRule="auto"/>
        <w:jc w:val="left"/>
        <w:rPr>
          <w:rFonts w:ascii="Calibri" w:eastAsia="Times New Roman" w:hAnsi="Calibri" w:cs="Times New Roman"/>
          <w:sz w:val="24"/>
          <w:szCs w:val="24"/>
          <w:lang w:eastAsia="pl-PL"/>
        </w:rPr>
      </w:pPr>
      <w:r w:rsidRPr="002F1087">
        <w:rPr>
          <w:sz w:val="24"/>
          <w:szCs w:val="24"/>
        </w:rPr>
        <w:t>Stowarzyszenie</w:t>
      </w:r>
      <w:r w:rsidRPr="002F1087">
        <w:rPr>
          <w:rFonts w:ascii="Calibri" w:eastAsia="Times New Roman" w:hAnsi="Calibri" w:cs="Times New Roman"/>
          <w:sz w:val="24"/>
          <w:szCs w:val="24"/>
          <w:lang w:eastAsia="pl-PL"/>
        </w:rPr>
        <w:t xml:space="preserve"> Wspierania Inicjatyw Gospodarczych DELTA PARTNER, 43-400 Cieszyn, ul. Zamkowa 3a/1 </w:t>
      </w:r>
    </w:p>
    <w:p w:rsidR="00956340" w:rsidRDefault="00956340" w:rsidP="00956340">
      <w:pPr>
        <w:spacing w:after="200" w:line="276" w:lineRule="auto"/>
        <w:jc w:val="left"/>
        <w:rPr>
          <w:rFonts w:ascii="Calibri" w:eastAsia="Times New Roman" w:hAnsi="Calibri" w:cs="Times New Roman"/>
          <w:sz w:val="24"/>
          <w:szCs w:val="24"/>
          <w:lang w:eastAsia="pl-PL"/>
        </w:rPr>
      </w:pPr>
    </w:p>
    <w:p w:rsidR="00956340" w:rsidRPr="002F1087" w:rsidRDefault="00956340" w:rsidP="00956340">
      <w:pPr>
        <w:spacing w:after="200" w:line="276" w:lineRule="auto"/>
        <w:jc w:val="left"/>
        <w:rPr>
          <w:rFonts w:ascii="Calibri" w:eastAsia="Times New Roman" w:hAnsi="Calibri" w:cs="Times New Roman"/>
          <w:sz w:val="24"/>
          <w:szCs w:val="24"/>
          <w:lang w:eastAsia="pl-PL"/>
        </w:rPr>
      </w:pPr>
      <w:r w:rsidRPr="002F1087">
        <w:rPr>
          <w:noProof/>
          <w:sz w:val="24"/>
          <w:szCs w:val="24"/>
          <w:lang w:eastAsia="pl-PL"/>
        </w:rPr>
        <w:drawing>
          <wp:inline distT="0" distB="0" distL="0" distR="0" wp14:anchorId="5D0DB61A" wp14:editId="720FE320">
            <wp:extent cx="5760720" cy="581424"/>
            <wp:effectExtent l="0" t="0" r="0" b="0"/>
            <wp:docPr id="13" name="Obraz 7" descr="logo Funduszy Europejskich Pomocy Technicznej, Rzeczpospolitej Polski i Funduszu Spójności" title="logo Funduszy Europejskich Pomocy Technicznej, Rzeczpospolitej Polski i Funduszu Spójności"/>
            <wp:cNvGraphicFramePr/>
            <a:graphic xmlns:a="http://schemas.openxmlformats.org/drawingml/2006/main">
              <a:graphicData uri="http://schemas.openxmlformats.org/drawingml/2006/picture">
                <pic:pic xmlns:pic="http://schemas.openxmlformats.org/drawingml/2006/picture">
                  <pic:nvPicPr>
                    <pic:cNvPr id="8" name="Obraz 7" descr="logo Funduszy Europejskich Pomocy Technicznej, Rzeczpospolitej Polski i Funduszu Spójności"/>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581424"/>
                    </a:xfrm>
                    <a:prstGeom prst="rect">
                      <a:avLst/>
                    </a:prstGeom>
                  </pic:spPr>
                </pic:pic>
              </a:graphicData>
            </a:graphic>
          </wp:inline>
        </w:drawing>
      </w:r>
    </w:p>
    <w:p w:rsidR="006C0F6E" w:rsidRDefault="00956340" w:rsidP="00E566A5">
      <w:pPr>
        <w:spacing w:after="200" w:line="276" w:lineRule="auto"/>
        <w:jc w:val="left"/>
        <w:rPr>
          <w:rFonts w:eastAsia="Calibri" w:cstheme="minorHAnsi"/>
          <w:b/>
          <w:color w:val="276E8B"/>
          <w:sz w:val="24"/>
        </w:rPr>
      </w:pPr>
      <w:r w:rsidRPr="002F1087">
        <w:rPr>
          <w:noProof/>
          <w:sz w:val="24"/>
          <w:szCs w:val="24"/>
          <w:lang w:eastAsia="pl-PL"/>
        </w:rPr>
        <mc:AlternateContent>
          <mc:Choice Requires="wps">
            <w:drawing>
              <wp:inline distT="0" distB="0" distL="0" distR="0" wp14:anchorId="6689411A" wp14:editId="3A9373AA">
                <wp:extent cx="5760720" cy="523875"/>
                <wp:effectExtent l="0" t="0" r="0" b="9525"/>
                <wp:docPr id="10" name="Prostokąt 5" descr="napis: Projekt współfinansowany ze środków Funduszu Spójności &#10;w ramach Programu Operacyjnego Pomoc Techniczna na lata 2014-2020&#10;" title="Projekt współfinansowany ze środków Funduszu Spójności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5238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6A96" w:rsidRPr="00896669" w:rsidRDefault="00C96A96" w:rsidP="00956340">
                            <w:pPr>
                              <w:spacing w:after="0"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 xml:space="preserve">Projekt współfinansowany ze środków Funduszu Spójności </w:t>
                            </w:r>
                          </w:p>
                          <w:p w:rsidR="00C96A96" w:rsidRPr="00896669" w:rsidRDefault="00C96A96" w:rsidP="00956340">
                            <w:pPr>
                              <w:spacing w:after="0"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w ramach Programu Operacyjnego Pomoc Techniczna na lata 2014-2020</w:t>
                            </w:r>
                          </w:p>
                        </w:txbxContent>
                      </wps:txbx>
                      <wps:bodyPr rot="0" vert="horz" wrap="square" lIns="91440" tIns="45720" rIns="91440" bIns="45720" anchor="t" anchorCtr="0" upright="1">
                        <a:noAutofit/>
                      </wps:bodyPr>
                    </wps:wsp>
                  </a:graphicData>
                </a:graphic>
              </wp:inline>
            </w:drawing>
          </mc:Choice>
          <mc:Fallback>
            <w:pict>
              <v:rect w14:anchorId="6689411A" id="Prostokąt 5" o:spid="_x0000_s1027" alt="Tytuł: Projekt współfinansowany ze środków Funduszu Spójności  — opis: napis: Projekt współfinansowany ze środków Funduszu Spójności &#10;w ramach Programu Operacyjnego Pomoc Techniczna na lata 2014-2020&#10;" style="width:453.6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" fillcolor="white [3212]" stroked="f">
                <v:path arrowok="t"/>
                <v:textbox>
                  <w:txbxContent>
                    <w:p w:rsidR="00C96A96" w:rsidRPr="00896669" w:rsidRDefault="00C96A96" w:rsidP="00956340">
                      <w:pPr>
                        <w:spacing w:after="0"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 xml:space="preserve">Projekt współfinansowany ze środków Funduszu Spójności </w:t>
                      </w:r>
                    </w:p>
                    <w:p w:rsidR="00C96A96" w:rsidRPr="00896669" w:rsidRDefault="00C96A96" w:rsidP="00956340">
                      <w:pPr>
                        <w:spacing w:after="0" w:line="240" w:lineRule="auto"/>
                        <w:jc w:val="center"/>
                        <w:rPr>
                          <w:rFonts w:ascii="Calibri" w:eastAsia="Calibri" w:hAnsi="Calibri"/>
                          <w:color w:val="000000" w:themeColor="text1"/>
                          <w:kern w:val="24"/>
                          <w:sz w:val="20"/>
                          <w:szCs w:val="20"/>
                        </w:rPr>
                      </w:pPr>
                      <w:r w:rsidRPr="00896669">
                        <w:rPr>
                          <w:rFonts w:ascii="Calibri" w:eastAsia="Calibri" w:hAnsi="Calibri"/>
                          <w:color w:val="000000" w:themeColor="text1"/>
                          <w:kern w:val="24"/>
                          <w:sz w:val="20"/>
                          <w:szCs w:val="20"/>
                        </w:rPr>
                        <w:t>w ramach Programu Operacyjnego Pomoc Techniczna na lata 2014-2020</w:t>
                      </w:r>
                    </w:p>
                  </w:txbxContent>
                </v:textbox>
                <w10:anchorlock/>
              </v:rect>
            </w:pict>
          </mc:Fallback>
        </mc:AlternateContent>
      </w:r>
      <w:r>
        <w:rPr>
          <w:noProof/>
          <w:lang w:eastAsia="pl-PL"/>
        </w:rPr>
        <mc:AlternateContent>
          <mc:Choice Requires="wps">
            <w:drawing>
              <wp:anchor distT="0" distB="0" distL="114300" distR="114300" simplePos="0" relativeHeight="251776000" behindDoc="1" locked="0" layoutInCell="1" allowOverlap="1" wp14:anchorId="45C905D7" wp14:editId="4BF1F514">
                <wp:simplePos x="0" y="0"/>
                <wp:positionH relativeFrom="column">
                  <wp:posOffset>-322580</wp:posOffset>
                </wp:positionH>
                <wp:positionV relativeFrom="paragraph">
                  <wp:posOffset>8795385</wp:posOffset>
                </wp:positionV>
                <wp:extent cx="6607810" cy="751205"/>
                <wp:effectExtent l="0" t="0" r="2540" b="0"/>
                <wp:wrapNone/>
                <wp:docPr id="1027" name="Prostokąt 313">
                  <a:extLst xmlns:a="http://schemas.openxmlformats.org/drawingml/2006/main">
                    <a:ext uri="{C183D7F6-B498-43B3-948B-1728B52AA6E4}">
                      <adec:decorative xmlns:arto="http://schemas.microsoft.com/office/word/2006/arto"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512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006C4D" id="Prostokąt 313" o:spid="_x0000_s1026" style="position:absolute;margin-left:-25.4pt;margin-top:692.55pt;width:520.3pt;height:59.1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" fillcolor="white [3212]" strokecolor="white [3212]" strokeweight="1pt">
                <v:path arrowok="t"/>
              </v:rect>
            </w:pict>
          </mc:Fallback>
        </mc:AlternateContent>
      </w:r>
      <w:r w:rsidRPr="00C711CD">
        <w:rPr>
          <w:b/>
        </w:rPr>
        <w:br w:type="page"/>
      </w:r>
      <w:bookmarkStart w:id="0" w:name="_Toc117164475"/>
      <w:bookmarkStart w:id="1" w:name="_Toc117164574"/>
    </w:p>
    <w:p w:rsidR="00A1431D" w:rsidRDefault="00A1431D" w:rsidP="00E566A5">
      <w:pPr>
        <w:spacing w:after="200" w:line="276" w:lineRule="auto"/>
        <w:jc w:val="left"/>
        <w:rPr>
          <w:rFonts w:eastAsia="Calibri" w:cstheme="minorHAnsi"/>
          <w:b/>
          <w:color w:val="000000" w:themeColor="text1"/>
          <w:sz w:val="32"/>
          <w:szCs w:val="32"/>
        </w:rPr>
      </w:pPr>
      <w:r w:rsidRPr="00A1431D">
        <w:rPr>
          <w:rFonts w:eastAsia="Calibri" w:cstheme="minorHAnsi"/>
          <w:b/>
          <w:color w:val="000000" w:themeColor="text1"/>
          <w:sz w:val="32"/>
          <w:szCs w:val="32"/>
        </w:rPr>
        <w:lastRenderedPageBreak/>
        <w:t>Spis treści</w:t>
      </w:r>
    </w:p>
    <w:p w:rsidR="00A1431D" w:rsidRDefault="00A1431D" w:rsidP="00BE5D1B">
      <w:pPr>
        <w:pStyle w:val="Spistreci1"/>
        <w:tabs>
          <w:tab w:val="right" w:leader="dot" w:pos="9062"/>
        </w:tabs>
        <w:jc w:val="left"/>
        <w:rPr>
          <w:rFonts w:eastAsiaTheme="minorEastAsia"/>
          <w:b w:val="0"/>
          <w:noProof/>
          <w:color w:val="auto"/>
          <w:sz w:val="22"/>
          <w:lang w:eastAsia="pl-PL"/>
        </w:rPr>
      </w:pPr>
      <w:r>
        <w:rPr>
          <w:rFonts w:eastAsia="Calibri" w:cstheme="minorHAnsi"/>
          <w:b w:val="0"/>
          <w:sz w:val="32"/>
          <w:szCs w:val="32"/>
        </w:rPr>
        <w:fldChar w:fldCharType="begin"/>
      </w:r>
      <w:r>
        <w:rPr>
          <w:rFonts w:eastAsia="Calibri" w:cstheme="minorHAnsi"/>
          <w:b w:val="0"/>
          <w:sz w:val="32"/>
          <w:szCs w:val="32"/>
        </w:rPr>
        <w:instrText xml:space="preserve"> TOC \o "1-3" \h \z \u </w:instrText>
      </w:r>
      <w:r>
        <w:rPr>
          <w:rFonts w:eastAsia="Calibri" w:cstheme="minorHAnsi"/>
          <w:b w:val="0"/>
          <w:sz w:val="32"/>
          <w:szCs w:val="32"/>
        </w:rPr>
        <w:fldChar w:fldCharType="separate"/>
      </w:r>
      <w:hyperlink w:anchor="_Toc143673197" w:history="1">
        <w:r w:rsidRPr="00441553">
          <w:rPr>
            <w:rStyle w:val="Hipercze"/>
            <w:noProof/>
          </w:rPr>
          <w:t>Wstęp</w:t>
        </w:r>
        <w:r>
          <w:rPr>
            <w:noProof/>
            <w:webHidden/>
          </w:rPr>
          <w:tab/>
        </w:r>
        <w:r>
          <w:rPr>
            <w:noProof/>
            <w:webHidden/>
          </w:rPr>
          <w:fldChar w:fldCharType="begin"/>
        </w:r>
        <w:r>
          <w:rPr>
            <w:noProof/>
            <w:webHidden/>
          </w:rPr>
          <w:instrText xml:space="preserve"> PAGEREF _Toc143673197 \h </w:instrText>
        </w:r>
        <w:r>
          <w:rPr>
            <w:noProof/>
            <w:webHidden/>
          </w:rPr>
        </w:r>
        <w:r>
          <w:rPr>
            <w:noProof/>
            <w:webHidden/>
          </w:rPr>
          <w:fldChar w:fldCharType="separate"/>
        </w:r>
        <w:r w:rsidR="00C96A96">
          <w:rPr>
            <w:noProof/>
            <w:webHidden/>
          </w:rPr>
          <w:t>7</w:t>
        </w:r>
        <w:r>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198" w:history="1">
        <w:r w:rsidR="00A1431D" w:rsidRPr="00441553">
          <w:rPr>
            <w:rStyle w:val="Hipercze"/>
            <w:noProof/>
          </w:rPr>
          <w:t>I. Wprowadzenie</w:t>
        </w:r>
        <w:r w:rsidR="00A1431D">
          <w:rPr>
            <w:noProof/>
            <w:webHidden/>
          </w:rPr>
          <w:tab/>
        </w:r>
        <w:r w:rsidR="00A1431D">
          <w:rPr>
            <w:noProof/>
            <w:webHidden/>
          </w:rPr>
          <w:fldChar w:fldCharType="begin"/>
        </w:r>
        <w:r w:rsidR="00A1431D">
          <w:rPr>
            <w:noProof/>
            <w:webHidden/>
          </w:rPr>
          <w:instrText xml:space="preserve"> PAGEREF _Toc143673198 \h </w:instrText>
        </w:r>
        <w:r w:rsidR="00A1431D">
          <w:rPr>
            <w:noProof/>
            <w:webHidden/>
          </w:rPr>
        </w:r>
        <w:r w:rsidR="00A1431D">
          <w:rPr>
            <w:noProof/>
            <w:webHidden/>
          </w:rPr>
          <w:fldChar w:fldCharType="separate"/>
        </w:r>
        <w:r>
          <w:rPr>
            <w:noProof/>
            <w:webHidden/>
          </w:rPr>
          <w:t>9</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199" w:history="1">
        <w:r w:rsidR="00A1431D" w:rsidRPr="00441553">
          <w:rPr>
            <w:rStyle w:val="Hipercze"/>
            <w:noProof/>
          </w:rPr>
          <w:t>I.1 Obszar ZIT WrOF</w:t>
        </w:r>
        <w:r w:rsidR="00A1431D">
          <w:rPr>
            <w:noProof/>
            <w:webHidden/>
          </w:rPr>
          <w:tab/>
        </w:r>
        <w:r w:rsidR="00A1431D">
          <w:rPr>
            <w:noProof/>
            <w:webHidden/>
          </w:rPr>
          <w:fldChar w:fldCharType="begin"/>
        </w:r>
        <w:r w:rsidR="00A1431D">
          <w:rPr>
            <w:noProof/>
            <w:webHidden/>
          </w:rPr>
          <w:instrText xml:space="preserve"> PAGEREF _Toc143673199 \h </w:instrText>
        </w:r>
        <w:r w:rsidR="00A1431D">
          <w:rPr>
            <w:noProof/>
            <w:webHidden/>
          </w:rPr>
        </w:r>
        <w:r w:rsidR="00A1431D">
          <w:rPr>
            <w:noProof/>
            <w:webHidden/>
          </w:rPr>
          <w:fldChar w:fldCharType="separate"/>
        </w:r>
        <w:r>
          <w:rPr>
            <w:noProof/>
            <w:webHidden/>
          </w:rPr>
          <w:t>9</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0" w:history="1">
        <w:r w:rsidR="00A1431D" w:rsidRPr="00441553">
          <w:rPr>
            <w:rStyle w:val="Hipercze"/>
            <w:noProof/>
          </w:rPr>
          <w:t>I.2 Podstawa prawna</w:t>
        </w:r>
        <w:r w:rsidR="00A1431D">
          <w:rPr>
            <w:noProof/>
            <w:webHidden/>
          </w:rPr>
          <w:tab/>
        </w:r>
        <w:r w:rsidR="00A1431D">
          <w:rPr>
            <w:noProof/>
            <w:webHidden/>
          </w:rPr>
          <w:fldChar w:fldCharType="begin"/>
        </w:r>
        <w:r w:rsidR="00A1431D">
          <w:rPr>
            <w:noProof/>
            <w:webHidden/>
          </w:rPr>
          <w:instrText xml:space="preserve"> PAGEREF _Toc143673200 \h </w:instrText>
        </w:r>
        <w:r w:rsidR="00A1431D">
          <w:rPr>
            <w:noProof/>
            <w:webHidden/>
          </w:rPr>
        </w:r>
        <w:r w:rsidR="00A1431D">
          <w:rPr>
            <w:noProof/>
            <w:webHidden/>
          </w:rPr>
          <w:fldChar w:fldCharType="separate"/>
        </w:r>
        <w:r>
          <w:rPr>
            <w:noProof/>
            <w:webHidden/>
          </w:rPr>
          <w:t>10</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1" w:history="1">
        <w:r w:rsidR="00A1431D" w:rsidRPr="00441553">
          <w:rPr>
            <w:rStyle w:val="Hipercze"/>
            <w:rFonts w:cstheme="minorHAnsi"/>
            <w:noProof/>
          </w:rPr>
          <w:t>I.3 Struktura i elementy strategii</w:t>
        </w:r>
        <w:r w:rsidR="00A1431D">
          <w:rPr>
            <w:noProof/>
            <w:webHidden/>
          </w:rPr>
          <w:tab/>
        </w:r>
        <w:r w:rsidR="00A1431D">
          <w:rPr>
            <w:noProof/>
            <w:webHidden/>
          </w:rPr>
          <w:fldChar w:fldCharType="begin"/>
        </w:r>
        <w:r w:rsidR="00A1431D">
          <w:rPr>
            <w:noProof/>
            <w:webHidden/>
          </w:rPr>
          <w:instrText xml:space="preserve"> PAGEREF _Toc143673201 \h </w:instrText>
        </w:r>
        <w:r w:rsidR="00A1431D">
          <w:rPr>
            <w:noProof/>
            <w:webHidden/>
          </w:rPr>
        </w:r>
        <w:r w:rsidR="00A1431D">
          <w:rPr>
            <w:noProof/>
            <w:webHidden/>
          </w:rPr>
          <w:fldChar w:fldCharType="separate"/>
        </w:r>
        <w:r>
          <w:rPr>
            <w:noProof/>
            <w:webHidden/>
          </w:rPr>
          <w:t>12</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2" w:history="1">
        <w:r w:rsidR="00A1431D" w:rsidRPr="00441553">
          <w:rPr>
            <w:rStyle w:val="Hipercze"/>
            <w:rFonts w:cstheme="minorHAnsi"/>
            <w:noProof/>
          </w:rPr>
          <w:t>I.4 Metodyka opracowania</w:t>
        </w:r>
        <w:r w:rsidR="00A1431D">
          <w:rPr>
            <w:noProof/>
            <w:webHidden/>
          </w:rPr>
          <w:tab/>
        </w:r>
        <w:r w:rsidR="00A1431D">
          <w:rPr>
            <w:noProof/>
            <w:webHidden/>
          </w:rPr>
          <w:fldChar w:fldCharType="begin"/>
        </w:r>
        <w:r w:rsidR="00A1431D">
          <w:rPr>
            <w:noProof/>
            <w:webHidden/>
          </w:rPr>
          <w:instrText xml:space="preserve"> PAGEREF _Toc143673202 \h </w:instrText>
        </w:r>
        <w:r w:rsidR="00A1431D">
          <w:rPr>
            <w:noProof/>
            <w:webHidden/>
          </w:rPr>
        </w:r>
        <w:r w:rsidR="00A1431D">
          <w:rPr>
            <w:noProof/>
            <w:webHidden/>
          </w:rPr>
          <w:fldChar w:fldCharType="separate"/>
        </w:r>
        <w:r>
          <w:rPr>
            <w:noProof/>
            <w:webHidden/>
          </w:rPr>
          <w:t>12</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03" w:history="1">
        <w:r w:rsidR="00A1431D" w:rsidRPr="00441553">
          <w:rPr>
            <w:rStyle w:val="Hipercze"/>
            <w:noProof/>
          </w:rPr>
          <w:t>II. Synteza diagnozy strategicznej obszaru WrOF</w:t>
        </w:r>
        <w:r w:rsidR="00A1431D">
          <w:rPr>
            <w:noProof/>
            <w:webHidden/>
          </w:rPr>
          <w:tab/>
        </w:r>
        <w:r w:rsidR="00A1431D">
          <w:rPr>
            <w:noProof/>
            <w:webHidden/>
          </w:rPr>
          <w:fldChar w:fldCharType="begin"/>
        </w:r>
        <w:r w:rsidR="00A1431D">
          <w:rPr>
            <w:noProof/>
            <w:webHidden/>
          </w:rPr>
          <w:instrText xml:space="preserve"> PAGEREF _Toc143673203 \h </w:instrText>
        </w:r>
        <w:r w:rsidR="00A1431D">
          <w:rPr>
            <w:noProof/>
            <w:webHidden/>
          </w:rPr>
        </w:r>
        <w:r w:rsidR="00A1431D">
          <w:rPr>
            <w:noProof/>
            <w:webHidden/>
          </w:rPr>
          <w:fldChar w:fldCharType="separate"/>
        </w:r>
        <w:r>
          <w:rPr>
            <w:noProof/>
            <w:webHidden/>
          </w:rPr>
          <w:t>15</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4" w:history="1">
        <w:r w:rsidR="00A1431D" w:rsidRPr="00441553">
          <w:rPr>
            <w:rStyle w:val="Hipercze"/>
            <w:noProof/>
          </w:rPr>
          <w:t>II.1 Uwarunkowania wynikające z położenia geograficznego</w:t>
        </w:r>
        <w:r w:rsidR="00A1431D">
          <w:rPr>
            <w:noProof/>
            <w:webHidden/>
          </w:rPr>
          <w:tab/>
        </w:r>
        <w:r w:rsidR="00A1431D">
          <w:rPr>
            <w:noProof/>
            <w:webHidden/>
          </w:rPr>
          <w:fldChar w:fldCharType="begin"/>
        </w:r>
        <w:r w:rsidR="00A1431D">
          <w:rPr>
            <w:noProof/>
            <w:webHidden/>
          </w:rPr>
          <w:instrText xml:space="preserve"> PAGEREF _Toc143673204 \h </w:instrText>
        </w:r>
        <w:r w:rsidR="00A1431D">
          <w:rPr>
            <w:noProof/>
            <w:webHidden/>
          </w:rPr>
        </w:r>
        <w:r w:rsidR="00A1431D">
          <w:rPr>
            <w:noProof/>
            <w:webHidden/>
          </w:rPr>
          <w:fldChar w:fldCharType="separate"/>
        </w:r>
        <w:r>
          <w:rPr>
            <w:noProof/>
            <w:webHidden/>
          </w:rPr>
          <w:t>17</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5" w:history="1">
        <w:r w:rsidR="00A1431D" w:rsidRPr="00441553">
          <w:rPr>
            <w:rStyle w:val="Hipercze"/>
            <w:noProof/>
          </w:rPr>
          <w:t>II.2 Mobilność</w:t>
        </w:r>
        <w:r w:rsidR="00A1431D">
          <w:rPr>
            <w:noProof/>
            <w:webHidden/>
          </w:rPr>
          <w:tab/>
        </w:r>
        <w:r w:rsidR="00A1431D">
          <w:rPr>
            <w:noProof/>
            <w:webHidden/>
          </w:rPr>
          <w:fldChar w:fldCharType="begin"/>
        </w:r>
        <w:r w:rsidR="00A1431D">
          <w:rPr>
            <w:noProof/>
            <w:webHidden/>
          </w:rPr>
          <w:instrText xml:space="preserve"> PAGEREF _Toc143673205 \h </w:instrText>
        </w:r>
        <w:r w:rsidR="00A1431D">
          <w:rPr>
            <w:noProof/>
            <w:webHidden/>
          </w:rPr>
        </w:r>
        <w:r w:rsidR="00A1431D">
          <w:rPr>
            <w:noProof/>
            <w:webHidden/>
          </w:rPr>
          <w:fldChar w:fldCharType="separate"/>
        </w:r>
        <w:r>
          <w:rPr>
            <w:noProof/>
            <w:webHidden/>
          </w:rPr>
          <w:t>20</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6" w:history="1">
        <w:r w:rsidR="00A1431D" w:rsidRPr="00441553">
          <w:rPr>
            <w:rStyle w:val="Hipercze"/>
            <w:noProof/>
          </w:rPr>
          <w:t>II.3 Łączność i komunikacja elektroniczna</w:t>
        </w:r>
        <w:r w:rsidR="00A1431D">
          <w:rPr>
            <w:noProof/>
            <w:webHidden/>
          </w:rPr>
          <w:tab/>
        </w:r>
        <w:r w:rsidR="00A1431D">
          <w:rPr>
            <w:noProof/>
            <w:webHidden/>
          </w:rPr>
          <w:fldChar w:fldCharType="begin"/>
        </w:r>
        <w:r w:rsidR="00A1431D">
          <w:rPr>
            <w:noProof/>
            <w:webHidden/>
          </w:rPr>
          <w:instrText xml:space="preserve"> PAGEREF _Toc143673206 \h </w:instrText>
        </w:r>
        <w:r w:rsidR="00A1431D">
          <w:rPr>
            <w:noProof/>
            <w:webHidden/>
          </w:rPr>
        </w:r>
        <w:r w:rsidR="00A1431D">
          <w:rPr>
            <w:noProof/>
            <w:webHidden/>
          </w:rPr>
          <w:fldChar w:fldCharType="separate"/>
        </w:r>
        <w:r>
          <w:rPr>
            <w:noProof/>
            <w:webHidden/>
          </w:rPr>
          <w:t>31</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7" w:history="1">
        <w:r w:rsidR="00A1431D" w:rsidRPr="00441553">
          <w:rPr>
            <w:rStyle w:val="Hipercze"/>
            <w:noProof/>
          </w:rPr>
          <w:t>II.4 Ludność i procesy demograficzne</w:t>
        </w:r>
        <w:r w:rsidR="00A1431D">
          <w:rPr>
            <w:noProof/>
            <w:webHidden/>
          </w:rPr>
          <w:tab/>
        </w:r>
        <w:r w:rsidR="00A1431D">
          <w:rPr>
            <w:noProof/>
            <w:webHidden/>
          </w:rPr>
          <w:fldChar w:fldCharType="begin"/>
        </w:r>
        <w:r w:rsidR="00A1431D">
          <w:rPr>
            <w:noProof/>
            <w:webHidden/>
          </w:rPr>
          <w:instrText xml:space="preserve"> PAGEREF _Toc143673207 \h </w:instrText>
        </w:r>
        <w:r w:rsidR="00A1431D">
          <w:rPr>
            <w:noProof/>
            <w:webHidden/>
          </w:rPr>
        </w:r>
        <w:r w:rsidR="00A1431D">
          <w:rPr>
            <w:noProof/>
            <w:webHidden/>
          </w:rPr>
          <w:fldChar w:fldCharType="separate"/>
        </w:r>
        <w:r>
          <w:rPr>
            <w:noProof/>
            <w:webHidden/>
          </w:rPr>
          <w:t>34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8" w:history="1">
        <w:r w:rsidR="00A1431D" w:rsidRPr="00441553">
          <w:rPr>
            <w:rStyle w:val="Hipercze"/>
            <w:noProof/>
          </w:rPr>
          <w:t>II.5 Gospodarka i rynek pracy</w:t>
        </w:r>
        <w:r w:rsidR="00A1431D">
          <w:rPr>
            <w:noProof/>
            <w:webHidden/>
          </w:rPr>
          <w:tab/>
        </w:r>
        <w:r w:rsidR="00A1431D">
          <w:rPr>
            <w:noProof/>
            <w:webHidden/>
          </w:rPr>
          <w:fldChar w:fldCharType="begin"/>
        </w:r>
        <w:r w:rsidR="00A1431D">
          <w:rPr>
            <w:noProof/>
            <w:webHidden/>
          </w:rPr>
          <w:instrText xml:space="preserve"> PAGEREF _Toc143673208 \h </w:instrText>
        </w:r>
        <w:r w:rsidR="00A1431D">
          <w:rPr>
            <w:noProof/>
            <w:webHidden/>
          </w:rPr>
        </w:r>
        <w:r w:rsidR="00A1431D">
          <w:rPr>
            <w:noProof/>
            <w:webHidden/>
          </w:rPr>
          <w:fldChar w:fldCharType="separate"/>
        </w:r>
        <w:r>
          <w:rPr>
            <w:noProof/>
            <w:webHidden/>
          </w:rPr>
          <w:t>39</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09" w:history="1">
        <w:r w:rsidR="00A1431D" w:rsidRPr="00441553">
          <w:rPr>
            <w:rStyle w:val="Hipercze"/>
            <w:noProof/>
          </w:rPr>
          <w:t>II.6 Środowisko naturalne</w:t>
        </w:r>
        <w:r w:rsidR="00A1431D">
          <w:rPr>
            <w:noProof/>
            <w:webHidden/>
          </w:rPr>
          <w:tab/>
        </w:r>
        <w:r w:rsidR="00A1431D">
          <w:rPr>
            <w:noProof/>
            <w:webHidden/>
          </w:rPr>
          <w:fldChar w:fldCharType="begin"/>
        </w:r>
        <w:r w:rsidR="00A1431D">
          <w:rPr>
            <w:noProof/>
            <w:webHidden/>
          </w:rPr>
          <w:instrText xml:space="preserve"> PAGEREF _Toc143673209 \h </w:instrText>
        </w:r>
        <w:r w:rsidR="00A1431D">
          <w:rPr>
            <w:noProof/>
            <w:webHidden/>
          </w:rPr>
        </w:r>
        <w:r w:rsidR="00A1431D">
          <w:rPr>
            <w:noProof/>
            <w:webHidden/>
          </w:rPr>
          <w:fldChar w:fldCharType="separate"/>
        </w:r>
        <w:r>
          <w:rPr>
            <w:noProof/>
            <w:webHidden/>
          </w:rPr>
          <w:t>44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0" w:history="1">
        <w:r w:rsidR="00A1431D" w:rsidRPr="00441553">
          <w:rPr>
            <w:rStyle w:val="Hipercze"/>
            <w:rFonts w:cstheme="minorHAnsi"/>
            <w:noProof/>
          </w:rPr>
          <w:t>II.7 Kultura i dziedzictwo kulturowe</w:t>
        </w:r>
        <w:r w:rsidR="00A1431D">
          <w:rPr>
            <w:noProof/>
            <w:webHidden/>
          </w:rPr>
          <w:tab/>
        </w:r>
        <w:r w:rsidR="00A1431D">
          <w:rPr>
            <w:noProof/>
            <w:webHidden/>
          </w:rPr>
          <w:fldChar w:fldCharType="begin"/>
        </w:r>
        <w:r w:rsidR="00A1431D">
          <w:rPr>
            <w:noProof/>
            <w:webHidden/>
          </w:rPr>
          <w:instrText xml:space="preserve"> PAGEREF _Toc143673210 \h </w:instrText>
        </w:r>
        <w:r w:rsidR="00A1431D">
          <w:rPr>
            <w:noProof/>
            <w:webHidden/>
          </w:rPr>
        </w:r>
        <w:r w:rsidR="00A1431D">
          <w:rPr>
            <w:noProof/>
            <w:webHidden/>
          </w:rPr>
          <w:fldChar w:fldCharType="separate"/>
        </w:r>
        <w:r>
          <w:rPr>
            <w:noProof/>
            <w:webHidden/>
          </w:rPr>
          <w:t>84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1" w:history="1">
        <w:r w:rsidR="00A1431D" w:rsidRPr="00441553">
          <w:rPr>
            <w:rStyle w:val="Hipercze"/>
            <w:noProof/>
          </w:rPr>
          <w:t>II.8 Sport, rekreacja i turystyka</w:t>
        </w:r>
        <w:r w:rsidR="00A1431D">
          <w:rPr>
            <w:noProof/>
            <w:webHidden/>
          </w:rPr>
          <w:tab/>
        </w:r>
        <w:r w:rsidR="00A1431D">
          <w:rPr>
            <w:noProof/>
            <w:webHidden/>
          </w:rPr>
          <w:fldChar w:fldCharType="begin"/>
        </w:r>
        <w:r w:rsidR="00A1431D">
          <w:rPr>
            <w:noProof/>
            <w:webHidden/>
          </w:rPr>
          <w:instrText xml:space="preserve"> PAGEREF _Toc143673211 \h </w:instrText>
        </w:r>
        <w:r w:rsidR="00A1431D">
          <w:rPr>
            <w:noProof/>
            <w:webHidden/>
          </w:rPr>
        </w:r>
        <w:r w:rsidR="00A1431D">
          <w:rPr>
            <w:noProof/>
            <w:webHidden/>
          </w:rPr>
          <w:fldChar w:fldCharType="separate"/>
        </w:r>
        <w:r>
          <w:rPr>
            <w:noProof/>
            <w:webHidden/>
          </w:rPr>
          <w:t>88</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2" w:history="1">
        <w:r w:rsidR="00A1431D" w:rsidRPr="00441553">
          <w:rPr>
            <w:rStyle w:val="Hipercze"/>
            <w:noProof/>
          </w:rPr>
          <w:t>II.9 Bezpieczeństwo i przestrzeń publiczna</w:t>
        </w:r>
        <w:r w:rsidR="00A1431D">
          <w:rPr>
            <w:noProof/>
            <w:webHidden/>
          </w:rPr>
          <w:tab/>
        </w:r>
        <w:r w:rsidR="00A1431D">
          <w:rPr>
            <w:noProof/>
            <w:webHidden/>
          </w:rPr>
          <w:fldChar w:fldCharType="begin"/>
        </w:r>
        <w:r w:rsidR="00A1431D">
          <w:rPr>
            <w:noProof/>
            <w:webHidden/>
          </w:rPr>
          <w:instrText xml:space="preserve"> PAGEREF _Toc143673212 \h </w:instrText>
        </w:r>
        <w:r w:rsidR="00A1431D">
          <w:rPr>
            <w:noProof/>
            <w:webHidden/>
          </w:rPr>
        </w:r>
        <w:r w:rsidR="00A1431D">
          <w:rPr>
            <w:noProof/>
            <w:webHidden/>
          </w:rPr>
          <w:fldChar w:fldCharType="separate"/>
        </w:r>
        <w:r>
          <w:rPr>
            <w:noProof/>
            <w:webHidden/>
          </w:rPr>
          <w:t>95</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3" w:history="1">
        <w:r w:rsidR="00A1431D" w:rsidRPr="00441553">
          <w:rPr>
            <w:rStyle w:val="Hipercze"/>
            <w:noProof/>
          </w:rPr>
          <w:t>II.10 Polityka społeczna</w:t>
        </w:r>
        <w:r w:rsidR="00A1431D">
          <w:rPr>
            <w:noProof/>
            <w:webHidden/>
          </w:rPr>
          <w:tab/>
        </w:r>
        <w:r w:rsidR="00A1431D">
          <w:rPr>
            <w:noProof/>
            <w:webHidden/>
          </w:rPr>
          <w:fldChar w:fldCharType="begin"/>
        </w:r>
        <w:r w:rsidR="00A1431D">
          <w:rPr>
            <w:noProof/>
            <w:webHidden/>
          </w:rPr>
          <w:instrText xml:space="preserve"> PAGEREF _Toc143673213 \h </w:instrText>
        </w:r>
        <w:r w:rsidR="00A1431D">
          <w:rPr>
            <w:noProof/>
            <w:webHidden/>
          </w:rPr>
        </w:r>
        <w:r w:rsidR="00A1431D">
          <w:rPr>
            <w:noProof/>
            <w:webHidden/>
          </w:rPr>
          <w:fldChar w:fldCharType="separate"/>
        </w:r>
        <w:r>
          <w:rPr>
            <w:noProof/>
            <w:webHidden/>
          </w:rPr>
          <w:t>101</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4" w:history="1">
        <w:r w:rsidR="00A1431D" w:rsidRPr="00441553">
          <w:rPr>
            <w:rStyle w:val="Hipercze"/>
            <w:noProof/>
          </w:rPr>
          <w:t>II.11 Edukacja i wychowanie</w:t>
        </w:r>
        <w:r w:rsidR="00A1431D">
          <w:rPr>
            <w:noProof/>
            <w:webHidden/>
          </w:rPr>
          <w:tab/>
        </w:r>
        <w:r w:rsidR="00A1431D">
          <w:rPr>
            <w:noProof/>
            <w:webHidden/>
          </w:rPr>
          <w:fldChar w:fldCharType="begin"/>
        </w:r>
        <w:r w:rsidR="00A1431D">
          <w:rPr>
            <w:noProof/>
            <w:webHidden/>
          </w:rPr>
          <w:instrText xml:space="preserve"> PAGEREF _Toc143673214 \h </w:instrText>
        </w:r>
        <w:r w:rsidR="00A1431D">
          <w:rPr>
            <w:noProof/>
            <w:webHidden/>
          </w:rPr>
        </w:r>
        <w:r w:rsidR="00A1431D">
          <w:rPr>
            <w:noProof/>
            <w:webHidden/>
          </w:rPr>
          <w:fldChar w:fldCharType="separate"/>
        </w:r>
        <w:r>
          <w:rPr>
            <w:noProof/>
            <w:webHidden/>
          </w:rPr>
          <w:t>110</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5" w:history="1">
        <w:r w:rsidR="00A1431D" w:rsidRPr="00441553">
          <w:rPr>
            <w:rStyle w:val="Hipercze"/>
            <w:noProof/>
          </w:rPr>
          <w:t>II.12 Kapitał społeczny</w:t>
        </w:r>
        <w:r w:rsidR="00A1431D">
          <w:rPr>
            <w:noProof/>
            <w:webHidden/>
          </w:rPr>
          <w:tab/>
        </w:r>
        <w:r w:rsidR="00A1431D">
          <w:rPr>
            <w:noProof/>
            <w:webHidden/>
          </w:rPr>
          <w:fldChar w:fldCharType="begin"/>
        </w:r>
        <w:r w:rsidR="00A1431D">
          <w:rPr>
            <w:noProof/>
            <w:webHidden/>
          </w:rPr>
          <w:instrText xml:space="preserve"> PAGEREF _Toc143673215 \h </w:instrText>
        </w:r>
        <w:r w:rsidR="00A1431D">
          <w:rPr>
            <w:noProof/>
            <w:webHidden/>
          </w:rPr>
        </w:r>
        <w:r w:rsidR="00A1431D">
          <w:rPr>
            <w:noProof/>
            <w:webHidden/>
          </w:rPr>
          <w:fldChar w:fldCharType="separate"/>
        </w:r>
        <w:r>
          <w:rPr>
            <w:noProof/>
            <w:webHidden/>
          </w:rPr>
          <w:t>119</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6" w:history="1">
        <w:r w:rsidR="00A1431D" w:rsidRPr="00441553">
          <w:rPr>
            <w:rStyle w:val="Hipercze"/>
            <w:noProof/>
          </w:rPr>
          <w:t>II.13 Finanse samorządowe</w:t>
        </w:r>
        <w:r w:rsidR="00A1431D">
          <w:rPr>
            <w:noProof/>
            <w:webHidden/>
          </w:rPr>
          <w:tab/>
        </w:r>
        <w:r w:rsidR="00A1431D">
          <w:rPr>
            <w:noProof/>
            <w:webHidden/>
          </w:rPr>
          <w:fldChar w:fldCharType="begin"/>
        </w:r>
        <w:r w:rsidR="00A1431D">
          <w:rPr>
            <w:noProof/>
            <w:webHidden/>
          </w:rPr>
          <w:instrText xml:space="preserve"> PAGEREF _Toc143673216 \h </w:instrText>
        </w:r>
        <w:r w:rsidR="00A1431D">
          <w:rPr>
            <w:noProof/>
            <w:webHidden/>
          </w:rPr>
        </w:r>
        <w:r w:rsidR="00A1431D">
          <w:rPr>
            <w:noProof/>
            <w:webHidden/>
          </w:rPr>
          <w:fldChar w:fldCharType="separate"/>
        </w:r>
        <w:r>
          <w:rPr>
            <w:noProof/>
            <w:webHidden/>
          </w:rPr>
          <w:t>122</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7" w:history="1">
        <w:r w:rsidR="00A1431D" w:rsidRPr="00441553">
          <w:rPr>
            <w:rStyle w:val="Hipercze"/>
            <w:noProof/>
          </w:rPr>
          <w:t>II.14 Analiza SWOT</w:t>
        </w:r>
        <w:r w:rsidR="00A1431D">
          <w:rPr>
            <w:noProof/>
            <w:webHidden/>
          </w:rPr>
          <w:tab/>
        </w:r>
        <w:r w:rsidR="00A1431D">
          <w:rPr>
            <w:noProof/>
            <w:webHidden/>
          </w:rPr>
          <w:fldChar w:fldCharType="begin"/>
        </w:r>
        <w:r w:rsidR="00A1431D">
          <w:rPr>
            <w:noProof/>
            <w:webHidden/>
          </w:rPr>
          <w:instrText xml:space="preserve"> PAGEREF _Toc143673217 \h </w:instrText>
        </w:r>
        <w:r w:rsidR="00A1431D">
          <w:rPr>
            <w:noProof/>
            <w:webHidden/>
          </w:rPr>
        </w:r>
        <w:r w:rsidR="00A1431D">
          <w:rPr>
            <w:noProof/>
            <w:webHidden/>
          </w:rPr>
          <w:fldChar w:fldCharType="separate"/>
        </w:r>
        <w:r>
          <w:rPr>
            <w:noProof/>
            <w:webHidden/>
          </w:rPr>
          <w:t>128</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18" w:history="1">
        <w:r w:rsidR="00A1431D" w:rsidRPr="00441553">
          <w:rPr>
            <w:rStyle w:val="Hipercze"/>
            <w:noProof/>
          </w:rPr>
          <w:t>III. Założenia strategiczne – poziom strategiczny</w:t>
        </w:r>
        <w:r w:rsidR="00A1431D">
          <w:rPr>
            <w:noProof/>
            <w:webHidden/>
          </w:rPr>
          <w:tab/>
        </w:r>
        <w:r w:rsidR="00A1431D">
          <w:rPr>
            <w:noProof/>
            <w:webHidden/>
          </w:rPr>
          <w:fldChar w:fldCharType="begin"/>
        </w:r>
        <w:r w:rsidR="00A1431D">
          <w:rPr>
            <w:noProof/>
            <w:webHidden/>
          </w:rPr>
          <w:instrText xml:space="preserve"> PAGEREF _Toc143673218 \h </w:instrText>
        </w:r>
        <w:r w:rsidR="00A1431D">
          <w:rPr>
            <w:noProof/>
            <w:webHidden/>
          </w:rPr>
        </w:r>
        <w:r w:rsidR="00A1431D">
          <w:rPr>
            <w:noProof/>
            <w:webHidden/>
          </w:rPr>
          <w:fldChar w:fldCharType="separate"/>
        </w:r>
        <w:r>
          <w:rPr>
            <w:noProof/>
            <w:webHidden/>
          </w:rPr>
          <w:t>137</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19" w:history="1">
        <w:r w:rsidR="00A1431D" w:rsidRPr="00441553">
          <w:rPr>
            <w:rStyle w:val="Hipercze"/>
            <w:noProof/>
          </w:rPr>
          <w:t>III.1 Wizja rozwoju Wrocławskiego Obszaru Funkcjonalnego</w:t>
        </w:r>
        <w:r w:rsidR="00A1431D">
          <w:rPr>
            <w:noProof/>
            <w:webHidden/>
          </w:rPr>
          <w:tab/>
        </w:r>
        <w:r w:rsidR="00A1431D">
          <w:rPr>
            <w:noProof/>
            <w:webHidden/>
          </w:rPr>
          <w:fldChar w:fldCharType="begin"/>
        </w:r>
        <w:r w:rsidR="00A1431D">
          <w:rPr>
            <w:noProof/>
            <w:webHidden/>
          </w:rPr>
          <w:instrText xml:space="preserve"> PAGEREF _Toc143673219 \h </w:instrText>
        </w:r>
        <w:r w:rsidR="00A1431D">
          <w:rPr>
            <w:noProof/>
            <w:webHidden/>
          </w:rPr>
        </w:r>
        <w:r w:rsidR="00A1431D">
          <w:rPr>
            <w:noProof/>
            <w:webHidden/>
          </w:rPr>
          <w:fldChar w:fldCharType="separate"/>
        </w:r>
        <w:r>
          <w:rPr>
            <w:noProof/>
            <w:webHidden/>
          </w:rPr>
          <w:t>138</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20" w:history="1">
        <w:r w:rsidR="00A1431D" w:rsidRPr="00441553">
          <w:rPr>
            <w:rStyle w:val="Hipercze"/>
            <w:noProof/>
          </w:rPr>
          <w:t>III.2 Wymiar, Cele strategiczne, Priorytety i Kierunki działań</w:t>
        </w:r>
        <w:r w:rsidR="00A1431D">
          <w:rPr>
            <w:noProof/>
            <w:webHidden/>
          </w:rPr>
          <w:tab/>
        </w:r>
        <w:r w:rsidR="00A1431D">
          <w:rPr>
            <w:noProof/>
            <w:webHidden/>
          </w:rPr>
          <w:fldChar w:fldCharType="begin"/>
        </w:r>
        <w:r w:rsidR="00A1431D">
          <w:rPr>
            <w:noProof/>
            <w:webHidden/>
          </w:rPr>
          <w:instrText xml:space="preserve"> PAGEREF _Toc143673220 \h </w:instrText>
        </w:r>
        <w:r w:rsidR="00A1431D">
          <w:rPr>
            <w:noProof/>
            <w:webHidden/>
          </w:rPr>
        </w:r>
        <w:r w:rsidR="00A1431D">
          <w:rPr>
            <w:noProof/>
            <w:webHidden/>
          </w:rPr>
          <w:fldChar w:fldCharType="separate"/>
        </w:r>
        <w:r>
          <w:rPr>
            <w:noProof/>
            <w:webHidden/>
          </w:rPr>
          <w:t>139</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21" w:history="1">
        <w:r w:rsidR="00A1431D" w:rsidRPr="00441553">
          <w:rPr>
            <w:rStyle w:val="Hipercze"/>
            <w:noProof/>
          </w:rPr>
          <w:t>IV Instrument ZIT – poziom operacyjny</w:t>
        </w:r>
        <w:r w:rsidR="00A1431D">
          <w:rPr>
            <w:noProof/>
            <w:webHidden/>
          </w:rPr>
          <w:tab/>
        </w:r>
        <w:r w:rsidR="00A1431D">
          <w:rPr>
            <w:noProof/>
            <w:webHidden/>
          </w:rPr>
          <w:fldChar w:fldCharType="begin"/>
        </w:r>
        <w:r w:rsidR="00A1431D">
          <w:rPr>
            <w:noProof/>
            <w:webHidden/>
          </w:rPr>
          <w:instrText xml:space="preserve"> PAGEREF _Toc143673221 \h </w:instrText>
        </w:r>
        <w:r w:rsidR="00A1431D">
          <w:rPr>
            <w:noProof/>
            <w:webHidden/>
          </w:rPr>
        </w:r>
        <w:r w:rsidR="00A1431D">
          <w:rPr>
            <w:noProof/>
            <w:webHidden/>
          </w:rPr>
          <w:fldChar w:fldCharType="separate"/>
        </w:r>
        <w:r>
          <w:rPr>
            <w:noProof/>
            <w:webHidden/>
          </w:rPr>
          <w:t>194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22" w:history="1">
        <w:r w:rsidR="00A1431D" w:rsidRPr="00441553">
          <w:rPr>
            <w:rStyle w:val="Hipercze"/>
            <w:noProof/>
          </w:rPr>
          <w:t>IV.1 Założenia Zintegrowanych Inwestycji Terytorialnych</w:t>
        </w:r>
        <w:r w:rsidR="00A1431D">
          <w:rPr>
            <w:noProof/>
            <w:webHidden/>
          </w:rPr>
          <w:tab/>
        </w:r>
        <w:r w:rsidR="00A1431D">
          <w:rPr>
            <w:noProof/>
            <w:webHidden/>
          </w:rPr>
          <w:fldChar w:fldCharType="begin"/>
        </w:r>
        <w:r w:rsidR="00A1431D">
          <w:rPr>
            <w:noProof/>
            <w:webHidden/>
          </w:rPr>
          <w:instrText xml:space="preserve"> PAGEREF _Toc143673222 \h </w:instrText>
        </w:r>
        <w:r w:rsidR="00A1431D">
          <w:rPr>
            <w:noProof/>
            <w:webHidden/>
          </w:rPr>
        </w:r>
        <w:r w:rsidR="00A1431D">
          <w:rPr>
            <w:noProof/>
            <w:webHidden/>
          </w:rPr>
          <w:fldChar w:fldCharType="separate"/>
        </w:r>
        <w:r>
          <w:rPr>
            <w:noProof/>
            <w:webHidden/>
          </w:rPr>
          <w:t>194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23" w:history="1">
        <w:r w:rsidR="00A1431D" w:rsidRPr="00441553">
          <w:rPr>
            <w:rStyle w:val="Hipercze"/>
            <w:noProof/>
          </w:rPr>
          <w:t>Szczegółowy plan podziału wykorzystania przyznanych alokacji jest przedstawiony w rozdziale IV.4 Plan finansowy ZIT.</w:t>
        </w:r>
        <w:r w:rsidR="00A1431D">
          <w:rPr>
            <w:noProof/>
            <w:webHidden/>
          </w:rPr>
          <w:tab/>
        </w:r>
        <w:r w:rsidR="00A1431D">
          <w:rPr>
            <w:noProof/>
            <w:webHidden/>
          </w:rPr>
          <w:fldChar w:fldCharType="begin"/>
        </w:r>
        <w:r w:rsidR="00A1431D">
          <w:rPr>
            <w:noProof/>
            <w:webHidden/>
          </w:rPr>
          <w:instrText xml:space="preserve"> PAGEREF _Toc143673223 \h </w:instrText>
        </w:r>
        <w:r w:rsidR="00A1431D">
          <w:rPr>
            <w:noProof/>
            <w:webHidden/>
          </w:rPr>
        </w:r>
        <w:r w:rsidR="00A1431D">
          <w:rPr>
            <w:noProof/>
            <w:webHidden/>
          </w:rPr>
          <w:fldChar w:fldCharType="separate"/>
        </w:r>
        <w:r>
          <w:rPr>
            <w:noProof/>
            <w:webHidden/>
          </w:rPr>
          <w:t>195</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24" w:history="1">
        <w:r w:rsidR="00A1431D" w:rsidRPr="00441553">
          <w:rPr>
            <w:rStyle w:val="Hipercze"/>
            <w:noProof/>
          </w:rPr>
          <w:t>IV.2 Opis zintegrowanego podejścia służącego zaspokojeniu zidentyfikowanych potrzeb rozwojowych i wykorzystaniu potencjału obszaru</w:t>
        </w:r>
        <w:r w:rsidR="00A1431D">
          <w:rPr>
            <w:noProof/>
            <w:webHidden/>
          </w:rPr>
          <w:tab/>
        </w:r>
        <w:r w:rsidR="00A1431D">
          <w:rPr>
            <w:noProof/>
            <w:webHidden/>
          </w:rPr>
          <w:fldChar w:fldCharType="begin"/>
        </w:r>
        <w:r w:rsidR="00A1431D">
          <w:rPr>
            <w:noProof/>
            <w:webHidden/>
          </w:rPr>
          <w:instrText xml:space="preserve"> PAGEREF _Toc143673224 \h </w:instrText>
        </w:r>
        <w:r w:rsidR="00A1431D">
          <w:rPr>
            <w:noProof/>
            <w:webHidden/>
          </w:rPr>
        </w:r>
        <w:r w:rsidR="00A1431D">
          <w:rPr>
            <w:noProof/>
            <w:webHidden/>
          </w:rPr>
          <w:fldChar w:fldCharType="separate"/>
        </w:r>
        <w:r>
          <w:rPr>
            <w:noProof/>
            <w:webHidden/>
          </w:rPr>
          <w:t>198</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25" w:history="1">
        <w:r w:rsidR="00A1431D" w:rsidRPr="00441553">
          <w:rPr>
            <w:rStyle w:val="Hipercze"/>
            <w:noProof/>
          </w:rPr>
          <w:t>IV.2.1 Wiązki projektów FEDS 2021-2027</w:t>
        </w:r>
        <w:r w:rsidR="00A1431D">
          <w:rPr>
            <w:noProof/>
            <w:webHidden/>
          </w:rPr>
          <w:tab/>
        </w:r>
        <w:r w:rsidR="00A1431D">
          <w:rPr>
            <w:noProof/>
            <w:webHidden/>
          </w:rPr>
          <w:fldChar w:fldCharType="begin"/>
        </w:r>
        <w:r w:rsidR="00A1431D">
          <w:rPr>
            <w:noProof/>
            <w:webHidden/>
          </w:rPr>
          <w:instrText xml:space="preserve"> PAGEREF _Toc143673225 \h </w:instrText>
        </w:r>
        <w:r w:rsidR="00A1431D">
          <w:rPr>
            <w:noProof/>
            <w:webHidden/>
          </w:rPr>
        </w:r>
        <w:r w:rsidR="00A1431D">
          <w:rPr>
            <w:noProof/>
            <w:webHidden/>
          </w:rPr>
          <w:fldChar w:fldCharType="separate"/>
        </w:r>
        <w:r>
          <w:rPr>
            <w:noProof/>
            <w:webHidden/>
          </w:rPr>
          <w:t>199</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26" w:history="1">
        <w:r w:rsidR="00A1431D" w:rsidRPr="00441553">
          <w:rPr>
            <w:rStyle w:val="Hipercze"/>
            <w:noProof/>
          </w:rPr>
          <w:t>IV.2.2 Wiązki projektów FEnIKS 2021-2027</w:t>
        </w:r>
        <w:r w:rsidR="00A1431D">
          <w:rPr>
            <w:noProof/>
            <w:webHidden/>
          </w:rPr>
          <w:tab/>
        </w:r>
        <w:r w:rsidR="00A1431D">
          <w:rPr>
            <w:noProof/>
            <w:webHidden/>
          </w:rPr>
          <w:fldChar w:fldCharType="begin"/>
        </w:r>
        <w:r w:rsidR="00A1431D">
          <w:rPr>
            <w:noProof/>
            <w:webHidden/>
          </w:rPr>
          <w:instrText xml:space="preserve"> PAGEREF _Toc143673226 \h </w:instrText>
        </w:r>
        <w:r w:rsidR="00A1431D">
          <w:rPr>
            <w:noProof/>
            <w:webHidden/>
          </w:rPr>
        </w:r>
        <w:r w:rsidR="00A1431D">
          <w:rPr>
            <w:noProof/>
            <w:webHidden/>
          </w:rPr>
          <w:fldChar w:fldCharType="separate"/>
        </w:r>
        <w:r>
          <w:rPr>
            <w:noProof/>
            <w:webHidden/>
          </w:rPr>
          <w:t>231</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27" w:history="1">
        <w:r w:rsidR="00A1431D" w:rsidRPr="00441553">
          <w:rPr>
            <w:rStyle w:val="Hipercze"/>
            <w:noProof/>
          </w:rPr>
          <w:t>IV.3 Lista projektów wybieranych w trybie niekonkurencyjnym</w:t>
        </w:r>
        <w:r w:rsidR="00A1431D">
          <w:rPr>
            <w:noProof/>
            <w:webHidden/>
          </w:rPr>
          <w:tab/>
        </w:r>
        <w:r w:rsidR="00A1431D">
          <w:rPr>
            <w:noProof/>
            <w:webHidden/>
          </w:rPr>
          <w:fldChar w:fldCharType="begin"/>
        </w:r>
        <w:r w:rsidR="00A1431D">
          <w:rPr>
            <w:noProof/>
            <w:webHidden/>
          </w:rPr>
          <w:instrText xml:space="preserve"> PAGEREF _Toc143673227 \h </w:instrText>
        </w:r>
        <w:r w:rsidR="00A1431D">
          <w:rPr>
            <w:noProof/>
            <w:webHidden/>
          </w:rPr>
        </w:r>
        <w:r w:rsidR="00A1431D">
          <w:rPr>
            <w:noProof/>
            <w:webHidden/>
          </w:rPr>
          <w:fldChar w:fldCharType="separate"/>
        </w:r>
        <w:r>
          <w:rPr>
            <w:noProof/>
            <w:webHidden/>
          </w:rPr>
          <w:t>240</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28" w:history="1">
        <w:r w:rsidR="00A1431D" w:rsidRPr="00441553">
          <w:rPr>
            <w:rStyle w:val="Hipercze"/>
            <w:noProof/>
          </w:rPr>
          <w:t>IV.3.1 Lista</w:t>
        </w:r>
        <w:r w:rsidR="00A1431D" w:rsidRPr="00441553">
          <w:rPr>
            <w:rStyle w:val="Hipercze"/>
            <w:noProof/>
          </w:rPr>
          <w:t xml:space="preserve"> </w:t>
        </w:r>
        <w:r w:rsidR="00A1431D" w:rsidRPr="00441553">
          <w:rPr>
            <w:rStyle w:val="Hipercze"/>
            <w:noProof/>
          </w:rPr>
          <w:t>projektów podstawowych wybieranych w trybie niekonkurencyjnym finansowanych z FEDS 2021-2027</w:t>
        </w:r>
        <w:r w:rsidR="00A1431D">
          <w:rPr>
            <w:noProof/>
            <w:webHidden/>
          </w:rPr>
          <w:tab/>
        </w:r>
        <w:r w:rsidR="00A1431D">
          <w:rPr>
            <w:noProof/>
            <w:webHidden/>
          </w:rPr>
          <w:fldChar w:fldCharType="begin"/>
        </w:r>
        <w:r w:rsidR="00A1431D">
          <w:rPr>
            <w:noProof/>
            <w:webHidden/>
          </w:rPr>
          <w:instrText xml:space="preserve"> PAGEREF _Toc143673228 \h </w:instrText>
        </w:r>
        <w:r w:rsidR="00A1431D">
          <w:rPr>
            <w:noProof/>
            <w:webHidden/>
          </w:rPr>
        </w:r>
        <w:r w:rsidR="00A1431D">
          <w:rPr>
            <w:noProof/>
            <w:webHidden/>
          </w:rPr>
          <w:fldChar w:fldCharType="separate"/>
        </w:r>
        <w:r>
          <w:rPr>
            <w:noProof/>
            <w:webHidden/>
          </w:rPr>
          <w:t>240</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29" w:history="1">
        <w:r w:rsidR="00A1431D" w:rsidRPr="00441553">
          <w:rPr>
            <w:rStyle w:val="Hipercze"/>
            <w:rFonts w:eastAsia="Calibri"/>
            <w:noProof/>
          </w:rPr>
          <w:t>IV.3.2 Lista projektów rezerwowych wybieranych w trybie niekonkurencyjnym finansowanych z FEDS 2021-2027</w:t>
        </w:r>
        <w:r w:rsidR="00A1431D">
          <w:rPr>
            <w:noProof/>
            <w:webHidden/>
          </w:rPr>
          <w:tab/>
        </w:r>
        <w:r w:rsidR="00A1431D">
          <w:rPr>
            <w:noProof/>
            <w:webHidden/>
          </w:rPr>
          <w:fldChar w:fldCharType="begin"/>
        </w:r>
        <w:r w:rsidR="00A1431D">
          <w:rPr>
            <w:noProof/>
            <w:webHidden/>
          </w:rPr>
          <w:instrText xml:space="preserve"> PAGEREF _Toc143673229 \h </w:instrText>
        </w:r>
        <w:r w:rsidR="00A1431D">
          <w:rPr>
            <w:noProof/>
            <w:webHidden/>
          </w:rPr>
        </w:r>
        <w:r w:rsidR="00A1431D">
          <w:rPr>
            <w:noProof/>
            <w:webHidden/>
          </w:rPr>
          <w:fldChar w:fldCharType="separate"/>
        </w:r>
        <w:r>
          <w:rPr>
            <w:noProof/>
            <w:webHidden/>
          </w:rPr>
          <w:t>265</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30" w:history="1">
        <w:r w:rsidR="00A1431D" w:rsidRPr="00441553">
          <w:rPr>
            <w:rStyle w:val="Hipercze"/>
            <w:noProof/>
          </w:rPr>
          <w:t>IV.3.3 Lista projektów podstawowych wybieranych w trybie niekonkurencyjnym finansowanych z FEnIKS 2021-2027</w:t>
        </w:r>
        <w:r w:rsidR="00A1431D">
          <w:rPr>
            <w:noProof/>
            <w:webHidden/>
          </w:rPr>
          <w:tab/>
        </w:r>
        <w:r w:rsidR="00A1431D">
          <w:rPr>
            <w:noProof/>
            <w:webHidden/>
          </w:rPr>
          <w:fldChar w:fldCharType="begin"/>
        </w:r>
        <w:r w:rsidR="00A1431D">
          <w:rPr>
            <w:noProof/>
            <w:webHidden/>
          </w:rPr>
          <w:instrText xml:space="preserve"> PAGEREF _Toc143673230 \h </w:instrText>
        </w:r>
        <w:r w:rsidR="00A1431D">
          <w:rPr>
            <w:noProof/>
            <w:webHidden/>
          </w:rPr>
        </w:r>
        <w:r w:rsidR="00A1431D">
          <w:rPr>
            <w:noProof/>
            <w:webHidden/>
          </w:rPr>
          <w:fldChar w:fldCharType="separate"/>
        </w:r>
        <w:r>
          <w:rPr>
            <w:noProof/>
            <w:webHidden/>
          </w:rPr>
          <w:t>274</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31" w:history="1">
        <w:r w:rsidR="00A1431D" w:rsidRPr="00441553">
          <w:rPr>
            <w:rStyle w:val="Hipercze"/>
            <w:noProof/>
          </w:rPr>
          <w:t>IV.3.4 Lista projektów rezerwowych wybieranych w trybie niekonkurencyjnym finansowanych z FEnIKS 2021-2027</w:t>
        </w:r>
        <w:r w:rsidR="00A1431D">
          <w:rPr>
            <w:noProof/>
            <w:webHidden/>
          </w:rPr>
          <w:tab/>
        </w:r>
        <w:r w:rsidR="00A1431D">
          <w:rPr>
            <w:noProof/>
            <w:webHidden/>
          </w:rPr>
          <w:fldChar w:fldCharType="begin"/>
        </w:r>
        <w:r w:rsidR="00A1431D">
          <w:rPr>
            <w:noProof/>
            <w:webHidden/>
          </w:rPr>
          <w:instrText xml:space="preserve"> PAGEREF _Toc143673231 \h </w:instrText>
        </w:r>
        <w:r w:rsidR="00A1431D">
          <w:rPr>
            <w:noProof/>
            <w:webHidden/>
          </w:rPr>
        </w:r>
        <w:r w:rsidR="00A1431D">
          <w:rPr>
            <w:noProof/>
            <w:webHidden/>
          </w:rPr>
          <w:fldChar w:fldCharType="separate"/>
        </w:r>
        <w:r>
          <w:rPr>
            <w:noProof/>
            <w:webHidden/>
          </w:rPr>
          <w:t>280</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32" w:history="1">
        <w:r w:rsidR="00A1431D" w:rsidRPr="00441553">
          <w:rPr>
            <w:rStyle w:val="Hipercze"/>
            <w:noProof/>
          </w:rPr>
          <w:t>IV.4 Plan finansowy ZIT</w:t>
        </w:r>
        <w:r w:rsidR="00A1431D">
          <w:rPr>
            <w:noProof/>
            <w:webHidden/>
          </w:rPr>
          <w:tab/>
        </w:r>
        <w:r w:rsidR="00A1431D">
          <w:rPr>
            <w:noProof/>
            <w:webHidden/>
          </w:rPr>
          <w:fldChar w:fldCharType="begin"/>
        </w:r>
        <w:r w:rsidR="00A1431D">
          <w:rPr>
            <w:noProof/>
            <w:webHidden/>
          </w:rPr>
          <w:instrText xml:space="preserve"> PAGEREF _Toc143673232 \h </w:instrText>
        </w:r>
        <w:r w:rsidR="00A1431D">
          <w:rPr>
            <w:noProof/>
            <w:webHidden/>
          </w:rPr>
        </w:r>
        <w:r w:rsidR="00A1431D">
          <w:rPr>
            <w:noProof/>
            <w:webHidden/>
          </w:rPr>
          <w:fldChar w:fldCharType="separate"/>
        </w:r>
        <w:r>
          <w:rPr>
            <w:noProof/>
            <w:webHidden/>
          </w:rPr>
          <w:t>284</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33" w:history="1">
        <w:r w:rsidR="00A1431D" w:rsidRPr="00441553">
          <w:rPr>
            <w:rStyle w:val="Hipercze"/>
            <w:noProof/>
          </w:rPr>
          <w:t>V. System realizacji</w:t>
        </w:r>
        <w:r w:rsidR="00A1431D">
          <w:rPr>
            <w:noProof/>
            <w:webHidden/>
          </w:rPr>
          <w:tab/>
        </w:r>
        <w:r w:rsidR="00A1431D">
          <w:rPr>
            <w:noProof/>
            <w:webHidden/>
          </w:rPr>
          <w:fldChar w:fldCharType="begin"/>
        </w:r>
        <w:r w:rsidR="00A1431D">
          <w:rPr>
            <w:noProof/>
            <w:webHidden/>
          </w:rPr>
          <w:instrText xml:space="preserve"> PAGEREF _Toc143673233 \h </w:instrText>
        </w:r>
        <w:r w:rsidR="00A1431D">
          <w:rPr>
            <w:noProof/>
            <w:webHidden/>
          </w:rPr>
        </w:r>
        <w:r w:rsidR="00A1431D">
          <w:rPr>
            <w:noProof/>
            <w:webHidden/>
          </w:rPr>
          <w:fldChar w:fldCharType="separate"/>
        </w:r>
        <w:r>
          <w:rPr>
            <w:noProof/>
            <w:webHidden/>
          </w:rPr>
          <w:t>289</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34" w:history="1">
        <w:r w:rsidR="00A1431D" w:rsidRPr="00441553">
          <w:rPr>
            <w:rStyle w:val="Hipercze"/>
            <w:noProof/>
          </w:rPr>
          <w:t>V.1 Warunki i procedury obowiązujące w realizacji instrumentu ZIT</w:t>
        </w:r>
        <w:r w:rsidR="00A1431D">
          <w:rPr>
            <w:noProof/>
            <w:webHidden/>
          </w:rPr>
          <w:tab/>
        </w:r>
        <w:r w:rsidR="00A1431D">
          <w:rPr>
            <w:noProof/>
            <w:webHidden/>
          </w:rPr>
          <w:fldChar w:fldCharType="begin"/>
        </w:r>
        <w:r w:rsidR="00A1431D">
          <w:rPr>
            <w:noProof/>
            <w:webHidden/>
          </w:rPr>
          <w:instrText xml:space="preserve"> PAGEREF _Toc143673234 \h </w:instrText>
        </w:r>
        <w:r w:rsidR="00A1431D">
          <w:rPr>
            <w:noProof/>
            <w:webHidden/>
          </w:rPr>
        </w:r>
        <w:r w:rsidR="00A1431D">
          <w:rPr>
            <w:noProof/>
            <w:webHidden/>
          </w:rPr>
          <w:fldChar w:fldCharType="separate"/>
        </w:r>
        <w:r>
          <w:rPr>
            <w:noProof/>
            <w:webHidden/>
          </w:rPr>
          <w:t>289</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35" w:history="1">
        <w:r w:rsidR="00A1431D" w:rsidRPr="00441553">
          <w:rPr>
            <w:rStyle w:val="Hipercze"/>
            <w:noProof/>
          </w:rPr>
          <w:t>V.1.2 Procedury obowiązujące w realizacji Strategii ZIT WrOF 2021-2027</w:t>
        </w:r>
        <w:r w:rsidR="00A1431D">
          <w:rPr>
            <w:noProof/>
            <w:webHidden/>
          </w:rPr>
          <w:tab/>
        </w:r>
        <w:r w:rsidR="00A1431D">
          <w:rPr>
            <w:noProof/>
            <w:webHidden/>
          </w:rPr>
          <w:fldChar w:fldCharType="begin"/>
        </w:r>
        <w:r w:rsidR="00A1431D">
          <w:rPr>
            <w:noProof/>
            <w:webHidden/>
          </w:rPr>
          <w:instrText xml:space="preserve"> PAGEREF _Toc143673235 \h </w:instrText>
        </w:r>
        <w:r w:rsidR="00A1431D">
          <w:rPr>
            <w:noProof/>
            <w:webHidden/>
          </w:rPr>
        </w:r>
        <w:r w:rsidR="00A1431D">
          <w:rPr>
            <w:noProof/>
            <w:webHidden/>
          </w:rPr>
          <w:fldChar w:fldCharType="separate"/>
        </w:r>
        <w:r>
          <w:rPr>
            <w:noProof/>
            <w:webHidden/>
          </w:rPr>
          <w:t>297</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36" w:history="1">
        <w:r w:rsidR="00A1431D" w:rsidRPr="00441553">
          <w:rPr>
            <w:rStyle w:val="Hipercze"/>
            <w:noProof/>
          </w:rPr>
          <w:t>V.2 Monitoring i ewaluacja</w:t>
        </w:r>
        <w:r w:rsidR="00A1431D">
          <w:rPr>
            <w:noProof/>
            <w:webHidden/>
          </w:rPr>
          <w:tab/>
        </w:r>
        <w:r w:rsidR="00A1431D">
          <w:rPr>
            <w:noProof/>
            <w:webHidden/>
          </w:rPr>
          <w:fldChar w:fldCharType="begin"/>
        </w:r>
        <w:r w:rsidR="00A1431D">
          <w:rPr>
            <w:noProof/>
            <w:webHidden/>
          </w:rPr>
          <w:instrText xml:space="preserve"> PAGEREF _Toc143673236 \h </w:instrText>
        </w:r>
        <w:r w:rsidR="00A1431D">
          <w:rPr>
            <w:noProof/>
            <w:webHidden/>
          </w:rPr>
        </w:r>
        <w:r w:rsidR="00A1431D">
          <w:rPr>
            <w:noProof/>
            <w:webHidden/>
          </w:rPr>
          <w:fldChar w:fldCharType="separate"/>
        </w:r>
        <w:r>
          <w:rPr>
            <w:noProof/>
            <w:webHidden/>
          </w:rPr>
          <w:t>301</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37" w:history="1">
        <w:r w:rsidR="00A1431D" w:rsidRPr="00441553">
          <w:rPr>
            <w:rStyle w:val="Hipercze"/>
            <w:noProof/>
          </w:rPr>
          <w:t>V.2.1 Monitoring i rezultaty planowanych działań</w:t>
        </w:r>
        <w:r w:rsidR="00A1431D">
          <w:rPr>
            <w:noProof/>
            <w:webHidden/>
          </w:rPr>
          <w:tab/>
        </w:r>
        <w:r w:rsidR="00A1431D">
          <w:rPr>
            <w:noProof/>
            <w:webHidden/>
          </w:rPr>
          <w:fldChar w:fldCharType="begin"/>
        </w:r>
        <w:r w:rsidR="00A1431D">
          <w:rPr>
            <w:noProof/>
            <w:webHidden/>
          </w:rPr>
          <w:instrText xml:space="preserve"> PAGEREF _Toc143673237 \h </w:instrText>
        </w:r>
        <w:r w:rsidR="00A1431D">
          <w:rPr>
            <w:noProof/>
            <w:webHidden/>
          </w:rPr>
        </w:r>
        <w:r w:rsidR="00A1431D">
          <w:rPr>
            <w:noProof/>
            <w:webHidden/>
          </w:rPr>
          <w:fldChar w:fldCharType="separate"/>
        </w:r>
        <w:r>
          <w:rPr>
            <w:noProof/>
            <w:webHidden/>
          </w:rPr>
          <w:t>301</w:t>
        </w:r>
        <w:r w:rsidR="00A1431D">
          <w:rPr>
            <w:noProof/>
            <w:webHidden/>
          </w:rPr>
          <w:fldChar w:fldCharType="end"/>
        </w:r>
      </w:hyperlink>
    </w:p>
    <w:p w:rsidR="00A1431D" w:rsidRDefault="00C96A96" w:rsidP="00BE5D1B">
      <w:pPr>
        <w:pStyle w:val="Spistreci3"/>
        <w:tabs>
          <w:tab w:val="right" w:leader="dot" w:pos="9062"/>
        </w:tabs>
        <w:jc w:val="left"/>
        <w:rPr>
          <w:rFonts w:eastAsiaTheme="minorEastAsia"/>
          <w:noProof/>
          <w:lang w:eastAsia="pl-PL"/>
        </w:rPr>
      </w:pPr>
      <w:hyperlink w:anchor="_Toc143673238" w:history="1">
        <w:r w:rsidR="00A1431D" w:rsidRPr="00441553">
          <w:rPr>
            <w:rStyle w:val="Hipercze"/>
            <w:noProof/>
          </w:rPr>
          <w:t>V.2.2 Ewaluacja</w:t>
        </w:r>
        <w:r w:rsidR="00A1431D">
          <w:rPr>
            <w:noProof/>
            <w:webHidden/>
          </w:rPr>
          <w:tab/>
        </w:r>
        <w:r w:rsidR="00A1431D">
          <w:rPr>
            <w:noProof/>
            <w:webHidden/>
          </w:rPr>
          <w:fldChar w:fldCharType="begin"/>
        </w:r>
        <w:r w:rsidR="00A1431D">
          <w:rPr>
            <w:noProof/>
            <w:webHidden/>
          </w:rPr>
          <w:instrText xml:space="preserve"> PAGEREF _Toc143673238 \h </w:instrText>
        </w:r>
        <w:r w:rsidR="00A1431D">
          <w:rPr>
            <w:noProof/>
            <w:webHidden/>
          </w:rPr>
        </w:r>
        <w:r w:rsidR="00A1431D">
          <w:rPr>
            <w:noProof/>
            <w:webHidden/>
          </w:rPr>
          <w:fldChar w:fldCharType="separate"/>
        </w:r>
        <w:r>
          <w:rPr>
            <w:noProof/>
            <w:webHidden/>
          </w:rPr>
          <w:t>304</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39" w:history="1">
        <w:r w:rsidR="00A1431D" w:rsidRPr="00441553">
          <w:rPr>
            <w:rStyle w:val="Hipercze"/>
            <w:noProof/>
          </w:rPr>
          <w:t>V.3 Strategiczna ocena oddziaływania na środowisko i konsultacje społeczne</w:t>
        </w:r>
        <w:r w:rsidR="00A1431D">
          <w:rPr>
            <w:noProof/>
            <w:webHidden/>
          </w:rPr>
          <w:tab/>
        </w:r>
        <w:r w:rsidR="00A1431D">
          <w:rPr>
            <w:noProof/>
            <w:webHidden/>
          </w:rPr>
          <w:fldChar w:fldCharType="begin"/>
        </w:r>
        <w:r w:rsidR="00A1431D">
          <w:rPr>
            <w:noProof/>
            <w:webHidden/>
          </w:rPr>
          <w:instrText xml:space="preserve"> PAGEREF _Toc143673239 \h </w:instrText>
        </w:r>
        <w:r w:rsidR="00A1431D">
          <w:rPr>
            <w:noProof/>
            <w:webHidden/>
          </w:rPr>
        </w:r>
        <w:r w:rsidR="00A1431D">
          <w:rPr>
            <w:noProof/>
            <w:webHidden/>
          </w:rPr>
          <w:fldChar w:fldCharType="separate"/>
        </w:r>
        <w:r>
          <w:rPr>
            <w:noProof/>
            <w:webHidden/>
          </w:rPr>
          <w:t>305</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40" w:history="1">
        <w:r w:rsidR="00A1431D" w:rsidRPr="00441553">
          <w:rPr>
            <w:rStyle w:val="Hipercze"/>
            <w:noProof/>
          </w:rPr>
          <w:t>V.4 Komplementarność opracowania</w:t>
        </w:r>
        <w:r w:rsidR="00A1431D">
          <w:rPr>
            <w:noProof/>
            <w:webHidden/>
          </w:rPr>
          <w:tab/>
        </w:r>
        <w:r w:rsidR="00A1431D">
          <w:rPr>
            <w:noProof/>
            <w:webHidden/>
          </w:rPr>
          <w:fldChar w:fldCharType="begin"/>
        </w:r>
        <w:r w:rsidR="00A1431D">
          <w:rPr>
            <w:noProof/>
            <w:webHidden/>
          </w:rPr>
          <w:instrText xml:space="preserve"> PAGEREF _Toc143673240 \h </w:instrText>
        </w:r>
        <w:r w:rsidR="00A1431D">
          <w:rPr>
            <w:noProof/>
            <w:webHidden/>
          </w:rPr>
        </w:r>
        <w:r w:rsidR="00A1431D">
          <w:rPr>
            <w:noProof/>
            <w:webHidden/>
          </w:rPr>
          <w:fldChar w:fldCharType="separate"/>
        </w:r>
        <w:r>
          <w:rPr>
            <w:noProof/>
            <w:webHidden/>
          </w:rPr>
          <w:t>308</w:t>
        </w:r>
        <w:r w:rsidR="00A1431D">
          <w:rPr>
            <w:noProof/>
            <w:webHidden/>
          </w:rPr>
          <w:fldChar w:fldCharType="end"/>
        </w:r>
      </w:hyperlink>
    </w:p>
    <w:p w:rsidR="00A1431D" w:rsidRDefault="00C96A96" w:rsidP="00BE5D1B">
      <w:pPr>
        <w:pStyle w:val="Spistreci2"/>
        <w:rPr>
          <w:rFonts w:eastAsiaTheme="minorEastAsia"/>
          <w:noProof/>
          <w:lang w:eastAsia="pl-PL"/>
        </w:rPr>
      </w:pPr>
      <w:hyperlink w:anchor="_Toc143673241" w:history="1">
        <w:r w:rsidR="00A1431D" w:rsidRPr="00441553">
          <w:rPr>
            <w:rStyle w:val="Hipercze"/>
            <w:noProof/>
          </w:rPr>
          <w:t>V.5 Budżet, ramy finansowania i źródła finansowania</w:t>
        </w:r>
        <w:r w:rsidR="00A1431D">
          <w:rPr>
            <w:noProof/>
            <w:webHidden/>
          </w:rPr>
          <w:tab/>
        </w:r>
        <w:r w:rsidR="00A1431D">
          <w:rPr>
            <w:noProof/>
            <w:webHidden/>
          </w:rPr>
          <w:fldChar w:fldCharType="begin"/>
        </w:r>
        <w:r w:rsidR="00A1431D">
          <w:rPr>
            <w:noProof/>
            <w:webHidden/>
          </w:rPr>
          <w:instrText xml:space="preserve"> PAGEREF _Toc143673241 \h </w:instrText>
        </w:r>
        <w:r w:rsidR="00A1431D">
          <w:rPr>
            <w:noProof/>
            <w:webHidden/>
          </w:rPr>
        </w:r>
        <w:r w:rsidR="00A1431D">
          <w:rPr>
            <w:noProof/>
            <w:webHidden/>
          </w:rPr>
          <w:fldChar w:fldCharType="separate"/>
        </w:r>
        <w:r>
          <w:rPr>
            <w:noProof/>
            <w:webHidden/>
          </w:rPr>
          <w:t>316</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42" w:history="1">
        <w:r w:rsidR="00A1431D" w:rsidRPr="00441553">
          <w:rPr>
            <w:rStyle w:val="Hipercze"/>
            <w:noProof/>
          </w:rPr>
          <w:t>Spis tabel, wykresów i map</w:t>
        </w:r>
        <w:r w:rsidR="00A1431D">
          <w:rPr>
            <w:noProof/>
            <w:webHidden/>
          </w:rPr>
          <w:tab/>
        </w:r>
        <w:r w:rsidR="00A1431D">
          <w:rPr>
            <w:noProof/>
            <w:webHidden/>
          </w:rPr>
          <w:fldChar w:fldCharType="begin"/>
        </w:r>
        <w:r w:rsidR="00A1431D">
          <w:rPr>
            <w:noProof/>
            <w:webHidden/>
          </w:rPr>
          <w:instrText xml:space="preserve"> PAGEREF _Toc143673242 \h </w:instrText>
        </w:r>
        <w:r w:rsidR="00A1431D">
          <w:rPr>
            <w:noProof/>
            <w:webHidden/>
          </w:rPr>
        </w:r>
        <w:r w:rsidR="00A1431D">
          <w:rPr>
            <w:noProof/>
            <w:webHidden/>
          </w:rPr>
          <w:fldChar w:fldCharType="separate"/>
        </w:r>
        <w:r>
          <w:rPr>
            <w:noProof/>
            <w:webHidden/>
          </w:rPr>
          <w:t>326</w:t>
        </w:r>
        <w:r w:rsidR="00A1431D">
          <w:rPr>
            <w:noProof/>
            <w:webHidden/>
          </w:rPr>
          <w:fldChar w:fldCharType="end"/>
        </w:r>
      </w:hyperlink>
    </w:p>
    <w:p w:rsidR="00A1431D" w:rsidRDefault="00C96A96" w:rsidP="00BE5D1B">
      <w:pPr>
        <w:pStyle w:val="Spistreci1"/>
        <w:tabs>
          <w:tab w:val="right" w:leader="dot" w:pos="9062"/>
        </w:tabs>
        <w:jc w:val="left"/>
        <w:rPr>
          <w:rFonts w:eastAsiaTheme="minorEastAsia"/>
          <w:b w:val="0"/>
          <w:noProof/>
          <w:color w:val="auto"/>
          <w:sz w:val="22"/>
          <w:lang w:eastAsia="pl-PL"/>
        </w:rPr>
      </w:pPr>
      <w:hyperlink w:anchor="_Toc143673243" w:history="1">
        <w:r w:rsidR="00A1431D" w:rsidRPr="00441553">
          <w:rPr>
            <w:rStyle w:val="Hipercze"/>
            <w:noProof/>
          </w:rPr>
          <w:t>Załącznik nr 1 Lista pozostałych projektów planowanych do realizacji przez gminy ZIT WrOF</w:t>
        </w:r>
        <w:r w:rsidR="00A1431D">
          <w:rPr>
            <w:noProof/>
            <w:webHidden/>
          </w:rPr>
          <w:tab/>
        </w:r>
        <w:r w:rsidR="00A1431D">
          <w:rPr>
            <w:noProof/>
            <w:webHidden/>
          </w:rPr>
          <w:fldChar w:fldCharType="begin"/>
        </w:r>
        <w:r w:rsidR="00A1431D">
          <w:rPr>
            <w:noProof/>
            <w:webHidden/>
          </w:rPr>
          <w:instrText xml:space="preserve"> PAGEREF _Toc143673243 \h </w:instrText>
        </w:r>
        <w:r w:rsidR="00A1431D">
          <w:rPr>
            <w:noProof/>
            <w:webHidden/>
          </w:rPr>
        </w:r>
        <w:r w:rsidR="00A1431D">
          <w:rPr>
            <w:noProof/>
            <w:webHidden/>
          </w:rPr>
          <w:fldChar w:fldCharType="separate"/>
        </w:r>
        <w:r>
          <w:rPr>
            <w:noProof/>
            <w:webHidden/>
          </w:rPr>
          <w:t>328</w:t>
        </w:r>
        <w:r w:rsidR="00A1431D">
          <w:rPr>
            <w:noProof/>
            <w:webHidden/>
          </w:rPr>
          <w:fldChar w:fldCharType="end"/>
        </w:r>
      </w:hyperlink>
    </w:p>
    <w:p w:rsidR="00A1431D" w:rsidRDefault="00A1431D" w:rsidP="00E566A5">
      <w:pPr>
        <w:spacing w:after="200" w:line="276" w:lineRule="auto"/>
        <w:jc w:val="left"/>
        <w:rPr>
          <w:rFonts w:eastAsia="Calibri" w:cstheme="minorHAnsi"/>
          <w:b/>
          <w:color w:val="000000" w:themeColor="text1"/>
          <w:sz w:val="32"/>
          <w:szCs w:val="32"/>
        </w:rPr>
      </w:pPr>
      <w:r>
        <w:rPr>
          <w:rFonts w:eastAsia="Calibri" w:cstheme="minorHAnsi"/>
          <w:b/>
          <w:color w:val="000000" w:themeColor="text1"/>
          <w:sz w:val="32"/>
          <w:szCs w:val="32"/>
        </w:rPr>
        <w:fldChar w:fldCharType="end"/>
      </w:r>
    </w:p>
    <w:p w:rsidR="00A1431D" w:rsidRDefault="00A1431D" w:rsidP="00E566A5">
      <w:pPr>
        <w:spacing w:after="200" w:line="276" w:lineRule="auto"/>
        <w:jc w:val="left"/>
        <w:rPr>
          <w:rFonts w:eastAsia="Calibri" w:cstheme="minorHAnsi"/>
          <w:b/>
          <w:color w:val="3380A3"/>
          <w:sz w:val="32"/>
          <w:szCs w:val="32"/>
        </w:rPr>
      </w:pPr>
      <w:r>
        <w:rPr>
          <w:rFonts w:eastAsia="Calibri" w:cstheme="minorHAnsi"/>
          <w:b/>
          <w:color w:val="3380A3"/>
          <w:sz w:val="32"/>
          <w:szCs w:val="32"/>
        </w:rPr>
        <w:br w:type="page"/>
      </w:r>
    </w:p>
    <w:p w:rsidR="004E3321" w:rsidRPr="00A1431D" w:rsidRDefault="004E3321" w:rsidP="00E566A5">
      <w:pPr>
        <w:spacing w:after="200" w:line="276" w:lineRule="auto"/>
        <w:jc w:val="left"/>
        <w:rPr>
          <w:rFonts w:eastAsia="Calibri" w:cstheme="minorHAnsi"/>
          <w:b/>
          <w:color w:val="000000" w:themeColor="text1"/>
          <w:sz w:val="32"/>
          <w:szCs w:val="32"/>
        </w:rPr>
      </w:pPr>
      <w:r w:rsidRPr="00A1431D">
        <w:rPr>
          <w:rFonts w:eastAsia="Calibri" w:cstheme="minorHAnsi"/>
          <w:b/>
          <w:color w:val="000000" w:themeColor="text1"/>
          <w:sz w:val="32"/>
          <w:szCs w:val="32"/>
        </w:rPr>
        <w:t>Wykaz skrótów</w:t>
      </w:r>
      <w:bookmarkEnd w:id="0"/>
      <w:bookmarkEnd w:id="1"/>
    </w:p>
    <w:tbl>
      <w:tblPr>
        <w:tblStyle w:val="Tabela-Siatka1"/>
        <w:tblW w:w="0" w:type="auto"/>
        <w:tblLook w:val="04A0" w:firstRow="1" w:lastRow="0" w:firstColumn="1" w:lastColumn="0" w:noHBand="0" w:noVBand="1"/>
        <w:tblCaption w:val="Wykaz skrótów"/>
        <w:tblDescription w:val="Wykaz skrótów"/>
      </w:tblPr>
      <w:tblGrid>
        <w:gridCol w:w="2395"/>
        <w:gridCol w:w="6655"/>
      </w:tblGrid>
      <w:tr w:rsidR="00EF02E5" w:rsidRPr="001473F1" w:rsidTr="00EF02E5">
        <w:trPr>
          <w:trHeight w:val="680"/>
          <w:tblHeader/>
        </w:trPr>
        <w:tc>
          <w:tcPr>
            <w:tcW w:w="2395" w:type="dxa"/>
            <w:vAlign w:val="center"/>
          </w:tcPr>
          <w:p w:rsidR="00EF02E5" w:rsidRPr="00EF02E5" w:rsidRDefault="00EF02E5" w:rsidP="00EF02E5">
            <w:pPr>
              <w:spacing w:line="240" w:lineRule="auto"/>
              <w:jc w:val="left"/>
              <w:rPr>
                <w:rFonts w:cstheme="minorHAnsi"/>
                <w:b/>
                <w:bCs/>
                <w:sz w:val="24"/>
                <w:szCs w:val="24"/>
              </w:rPr>
            </w:pPr>
            <w:r w:rsidRPr="00EF02E5">
              <w:rPr>
                <w:rFonts w:cstheme="minorHAnsi"/>
                <w:b/>
                <w:bCs/>
                <w:sz w:val="24"/>
                <w:szCs w:val="24"/>
              </w:rPr>
              <w:t xml:space="preserve">Skrót </w:t>
            </w:r>
          </w:p>
        </w:tc>
        <w:tc>
          <w:tcPr>
            <w:tcW w:w="6655" w:type="dxa"/>
            <w:vAlign w:val="center"/>
          </w:tcPr>
          <w:p w:rsidR="00EF02E5" w:rsidRPr="00EF02E5" w:rsidRDefault="00EF02E5" w:rsidP="00EF02E5">
            <w:pPr>
              <w:spacing w:line="240" w:lineRule="auto"/>
              <w:jc w:val="left"/>
              <w:rPr>
                <w:rFonts w:cstheme="minorHAnsi"/>
                <w:b/>
                <w:sz w:val="24"/>
                <w:szCs w:val="24"/>
              </w:rPr>
            </w:pPr>
            <w:r w:rsidRPr="00EF02E5">
              <w:rPr>
                <w:rFonts w:cstheme="minorHAnsi"/>
                <w:b/>
                <w:sz w:val="24"/>
                <w:szCs w:val="24"/>
              </w:rPr>
              <w:t>Wyjaśnienie</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ZIT WrOF</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Zintegrowane Inwestycje Terytorialne Wrocławskiego Obszaru Funkcjonalnego</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sz w:val="24"/>
                <w:szCs w:val="24"/>
              </w:rPr>
              <w:t>WrOF</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Wrocławski Obszar Funkcjonalny</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Strategia ZIT WrOF 2021-2027</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Strategia Zintegrowanych Inwestycji Terytorialnych Wrocławskiego Obszaru Funkcjonalnego na lata 2021-2027</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Strategia ZIT WrOF</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Strategia Zintegrowanych Inwestycji Terytorialnych Wrocławskiego Obszaru Funkcjonalnego (opracowana w 2015 r.)</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Porozumienie</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Porozumienie z dnia 17 grudnia 2021 r. w sprawie zasad współpracy Stron Porozumienia przy programowaniu, wdrażaniu, finansowaniu, ewaluacji i koordynowaniu wspólnych przedsięwzięć, bieżącej obsłudze i rozliczeniach ZIT WrOF, zawarte między 19 samorządami, na okres wdrażania i rozliczania ZIT WrOF</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ZIT</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Zintegrowane Inwestycje Terytorialne</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PZM MOFW</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Plan Zrównoważonej Mobilności dla Miejskiego Obszaru Funkcjonalnego Wrocławia</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KPO</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color w:val="000000" w:themeColor="text1"/>
                <w:sz w:val="24"/>
                <w:szCs w:val="24"/>
              </w:rPr>
              <w:t xml:space="preserve">Krajowy Plan Odbudowy </w:t>
            </w:r>
            <w:r w:rsidRPr="001473F1">
              <w:rPr>
                <w:rFonts w:cstheme="minorHAnsi"/>
                <w:color w:val="000000" w:themeColor="text1"/>
                <w:sz w:val="24"/>
                <w:szCs w:val="24"/>
                <w:shd w:val="clear" w:color="auto" w:fill="FFFFFF"/>
              </w:rPr>
              <w:t>i Zwiększania Odporności</w:t>
            </w:r>
            <w:r w:rsidRPr="001473F1">
              <w:rPr>
                <w:rFonts w:cstheme="minorHAnsi"/>
                <w:color w:val="4D5156"/>
                <w:sz w:val="24"/>
                <w:szCs w:val="24"/>
                <w:shd w:val="clear" w:color="auto" w:fill="FFFFFF"/>
              </w:rPr>
              <w:t> </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EFRR</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Europejski Fundusz Rozwoju Regionalnego</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FEDS 2021-2027</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Fundusze Europejskie dla Dolnego Śląska 2021-2027</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proofErr w:type="spellStart"/>
            <w:r w:rsidRPr="001473F1">
              <w:rPr>
                <w:rFonts w:cstheme="minorHAnsi"/>
                <w:bCs/>
                <w:sz w:val="24"/>
                <w:szCs w:val="24"/>
              </w:rPr>
              <w:t>FEnIKS</w:t>
            </w:r>
            <w:proofErr w:type="spellEnd"/>
            <w:r w:rsidRPr="001473F1">
              <w:rPr>
                <w:rFonts w:cstheme="minorHAnsi"/>
                <w:bCs/>
                <w:sz w:val="24"/>
                <w:szCs w:val="24"/>
              </w:rPr>
              <w:t xml:space="preserve"> 2021-2027</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 xml:space="preserve">Fundusze Europejskie na Infrastrukturę, Klimat, Środowisko </w:t>
            </w:r>
            <w:r w:rsidR="00C82C70">
              <w:rPr>
                <w:rFonts w:cstheme="minorHAnsi"/>
                <w:sz w:val="24"/>
                <w:szCs w:val="24"/>
              </w:rPr>
              <w:br/>
            </w:r>
            <w:bookmarkStart w:id="2" w:name="_GoBack"/>
            <w:bookmarkEnd w:id="2"/>
            <w:r w:rsidRPr="001473F1">
              <w:rPr>
                <w:rFonts w:cstheme="minorHAnsi"/>
                <w:sz w:val="24"/>
                <w:szCs w:val="24"/>
              </w:rPr>
              <w:t>2021-2027</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FERS</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Fundusze Europejskie dla Rozwoju Społecznego 2021-2027</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FENG</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Fundusze Europejskie dla Nowoczesnej Gospodarki 2021-2027</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FERC</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Fundusze Europejskie na Rozwój Cyfrowy 2021-2027</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 xml:space="preserve">PTFE </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Pomoc Techniczna dla Funduszy Europejskich 2021-2027</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MŚP</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Sektor mikro, małych i średnich przedsiębiorstw</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Umowa Partnerstwa</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Umowa Partnerstwa dla realizacji</w:t>
            </w:r>
            <w:r w:rsidR="00356D30">
              <w:rPr>
                <w:rFonts w:cstheme="minorHAnsi"/>
                <w:sz w:val="24"/>
                <w:szCs w:val="24"/>
              </w:rPr>
              <w:t xml:space="preserve"> Polityki Spójności 2021-2027 w </w:t>
            </w:r>
            <w:r w:rsidRPr="001473F1">
              <w:rPr>
                <w:rFonts w:cstheme="minorHAnsi"/>
                <w:sz w:val="24"/>
                <w:szCs w:val="24"/>
              </w:rPr>
              <w:t>Polsce</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JST</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Jednostka Samorządu Terytorialnego</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Rozporządzenie Ogólne</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tc>
      </w:tr>
      <w:tr w:rsidR="00EF02E5" w:rsidRPr="001473F1" w:rsidTr="00EF02E5">
        <w:trPr>
          <w:trHeight w:val="907"/>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Ustawa Wdrożeniowa</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Ustawa z dnia 28 kwietnia 2022 r. o zasadach realizacji zadań finansowanych ze środków europejs</w:t>
            </w:r>
            <w:r w:rsidR="00180408">
              <w:rPr>
                <w:rFonts w:cstheme="minorHAnsi"/>
                <w:sz w:val="24"/>
                <w:szCs w:val="24"/>
              </w:rPr>
              <w:t xml:space="preserve">kich w perspektywie finansowej </w:t>
            </w:r>
            <w:r w:rsidRPr="001473F1">
              <w:rPr>
                <w:rFonts w:cstheme="minorHAnsi"/>
                <w:sz w:val="24"/>
                <w:szCs w:val="24"/>
              </w:rPr>
              <w:t>2021-2027 (Dz. U. 2022 r. poz. 1079)</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OSI</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Obszar strategicznej interwencji</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SOOŚ</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Strategiczna ocena oddziaływania na środowisko</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proofErr w:type="spellStart"/>
            <w:r w:rsidRPr="001473F1">
              <w:rPr>
                <w:rFonts w:cstheme="minorHAnsi"/>
                <w:bCs/>
                <w:sz w:val="24"/>
                <w:szCs w:val="24"/>
              </w:rPr>
              <w:t>OzN</w:t>
            </w:r>
            <w:proofErr w:type="spellEnd"/>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Osoby z niepełnosprawnością</w:t>
            </w:r>
          </w:p>
        </w:tc>
      </w:tr>
      <w:tr w:rsidR="00EF02E5" w:rsidRPr="001473F1" w:rsidTr="00EF02E5">
        <w:trPr>
          <w:trHeight w:val="680"/>
        </w:trPr>
        <w:tc>
          <w:tcPr>
            <w:tcW w:w="2395" w:type="dxa"/>
            <w:vAlign w:val="center"/>
          </w:tcPr>
          <w:p w:rsidR="00EF02E5" w:rsidRPr="001473F1" w:rsidRDefault="00EF02E5" w:rsidP="00EF02E5">
            <w:pPr>
              <w:spacing w:line="240" w:lineRule="auto"/>
              <w:jc w:val="left"/>
              <w:rPr>
                <w:rFonts w:cstheme="minorHAnsi"/>
                <w:bCs/>
                <w:sz w:val="24"/>
                <w:szCs w:val="24"/>
              </w:rPr>
            </w:pPr>
            <w:r w:rsidRPr="001473F1">
              <w:rPr>
                <w:rFonts w:cstheme="minorHAnsi"/>
                <w:bCs/>
                <w:sz w:val="24"/>
                <w:szCs w:val="24"/>
              </w:rPr>
              <w:t>AON</w:t>
            </w:r>
          </w:p>
        </w:tc>
        <w:tc>
          <w:tcPr>
            <w:tcW w:w="6655" w:type="dxa"/>
            <w:vAlign w:val="center"/>
          </w:tcPr>
          <w:p w:rsidR="00EF02E5" w:rsidRPr="001473F1" w:rsidRDefault="00EF02E5" w:rsidP="00EF02E5">
            <w:pPr>
              <w:spacing w:line="240" w:lineRule="auto"/>
              <w:jc w:val="left"/>
              <w:rPr>
                <w:rFonts w:cstheme="minorHAnsi"/>
                <w:sz w:val="24"/>
                <w:szCs w:val="24"/>
              </w:rPr>
            </w:pPr>
            <w:r w:rsidRPr="001473F1">
              <w:rPr>
                <w:rFonts w:cstheme="minorHAnsi"/>
                <w:sz w:val="24"/>
                <w:szCs w:val="24"/>
              </w:rPr>
              <w:t>Asystent osoby niepełnosprawnej</w:t>
            </w:r>
          </w:p>
        </w:tc>
      </w:tr>
    </w:tbl>
    <w:p w:rsidR="00AC250D" w:rsidRDefault="00EF02E5" w:rsidP="00351CAC">
      <w:r>
        <w:t xml:space="preserve"> </w:t>
      </w:r>
      <w:r w:rsidR="00AC250D">
        <w:br w:type="page"/>
      </w:r>
    </w:p>
    <w:p w:rsidR="00D9109A" w:rsidRPr="00FA077A" w:rsidRDefault="00D9109A" w:rsidP="004069B4">
      <w:pPr>
        <w:pStyle w:val="Nagwek1"/>
      </w:pPr>
      <w:bookmarkStart w:id="3" w:name="_Toc143673197"/>
      <w:r w:rsidRPr="004069B4">
        <w:t>Wstęp</w:t>
      </w:r>
      <w:bookmarkEnd w:id="3"/>
    </w:p>
    <w:p w:rsidR="00CF7E78" w:rsidRPr="001473F1" w:rsidRDefault="00DA6D77" w:rsidP="001473F1">
      <w:pPr>
        <w:spacing w:after="80"/>
        <w:jc w:val="left"/>
        <w:rPr>
          <w:sz w:val="24"/>
        </w:rPr>
      </w:pPr>
      <w:r w:rsidRPr="001473F1">
        <w:rPr>
          <w:sz w:val="24"/>
        </w:rPr>
        <w:t>Spójność terytorialna</w:t>
      </w:r>
      <w:r w:rsidR="000C5D23" w:rsidRPr="001473F1">
        <w:rPr>
          <w:sz w:val="24"/>
        </w:rPr>
        <w:t xml:space="preserve"> jest istotnym elementem polityki rozwoju UE wpływającym na zwiększenie konkurencyjności obszarów. Instrument Zintegrowanych In</w:t>
      </w:r>
      <w:r w:rsidR="00122D04" w:rsidRPr="001473F1">
        <w:rPr>
          <w:sz w:val="24"/>
        </w:rPr>
        <w:t xml:space="preserve">westycji Terytorialnych (ZIT), </w:t>
      </w:r>
      <w:r w:rsidR="000C5D23" w:rsidRPr="001473F1">
        <w:rPr>
          <w:sz w:val="24"/>
        </w:rPr>
        <w:t>od okresu programowania 2014-2020</w:t>
      </w:r>
      <w:r w:rsidRPr="001473F1">
        <w:rPr>
          <w:sz w:val="24"/>
        </w:rPr>
        <w:t>,</w:t>
      </w:r>
      <w:r w:rsidR="000C5D23" w:rsidRPr="001473F1">
        <w:rPr>
          <w:sz w:val="24"/>
        </w:rPr>
        <w:t xml:space="preserve"> jest narzędziem wspierającym wdrażanie st</w:t>
      </w:r>
      <w:r w:rsidR="00C55A8D" w:rsidRPr="001473F1">
        <w:rPr>
          <w:sz w:val="24"/>
        </w:rPr>
        <w:t>rategii terytorialnych z </w:t>
      </w:r>
      <w:r w:rsidR="000C5D23" w:rsidRPr="001473F1">
        <w:rPr>
          <w:sz w:val="24"/>
        </w:rPr>
        <w:t xml:space="preserve">wykorzystaniem możliwości finansowych jakie </w:t>
      </w:r>
      <w:r w:rsidR="00122D04" w:rsidRPr="001473F1">
        <w:rPr>
          <w:sz w:val="24"/>
        </w:rPr>
        <w:t xml:space="preserve">dają nam Fundusze Europejskie. ZIT-y </w:t>
      </w:r>
      <w:r w:rsidR="000C5D23" w:rsidRPr="001473F1">
        <w:rPr>
          <w:sz w:val="24"/>
        </w:rPr>
        <w:t>służą przede wszystkim wspier</w:t>
      </w:r>
      <w:r w:rsidR="001473F1">
        <w:rPr>
          <w:sz w:val="24"/>
        </w:rPr>
        <w:t>aniu rozwoju miast i obszarów z </w:t>
      </w:r>
      <w:r w:rsidR="00CF7E78" w:rsidRPr="001473F1">
        <w:rPr>
          <w:sz w:val="24"/>
        </w:rPr>
        <w:t>nimi funkcjonalnie powiązanych.</w:t>
      </w:r>
    </w:p>
    <w:p w:rsidR="000C5D23" w:rsidRPr="001473F1" w:rsidRDefault="000C5D23" w:rsidP="001473F1">
      <w:pPr>
        <w:spacing w:after="80"/>
        <w:jc w:val="left"/>
        <w:rPr>
          <w:sz w:val="24"/>
        </w:rPr>
      </w:pPr>
      <w:r w:rsidRPr="001473F1">
        <w:rPr>
          <w:rFonts w:eastAsia="Microsoft YaHei"/>
          <w:kern w:val="1"/>
          <w:sz w:val="24"/>
        </w:rPr>
        <w:t>Formuła ta umożliwia wyjście poza sztywne granice administracyjne samorządów, co przekłada się na większe oddziaływanie realizowanych wspólnie przedsięwzięć. ZIT WrOF</w:t>
      </w:r>
      <w:r w:rsidR="004069B4" w:rsidRPr="001473F1">
        <w:rPr>
          <w:rFonts w:eastAsia="Microsoft YaHei"/>
          <w:kern w:val="1"/>
          <w:sz w:val="24"/>
        </w:rPr>
        <w:t xml:space="preserve"> od początku istnienia działa </w:t>
      </w:r>
      <w:r w:rsidR="004069B4" w:rsidRPr="001473F1">
        <w:rPr>
          <w:sz w:val="24"/>
        </w:rPr>
        <w:t>w </w:t>
      </w:r>
      <w:r w:rsidRPr="001473F1">
        <w:rPr>
          <w:sz w:val="24"/>
        </w:rPr>
        <w:t>formie</w:t>
      </w:r>
      <w:r w:rsidRPr="001473F1">
        <w:rPr>
          <w:rFonts w:eastAsia="Microsoft YaHei"/>
          <w:kern w:val="1"/>
          <w:sz w:val="24"/>
        </w:rPr>
        <w:t xml:space="preserve"> porozumienia zawartego pomiędzy JST.</w:t>
      </w:r>
      <w:r w:rsidRPr="001473F1">
        <w:rPr>
          <w:sz w:val="24"/>
        </w:rPr>
        <w:t xml:space="preserve"> W okresie programowania 2014-2020 ZIT WrOF obejmował swym zasięgiem 15 jednostek terytorialnych z Gminą Wrocław jako Li</w:t>
      </w:r>
      <w:r w:rsidR="00122D04" w:rsidRPr="001473F1">
        <w:rPr>
          <w:sz w:val="24"/>
        </w:rPr>
        <w:t xml:space="preserve">derem. </w:t>
      </w:r>
      <w:r w:rsidRPr="001473F1">
        <w:rPr>
          <w:sz w:val="24"/>
        </w:rPr>
        <w:t>Nadrzędnym dokumentem programującym tą pilotażową wówczas formę wsparcia była „Strategia Zintegrowanych Inwestycji Terytorialnych Wrocławskiego Obszaru Funkcjonalnego</w:t>
      </w:r>
      <w:r w:rsidR="00DA6D77" w:rsidRPr="001473F1">
        <w:rPr>
          <w:sz w:val="24"/>
        </w:rPr>
        <w:t>”</w:t>
      </w:r>
      <w:r w:rsidRPr="001473F1">
        <w:rPr>
          <w:sz w:val="24"/>
        </w:rPr>
        <w:t xml:space="preserve"> (zwana Strategią ZIT WrOF).</w:t>
      </w:r>
    </w:p>
    <w:p w:rsidR="000C5D23" w:rsidRPr="001473F1" w:rsidRDefault="000C5D23" w:rsidP="001473F1">
      <w:pPr>
        <w:pStyle w:val="AAAtekst"/>
        <w:spacing w:after="80" w:line="360" w:lineRule="auto"/>
        <w:ind w:firstLine="0"/>
        <w:jc w:val="left"/>
        <w:rPr>
          <w:rFonts w:asciiTheme="minorHAnsi" w:hAnsiTheme="minorHAnsi"/>
          <w:szCs w:val="22"/>
        </w:rPr>
      </w:pPr>
      <w:r w:rsidRPr="001473F1">
        <w:rPr>
          <w:rFonts w:asciiTheme="minorHAnsi" w:hAnsiTheme="minorHAnsi"/>
          <w:szCs w:val="22"/>
        </w:rPr>
        <w:t>W ramach ZIT WrOF – od 2014 r. udało się zrealizować projekty, które w istotny sposób przyczyniły się do poprawy życia mieszkańców obszaru, w tym w szczególności w zakresie: edukacji, infrastruktury technicznej i społecznej, atrakcyjności inwestycyjnej i turystyczno-rekreacyjnej, rewitalizacji, ochrony środowiska, otoczenia biznesu oraz infrastruktury dostosowanej do potrzeb osób starszych.</w:t>
      </w:r>
    </w:p>
    <w:p w:rsidR="000C5D23" w:rsidRPr="001473F1" w:rsidRDefault="000C5D23" w:rsidP="001473F1">
      <w:pPr>
        <w:pStyle w:val="AAAtekst"/>
        <w:spacing w:after="80" w:line="360" w:lineRule="auto"/>
        <w:ind w:firstLine="0"/>
        <w:jc w:val="left"/>
        <w:rPr>
          <w:rFonts w:asciiTheme="minorHAnsi" w:hAnsiTheme="minorHAnsi"/>
          <w:szCs w:val="22"/>
        </w:rPr>
      </w:pPr>
      <w:r w:rsidRPr="001473F1">
        <w:rPr>
          <w:rFonts w:asciiTheme="minorHAnsi" w:hAnsiTheme="minorHAnsi"/>
          <w:szCs w:val="22"/>
        </w:rPr>
        <w:t>Okres minionej perspektywy finansowej, pokazał jak realizacja wspóln</w:t>
      </w:r>
      <w:r w:rsidR="00E8722F" w:rsidRPr="001473F1">
        <w:rPr>
          <w:rFonts w:asciiTheme="minorHAnsi" w:hAnsiTheme="minorHAnsi"/>
          <w:szCs w:val="22"/>
        </w:rPr>
        <w:t>ych inicjatyw przyczynia się do </w:t>
      </w:r>
      <w:r w:rsidRPr="001473F1">
        <w:rPr>
          <w:rFonts w:asciiTheme="minorHAnsi" w:hAnsiTheme="minorHAnsi"/>
          <w:szCs w:val="22"/>
        </w:rPr>
        <w:t xml:space="preserve">budowy coraz silniejszego potencjału oraz przyciąga zarówno inwestorów jak i nowych mieszkańców. Tak szeroko zakrojone inwestycje i projekty wykraczające poza obszar jednej gminy możliwe były tylko dzięki współpracy i współdziałaniu. ZIT WrOF stał się platformą współpracy, wymiany doświadczeń oraz konsultacji, pozwalającą w innowacyjny sposób postrzegać politykę wspierania rozwoju </w:t>
      </w:r>
      <w:proofErr w:type="spellStart"/>
      <w:r w:rsidRPr="001473F1">
        <w:rPr>
          <w:rFonts w:asciiTheme="minorHAnsi" w:hAnsiTheme="minorHAnsi"/>
          <w:szCs w:val="22"/>
        </w:rPr>
        <w:t>subregionalnego</w:t>
      </w:r>
      <w:proofErr w:type="spellEnd"/>
      <w:r w:rsidRPr="001473F1">
        <w:rPr>
          <w:rFonts w:asciiTheme="minorHAnsi" w:hAnsiTheme="minorHAnsi"/>
          <w:szCs w:val="22"/>
        </w:rPr>
        <w:t>.</w:t>
      </w:r>
    </w:p>
    <w:p w:rsidR="000C5D23" w:rsidRPr="001473F1" w:rsidRDefault="000C5D23" w:rsidP="001473F1">
      <w:pPr>
        <w:spacing w:after="80"/>
        <w:jc w:val="left"/>
        <w:rPr>
          <w:sz w:val="24"/>
        </w:rPr>
      </w:pPr>
      <w:r w:rsidRPr="001473F1">
        <w:rPr>
          <w:rFonts w:eastAsia="Microsoft YaHei"/>
          <w:kern w:val="1"/>
          <w:sz w:val="24"/>
        </w:rPr>
        <w:t>Obecnie ZIT WrOF</w:t>
      </w:r>
      <w:r w:rsidR="005D10A3" w:rsidRPr="001473F1">
        <w:rPr>
          <w:rFonts w:eastAsia="Microsoft YaHei"/>
          <w:kern w:val="1"/>
          <w:sz w:val="24"/>
        </w:rPr>
        <w:t xml:space="preserve"> </w:t>
      </w:r>
      <w:r w:rsidR="00F6377B" w:rsidRPr="001473F1">
        <w:rPr>
          <w:rFonts w:eastAsia="Microsoft YaHei"/>
          <w:kern w:val="1"/>
          <w:sz w:val="24"/>
        </w:rPr>
        <w:t>jest</w:t>
      </w:r>
      <w:r w:rsidRPr="001473F1">
        <w:rPr>
          <w:rFonts w:eastAsia="Microsoft YaHei"/>
          <w:kern w:val="1"/>
          <w:sz w:val="24"/>
        </w:rPr>
        <w:t xml:space="preserve"> kontynuacją działań, które były realizowane w latach 2014-2020. </w:t>
      </w:r>
      <w:r w:rsidRPr="001473F1">
        <w:rPr>
          <w:sz w:val="24"/>
        </w:rPr>
        <w:t xml:space="preserve">Nadrzędnym dokumentem regulującym zasady funkcjonowania Wrocławskiego Obszaru Funkcjonalnego jest </w:t>
      </w:r>
      <w:r w:rsidRPr="001473F1">
        <w:rPr>
          <w:rFonts w:eastAsia="Microsoft YaHei"/>
          <w:kern w:val="1"/>
          <w:sz w:val="24"/>
          <w:lang w:eastAsia="pl-PL"/>
        </w:rPr>
        <w:t>Porozumienie w sprawie zasad współpracy Stron Porozumienia przy programowaniu, wdrażaniu, finansowaniu, ewaluacji, uzgadnianiu wspólnych inwestycji, bieżącej obsłudze i rozliczeniach ZIT WrOF, na perspektywę UE 2021-2027. Obszar ZIT został powiększony o 4 k</w:t>
      </w:r>
      <w:r w:rsidR="006C0F6E" w:rsidRPr="001473F1">
        <w:rPr>
          <w:rFonts w:eastAsia="Microsoft YaHei"/>
          <w:kern w:val="1"/>
          <w:sz w:val="24"/>
          <w:lang w:eastAsia="pl-PL"/>
        </w:rPr>
        <w:t>olejne Gminy. Obecnie tworzy go </w:t>
      </w:r>
      <w:r w:rsidR="00B80393" w:rsidRPr="001473F1">
        <w:rPr>
          <w:rFonts w:eastAsia="Microsoft YaHei"/>
          <w:kern w:val="1"/>
          <w:sz w:val="24"/>
          <w:lang w:eastAsia="pl-PL"/>
        </w:rPr>
        <w:t>19 </w:t>
      </w:r>
      <w:r w:rsidRPr="001473F1">
        <w:rPr>
          <w:rFonts w:eastAsia="Microsoft YaHei"/>
          <w:kern w:val="1"/>
          <w:sz w:val="24"/>
          <w:lang w:eastAsia="pl-PL"/>
        </w:rPr>
        <w:t xml:space="preserve">gmin. </w:t>
      </w:r>
    </w:p>
    <w:p w:rsidR="000C5D23" w:rsidRPr="001473F1" w:rsidRDefault="000C5D23" w:rsidP="001473F1">
      <w:pPr>
        <w:spacing w:after="80"/>
        <w:jc w:val="left"/>
        <w:rPr>
          <w:sz w:val="24"/>
        </w:rPr>
      </w:pPr>
      <w:r w:rsidRPr="001473F1">
        <w:rPr>
          <w:rFonts w:eastAsia="Microsoft YaHei"/>
          <w:kern w:val="1"/>
          <w:sz w:val="24"/>
        </w:rPr>
        <w:t xml:space="preserve">Warunkiem realizacji ZIT w latach 2021-2027 </w:t>
      </w:r>
      <w:r w:rsidRPr="001473F1">
        <w:rPr>
          <w:sz w:val="24"/>
        </w:rPr>
        <w:t>jest niniejsza Strategia Zintegrowanych Inwestycji Terytorialnych Wrocławskiego Obszaru Funkcjonalnego na lata 2021-2027 (zwana dalej Strategią ZIT WrOF 2021-2027), będąca w ujęciu formalno-prawnym strategią terytorialną. Jednocześnie należy podkreślić, że struktura dokumentu wpisuje się w definiowany kształt strategii o</w:t>
      </w:r>
      <w:r w:rsidR="005D10A3" w:rsidRPr="001473F1">
        <w:rPr>
          <w:sz w:val="24"/>
        </w:rPr>
        <w:t xml:space="preserve"> </w:t>
      </w:r>
      <w:r w:rsidRPr="001473F1">
        <w:rPr>
          <w:sz w:val="24"/>
        </w:rPr>
        <w:t xml:space="preserve">charakterze ponadlokalnym. </w:t>
      </w:r>
      <w:r w:rsidR="00D61B18" w:rsidRPr="001473F1">
        <w:rPr>
          <w:sz w:val="24"/>
          <w:lang w:eastAsia="pl-PL"/>
        </w:rPr>
        <w:t>Zgodnie z art. 34 ust. 6 pkt 3) ustawy z dnia 28 kwietnia 2022 r. o zasadach realizacji zadań finansowanych ze środków europejskich w perspektywie fin</w:t>
      </w:r>
      <w:r w:rsidR="00B80393" w:rsidRPr="001473F1">
        <w:rPr>
          <w:sz w:val="24"/>
          <w:lang w:eastAsia="pl-PL"/>
        </w:rPr>
        <w:t>ansowej 2021-2027 do końca 2025 </w:t>
      </w:r>
      <w:r w:rsidR="00D61B18" w:rsidRPr="001473F1">
        <w:rPr>
          <w:sz w:val="24"/>
          <w:lang w:eastAsia="pl-PL"/>
        </w:rPr>
        <w:t>r. ZIT WrOF (jako miejski obszar funkcjonalny) zobowiązany będzie do opracowania Strategii Ponadlokalnej, która będzie spójna ze Strategią ZIT WrO</w:t>
      </w:r>
      <w:r w:rsidR="00122D04" w:rsidRPr="001473F1">
        <w:rPr>
          <w:sz w:val="24"/>
          <w:lang w:eastAsia="pl-PL"/>
        </w:rPr>
        <w:t xml:space="preserve">F 2021-2027. </w:t>
      </w:r>
      <w:r w:rsidR="00D61B18" w:rsidRPr="001473F1">
        <w:rPr>
          <w:sz w:val="24"/>
          <w:lang w:eastAsia="pl-PL"/>
        </w:rPr>
        <w:t xml:space="preserve">W związku z tym </w:t>
      </w:r>
      <w:r w:rsidRPr="001473F1">
        <w:rPr>
          <w:sz w:val="24"/>
        </w:rPr>
        <w:t>podejście</w:t>
      </w:r>
      <w:r w:rsidR="005D10A3" w:rsidRPr="001473F1">
        <w:rPr>
          <w:sz w:val="24"/>
        </w:rPr>
        <w:t xml:space="preserve"> </w:t>
      </w:r>
      <w:r w:rsidR="00F87154" w:rsidRPr="001473F1">
        <w:rPr>
          <w:sz w:val="24"/>
        </w:rPr>
        <w:t>to</w:t>
      </w:r>
      <w:r w:rsidRPr="001473F1">
        <w:rPr>
          <w:sz w:val="24"/>
        </w:rPr>
        <w:t xml:space="preserve"> ułatwi aktualizację dokumentu w przyszłości, ograniczając ją do wypracowania modelu </w:t>
      </w:r>
      <w:proofErr w:type="spellStart"/>
      <w:r w:rsidRPr="001473F1">
        <w:rPr>
          <w:sz w:val="24"/>
        </w:rPr>
        <w:t>przestrzenno</w:t>
      </w:r>
      <w:proofErr w:type="spellEnd"/>
      <w:r w:rsidR="00B80393" w:rsidRPr="001473F1">
        <w:rPr>
          <w:sz w:val="24"/>
        </w:rPr>
        <w:br/>
      </w:r>
      <w:r w:rsidRPr="001473F1">
        <w:rPr>
          <w:sz w:val="24"/>
        </w:rPr>
        <w:t>-funkcjonalnego oraz rekomendacji dotyczących polityki przestrzennej</w:t>
      </w:r>
      <w:r w:rsidR="00CA1F0F" w:rsidRPr="001473F1">
        <w:rPr>
          <w:sz w:val="24"/>
        </w:rPr>
        <w:t>.</w:t>
      </w:r>
    </w:p>
    <w:p w:rsidR="000C5D23" w:rsidRPr="001473F1" w:rsidRDefault="008056FF" w:rsidP="001473F1">
      <w:pPr>
        <w:pStyle w:val="AAAtekst"/>
        <w:spacing w:after="80" w:line="360" w:lineRule="auto"/>
        <w:ind w:firstLine="0"/>
        <w:jc w:val="left"/>
        <w:rPr>
          <w:rFonts w:asciiTheme="minorHAnsi" w:hAnsiTheme="minorHAnsi"/>
          <w:szCs w:val="22"/>
        </w:rPr>
      </w:pPr>
      <w:r w:rsidRPr="001473F1">
        <w:rPr>
          <w:rFonts w:asciiTheme="minorHAnsi" w:hAnsiTheme="minorHAnsi"/>
          <w:szCs w:val="22"/>
        </w:rPr>
        <w:t>Opracowanie Strategii ZIT WrOF</w:t>
      </w:r>
      <w:r w:rsidR="00122D04" w:rsidRPr="001473F1">
        <w:rPr>
          <w:rFonts w:asciiTheme="minorHAnsi" w:hAnsiTheme="minorHAnsi"/>
          <w:szCs w:val="22"/>
        </w:rPr>
        <w:t xml:space="preserve"> </w:t>
      </w:r>
      <w:r w:rsidR="000C5D23" w:rsidRPr="001473F1">
        <w:rPr>
          <w:rFonts w:asciiTheme="minorHAnsi" w:hAnsiTheme="minorHAnsi"/>
          <w:szCs w:val="22"/>
        </w:rPr>
        <w:t xml:space="preserve">2021-2027 zostało poprzedzone kompleksowymi pracami diagnostycznymi i badawczymi. Na tej podstawie wskazano niezbędne </w:t>
      </w:r>
      <w:r w:rsidR="00956340">
        <w:rPr>
          <w:rFonts w:asciiTheme="minorHAnsi" w:hAnsiTheme="minorHAnsi"/>
          <w:szCs w:val="22"/>
        </w:rPr>
        <w:t xml:space="preserve">do realizacji cele, priorytety </w:t>
      </w:r>
      <w:r w:rsidR="000C5D23" w:rsidRPr="001473F1">
        <w:rPr>
          <w:rFonts w:asciiTheme="minorHAnsi" w:hAnsiTheme="minorHAnsi"/>
          <w:szCs w:val="22"/>
        </w:rPr>
        <w:t xml:space="preserve">i kierunki działań oraz listę projektów możliwych do </w:t>
      </w:r>
      <w:r w:rsidR="00180408">
        <w:rPr>
          <w:rFonts w:asciiTheme="minorHAnsi" w:hAnsiTheme="minorHAnsi"/>
          <w:szCs w:val="22"/>
        </w:rPr>
        <w:t>realizacji w formule ZIT wraz z </w:t>
      </w:r>
      <w:r w:rsidR="000C5D23" w:rsidRPr="001473F1">
        <w:rPr>
          <w:rFonts w:asciiTheme="minorHAnsi" w:hAnsiTheme="minorHAnsi"/>
          <w:szCs w:val="22"/>
        </w:rPr>
        <w:t xml:space="preserve">określeniem planu finansowego. Projekt dokumentu </w:t>
      </w:r>
      <w:r w:rsidR="00C342B2" w:rsidRPr="001473F1">
        <w:rPr>
          <w:rFonts w:asciiTheme="minorHAnsi" w:hAnsiTheme="minorHAnsi"/>
          <w:szCs w:val="22"/>
        </w:rPr>
        <w:t>podlega</w:t>
      </w:r>
      <w:r w:rsidR="000C5D23" w:rsidRPr="001473F1">
        <w:rPr>
          <w:rFonts w:asciiTheme="minorHAnsi" w:hAnsiTheme="minorHAnsi"/>
          <w:szCs w:val="22"/>
        </w:rPr>
        <w:t xml:space="preserve"> otwartym konsultacjom społecznym oraz Strategicznej Ocenie Oddziaływania na Środowisko. </w:t>
      </w:r>
    </w:p>
    <w:p w:rsidR="000C5D23" w:rsidRPr="001473F1" w:rsidRDefault="00122D04" w:rsidP="001473F1">
      <w:pPr>
        <w:pStyle w:val="AAAtekst"/>
        <w:spacing w:after="80" w:line="360" w:lineRule="auto"/>
        <w:ind w:firstLine="0"/>
        <w:jc w:val="left"/>
        <w:rPr>
          <w:rFonts w:asciiTheme="minorHAnsi" w:hAnsiTheme="minorHAnsi"/>
          <w:szCs w:val="22"/>
        </w:rPr>
      </w:pPr>
      <w:r w:rsidRPr="001473F1">
        <w:rPr>
          <w:rFonts w:asciiTheme="minorHAnsi" w:hAnsiTheme="minorHAnsi"/>
          <w:szCs w:val="22"/>
        </w:rPr>
        <w:t xml:space="preserve">Strategia ZIT WrOF 2021-2027 </w:t>
      </w:r>
      <w:r w:rsidR="000C5D23" w:rsidRPr="001473F1">
        <w:rPr>
          <w:rFonts w:asciiTheme="minorHAnsi" w:hAnsiTheme="minorHAnsi"/>
          <w:szCs w:val="22"/>
        </w:rPr>
        <w:t xml:space="preserve">została przygotowana przez pracowników Biura Zintegrowanych Inwestycji Terytorialnych Urzędu Miejskiego Wrocławia, we współpracy ze Stowarzyszeniem Wspierania Inicjatyw Gospodarczych Delta Partner </w:t>
      </w:r>
      <w:r w:rsidR="00E3719F" w:rsidRPr="001473F1">
        <w:rPr>
          <w:rFonts w:asciiTheme="minorHAnsi" w:hAnsiTheme="minorHAnsi"/>
          <w:szCs w:val="22"/>
        </w:rPr>
        <w:t>(część diagnostyczna)</w:t>
      </w:r>
      <w:r w:rsidR="000C5D23" w:rsidRPr="001473F1">
        <w:rPr>
          <w:rFonts w:asciiTheme="minorHAnsi" w:hAnsiTheme="minorHAnsi"/>
          <w:szCs w:val="22"/>
        </w:rPr>
        <w:t>. Dodatkowo w procesie opracowania Strategii ZIT WrOF 2021-2027 brali udział członkowie Rady ZIT Wr</w:t>
      </w:r>
      <w:r w:rsidR="00C55A8D" w:rsidRPr="001473F1">
        <w:rPr>
          <w:rFonts w:asciiTheme="minorHAnsi" w:hAnsiTheme="minorHAnsi"/>
          <w:szCs w:val="22"/>
        </w:rPr>
        <w:t>OF składającej się z </w:t>
      </w:r>
      <w:r w:rsidR="000C5D23" w:rsidRPr="001473F1">
        <w:rPr>
          <w:rFonts w:asciiTheme="minorHAnsi" w:hAnsiTheme="minorHAnsi"/>
          <w:szCs w:val="22"/>
        </w:rPr>
        <w:t xml:space="preserve">przedstawicieli partnerów społeczno-gospodarczych oraz Komitetu Sterującego tj. przedstawicieli jednostek samorządu terytorialnego ZIT WrOF. </w:t>
      </w:r>
    </w:p>
    <w:p w:rsidR="000C5D23" w:rsidRPr="001473F1" w:rsidRDefault="000C5D23" w:rsidP="001473F1">
      <w:pPr>
        <w:pStyle w:val="AAAtekst"/>
        <w:spacing w:after="80" w:line="360" w:lineRule="auto"/>
        <w:ind w:firstLine="0"/>
        <w:jc w:val="left"/>
        <w:rPr>
          <w:rFonts w:asciiTheme="minorHAnsi" w:hAnsiTheme="minorHAnsi"/>
          <w:szCs w:val="22"/>
        </w:rPr>
      </w:pPr>
      <w:r w:rsidRPr="001473F1">
        <w:rPr>
          <w:rFonts w:asciiTheme="minorHAnsi" w:hAnsiTheme="minorHAnsi"/>
          <w:szCs w:val="22"/>
        </w:rPr>
        <w:t>Dokument oraz określone w nim priorytety</w:t>
      </w:r>
      <w:r w:rsidR="00DA0BC9" w:rsidRPr="001473F1">
        <w:rPr>
          <w:rFonts w:asciiTheme="minorHAnsi" w:hAnsiTheme="minorHAnsi"/>
          <w:szCs w:val="22"/>
        </w:rPr>
        <w:t>,</w:t>
      </w:r>
      <w:r w:rsidRPr="001473F1">
        <w:rPr>
          <w:rFonts w:asciiTheme="minorHAnsi" w:hAnsiTheme="minorHAnsi"/>
          <w:szCs w:val="22"/>
        </w:rPr>
        <w:t xml:space="preserve"> wykorz</w:t>
      </w:r>
      <w:r w:rsidR="00180408">
        <w:rPr>
          <w:rFonts w:asciiTheme="minorHAnsi" w:hAnsiTheme="minorHAnsi"/>
          <w:szCs w:val="22"/>
        </w:rPr>
        <w:t>ystując zdobyte doświadczenia z </w:t>
      </w:r>
      <w:r w:rsidRPr="001473F1">
        <w:rPr>
          <w:rFonts w:asciiTheme="minorHAnsi" w:hAnsiTheme="minorHAnsi"/>
          <w:szCs w:val="22"/>
        </w:rPr>
        <w:t>poprzedniej perspektywy oraz kontynuując rozwój obszaru z uwzględnieniem uwarunkowań zewnętrznych oraz wewnętrznych, mają na celu umożliwienie dynamicznego rozwoju obszaru ZIT WrOF, zapewniając wyso</w:t>
      </w:r>
      <w:r w:rsidR="00913FB6" w:rsidRPr="001473F1">
        <w:rPr>
          <w:rFonts w:asciiTheme="minorHAnsi" w:hAnsiTheme="minorHAnsi"/>
          <w:szCs w:val="22"/>
        </w:rPr>
        <w:t>ką jakość życia mieszkańców</w:t>
      </w:r>
      <w:r w:rsidRPr="001473F1">
        <w:rPr>
          <w:rFonts w:asciiTheme="minorHAnsi" w:hAnsiTheme="minorHAnsi"/>
          <w:szCs w:val="22"/>
        </w:rPr>
        <w:t>.</w:t>
      </w:r>
    </w:p>
    <w:p w:rsidR="000C5D23" w:rsidRDefault="000C5D23" w:rsidP="001473F1">
      <w:pPr>
        <w:pStyle w:val="AAAtekst"/>
        <w:spacing w:after="80" w:line="360" w:lineRule="auto"/>
        <w:ind w:firstLine="0"/>
        <w:jc w:val="left"/>
      </w:pPr>
      <w:r w:rsidRPr="001473F1">
        <w:rPr>
          <w:rFonts w:asciiTheme="minorHAnsi" w:hAnsiTheme="minorHAnsi"/>
          <w:szCs w:val="22"/>
        </w:rPr>
        <w:t xml:space="preserve">Dokument jest współfinansowany ze środków Programu Operacyjnego Pomoc Techniczna na lata 2014-2020 w ramach Funduszu Spójności. </w:t>
      </w:r>
      <w:r w:rsidR="00607657">
        <w:rPr>
          <w:rFonts w:asciiTheme="minorHAnsi" w:hAnsiTheme="minorHAnsi"/>
          <w:sz w:val="22"/>
          <w:szCs w:val="22"/>
        </w:rPr>
        <w:br w:type="page"/>
      </w:r>
    </w:p>
    <w:p w:rsidR="00D9109A" w:rsidRPr="004069B4" w:rsidRDefault="00D9109A" w:rsidP="004069B4">
      <w:pPr>
        <w:pStyle w:val="Nagwek1"/>
      </w:pPr>
      <w:bookmarkStart w:id="4" w:name="_Toc143673198"/>
      <w:r w:rsidRPr="004069B4">
        <w:t>I</w:t>
      </w:r>
      <w:r w:rsidR="00062898">
        <w:t>.</w:t>
      </w:r>
      <w:r w:rsidRPr="004069B4">
        <w:t xml:space="preserve"> Wprowadzenie</w:t>
      </w:r>
      <w:bookmarkEnd w:id="4"/>
    </w:p>
    <w:p w:rsidR="00AC52E2" w:rsidRPr="004069B4" w:rsidRDefault="00A76DDB" w:rsidP="006C0174">
      <w:pPr>
        <w:pStyle w:val="Nagwek2"/>
        <w:spacing w:before="0"/>
      </w:pPr>
      <w:bookmarkStart w:id="5" w:name="_Toc143673199"/>
      <w:r w:rsidRPr="004069B4">
        <w:t>I.1</w:t>
      </w:r>
      <w:r w:rsidR="006C0F6E">
        <w:t xml:space="preserve"> </w:t>
      </w:r>
      <w:r w:rsidR="005D48FE" w:rsidRPr="00607657">
        <w:t>Obszar ZIT WrOF</w:t>
      </w:r>
      <w:bookmarkEnd w:id="5"/>
    </w:p>
    <w:p w:rsidR="00AC52E2" w:rsidRPr="001473F1" w:rsidRDefault="00AC52E2" w:rsidP="001473F1">
      <w:pPr>
        <w:pStyle w:val="AAAtekst"/>
        <w:spacing w:after="0" w:line="360" w:lineRule="auto"/>
        <w:ind w:firstLine="0"/>
        <w:jc w:val="left"/>
        <w:rPr>
          <w:rFonts w:asciiTheme="minorHAnsi" w:eastAsia="Microsoft YaHei" w:hAnsiTheme="minorHAnsi"/>
          <w:kern w:val="1"/>
          <w:szCs w:val="22"/>
        </w:rPr>
      </w:pPr>
      <w:r w:rsidRPr="001473F1">
        <w:rPr>
          <w:rFonts w:asciiTheme="minorHAnsi" w:hAnsiTheme="minorHAnsi"/>
          <w:szCs w:val="22"/>
        </w:rPr>
        <w:t>Zgodnie z Porozumieniem z dnia 17 grudnia 2021 r. w sprawie zasad współpracy Stron Porozumienia przy programowaniu, wdraż</w:t>
      </w:r>
      <w:r w:rsidR="004069B4" w:rsidRPr="001473F1">
        <w:rPr>
          <w:rFonts w:asciiTheme="minorHAnsi" w:hAnsiTheme="minorHAnsi"/>
          <w:szCs w:val="22"/>
        </w:rPr>
        <w:t>aniu, finansowaniu, ewaluacji i </w:t>
      </w:r>
      <w:r w:rsidRPr="001473F1">
        <w:rPr>
          <w:rFonts w:asciiTheme="minorHAnsi" w:hAnsiTheme="minorHAnsi"/>
          <w:szCs w:val="22"/>
        </w:rPr>
        <w:t>koordynowaniu wspólnych przedsięwzięć, bieżącej obsłudze i rozliczeniach ZIT WrOF obszar Zintegrowanych Inwestycji Terytorialnych Wrocławskiego Obszaru Funkcjonalnego tworzy 19 jednost</w:t>
      </w:r>
      <w:r w:rsidR="003525E3" w:rsidRPr="001473F1">
        <w:rPr>
          <w:rFonts w:asciiTheme="minorHAnsi" w:hAnsiTheme="minorHAnsi"/>
          <w:szCs w:val="22"/>
        </w:rPr>
        <w:t>e</w:t>
      </w:r>
      <w:r w:rsidRPr="001473F1">
        <w:rPr>
          <w:rFonts w:asciiTheme="minorHAnsi" w:hAnsiTheme="minorHAnsi"/>
          <w:szCs w:val="22"/>
        </w:rPr>
        <w:t xml:space="preserve">k samorządu terytorialnego: </w:t>
      </w:r>
      <w:r w:rsidR="00095113" w:rsidRPr="001473F1">
        <w:rPr>
          <w:rFonts w:asciiTheme="minorHAnsi" w:hAnsiTheme="minorHAnsi" w:cs="Arial"/>
          <w:szCs w:val="22"/>
          <w:shd w:val="clear" w:color="auto" w:fill="FFFFFF"/>
        </w:rPr>
        <w:t>Gmina Czernica,</w:t>
      </w:r>
      <w:r w:rsidR="005D10A3" w:rsidRPr="001473F1">
        <w:rPr>
          <w:rFonts w:asciiTheme="minorHAnsi" w:hAnsiTheme="minorHAnsi" w:cs="Arial"/>
          <w:szCs w:val="22"/>
          <w:shd w:val="clear" w:color="auto" w:fill="FFFFFF"/>
        </w:rPr>
        <w:t xml:space="preserve"> Gmina </w:t>
      </w:r>
      <w:r w:rsidR="00095113" w:rsidRPr="001473F1">
        <w:rPr>
          <w:rFonts w:asciiTheme="minorHAnsi" w:hAnsiTheme="minorHAnsi" w:cs="Arial"/>
          <w:szCs w:val="22"/>
          <w:shd w:val="clear" w:color="auto" w:fill="FFFFFF"/>
        </w:rPr>
        <w:t>Długołęka,</w:t>
      </w:r>
      <w:r w:rsidR="005D10A3" w:rsidRPr="001473F1">
        <w:rPr>
          <w:rFonts w:asciiTheme="minorHAnsi" w:hAnsiTheme="minorHAnsi" w:cs="Arial"/>
          <w:szCs w:val="22"/>
          <w:shd w:val="clear" w:color="auto" w:fill="FFFFFF"/>
        </w:rPr>
        <w:t xml:space="preserve"> </w:t>
      </w:r>
      <w:r w:rsidR="00095113" w:rsidRPr="001473F1">
        <w:rPr>
          <w:rFonts w:asciiTheme="minorHAnsi" w:hAnsiTheme="minorHAnsi" w:cs="Arial"/>
          <w:szCs w:val="22"/>
          <w:shd w:val="clear" w:color="auto" w:fill="FFFFFF"/>
        </w:rPr>
        <w:t>Gmina Dobroszyce,</w:t>
      </w:r>
      <w:r w:rsidR="005D10A3" w:rsidRPr="001473F1">
        <w:rPr>
          <w:rFonts w:asciiTheme="minorHAnsi" w:hAnsiTheme="minorHAnsi" w:cs="Arial"/>
          <w:szCs w:val="22"/>
          <w:shd w:val="clear" w:color="auto" w:fill="FFFFFF"/>
        </w:rPr>
        <w:t xml:space="preserve"> Gmina Jelcz-</w:t>
      </w:r>
      <w:r w:rsidR="00095113" w:rsidRPr="001473F1">
        <w:rPr>
          <w:rFonts w:asciiTheme="minorHAnsi" w:hAnsiTheme="minorHAnsi" w:cs="Arial"/>
          <w:szCs w:val="22"/>
          <w:shd w:val="clear" w:color="auto" w:fill="FFFFFF"/>
        </w:rPr>
        <w:t>Laskowice,</w:t>
      </w:r>
      <w:r w:rsidR="005D10A3" w:rsidRPr="001473F1">
        <w:rPr>
          <w:rFonts w:asciiTheme="minorHAnsi" w:hAnsiTheme="minorHAnsi" w:cs="Arial"/>
          <w:szCs w:val="22"/>
          <w:shd w:val="clear" w:color="auto" w:fill="FFFFFF"/>
        </w:rPr>
        <w:t xml:space="preserve"> </w:t>
      </w:r>
      <w:r w:rsidR="00095113" w:rsidRPr="001473F1">
        <w:rPr>
          <w:rFonts w:asciiTheme="minorHAnsi" w:hAnsiTheme="minorHAnsi" w:cs="Arial"/>
          <w:szCs w:val="22"/>
          <w:shd w:val="clear" w:color="auto" w:fill="FFFFFF"/>
        </w:rPr>
        <w:t>Gmina Kąty Wrocławskie,</w:t>
      </w:r>
      <w:r w:rsidR="005D10A3" w:rsidRPr="001473F1">
        <w:rPr>
          <w:rFonts w:asciiTheme="minorHAnsi" w:hAnsiTheme="minorHAnsi" w:cs="Arial"/>
          <w:szCs w:val="22"/>
          <w:shd w:val="clear" w:color="auto" w:fill="FFFFFF"/>
        </w:rPr>
        <w:t xml:space="preserve"> </w:t>
      </w:r>
      <w:r w:rsidR="00510963" w:rsidRPr="001473F1">
        <w:rPr>
          <w:rFonts w:asciiTheme="minorHAnsi" w:hAnsiTheme="minorHAnsi" w:cs="Arial"/>
          <w:szCs w:val="22"/>
          <w:shd w:val="clear" w:color="auto" w:fill="FFFFFF"/>
        </w:rPr>
        <w:t>Gmina Kobierzyce,</w:t>
      </w:r>
      <w:r w:rsidR="005D10A3" w:rsidRPr="001473F1">
        <w:rPr>
          <w:rFonts w:asciiTheme="minorHAnsi" w:hAnsiTheme="minorHAnsi" w:cs="Arial"/>
          <w:szCs w:val="22"/>
          <w:shd w:val="clear" w:color="auto" w:fill="FFFFFF"/>
        </w:rPr>
        <w:t xml:space="preserve"> </w:t>
      </w:r>
      <w:r w:rsidR="0032650A" w:rsidRPr="001473F1">
        <w:rPr>
          <w:rFonts w:asciiTheme="minorHAnsi" w:hAnsiTheme="minorHAnsi" w:cs="Arial"/>
          <w:szCs w:val="22"/>
          <w:shd w:val="clear" w:color="auto" w:fill="FFFFFF"/>
        </w:rPr>
        <w:t xml:space="preserve">Gmina Miękinia, </w:t>
      </w:r>
      <w:r w:rsidR="00E64A03" w:rsidRPr="001473F1">
        <w:rPr>
          <w:rFonts w:asciiTheme="minorHAnsi" w:hAnsiTheme="minorHAnsi" w:cs="Arial"/>
          <w:szCs w:val="22"/>
          <w:shd w:val="clear" w:color="auto" w:fill="FFFFFF"/>
        </w:rPr>
        <w:t xml:space="preserve">Gmina Oborniki Śląskie, </w:t>
      </w:r>
      <w:r w:rsidR="00276071" w:rsidRPr="001473F1">
        <w:rPr>
          <w:rFonts w:asciiTheme="minorHAnsi" w:hAnsiTheme="minorHAnsi" w:cs="Arial"/>
          <w:szCs w:val="22"/>
          <w:shd w:val="clear" w:color="auto" w:fill="FFFFFF"/>
        </w:rPr>
        <w:t xml:space="preserve">Miasto Oleśnica, </w:t>
      </w:r>
      <w:r w:rsidR="00510963" w:rsidRPr="001473F1">
        <w:rPr>
          <w:rFonts w:asciiTheme="minorHAnsi" w:hAnsiTheme="minorHAnsi" w:cs="Arial"/>
          <w:szCs w:val="22"/>
          <w:shd w:val="clear" w:color="auto" w:fill="FFFFFF"/>
        </w:rPr>
        <w:t xml:space="preserve">Gmina Oleśnica, </w:t>
      </w:r>
      <w:r w:rsidR="00276071" w:rsidRPr="001473F1">
        <w:rPr>
          <w:rFonts w:asciiTheme="minorHAnsi" w:hAnsiTheme="minorHAnsi" w:cs="Arial"/>
          <w:szCs w:val="22"/>
          <w:shd w:val="clear" w:color="auto" w:fill="FFFFFF"/>
        </w:rPr>
        <w:t>Miasto Oława,</w:t>
      </w:r>
      <w:r w:rsidR="005D10A3" w:rsidRPr="001473F1">
        <w:rPr>
          <w:rFonts w:asciiTheme="minorHAnsi" w:hAnsiTheme="minorHAnsi" w:cs="Arial"/>
          <w:szCs w:val="22"/>
          <w:shd w:val="clear" w:color="auto" w:fill="FFFFFF"/>
        </w:rPr>
        <w:t xml:space="preserve"> </w:t>
      </w:r>
      <w:r w:rsidR="00E64A03" w:rsidRPr="001473F1">
        <w:rPr>
          <w:rFonts w:asciiTheme="minorHAnsi" w:hAnsiTheme="minorHAnsi" w:cs="Arial"/>
          <w:szCs w:val="22"/>
          <w:shd w:val="clear" w:color="auto" w:fill="FFFFFF"/>
        </w:rPr>
        <w:t>Gmina Oława, Gmina Siechnice,</w:t>
      </w:r>
      <w:r w:rsidR="005D10A3" w:rsidRPr="001473F1">
        <w:rPr>
          <w:rFonts w:asciiTheme="minorHAnsi" w:hAnsiTheme="minorHAnsi" w:cs="Arial"/>
          <w:szCs w:val="22"/>
          <w:shd w:val="clear" w:color="auto" w:fill="FFFFFF"/>
        </w:rPr>
        <w:t xml:space="preserve"> </w:t>
      </w:r>
      <w:r w:rsidR="00E64A03" w:rsidRPr="001473F1">
        <w:rPr>
          <w:rFonts w:asciiTheme="minorHAnsi" w:hAnsiTheme="minorHAnsi" w:cs="Arial"/>
          <w:szCs w:val="22"/>
          <w:shd w:val="clear" w:color="auto" w:fill="FFFFFF"/>
        </w:rPr>
        <w:t>Gmina Sobótka,</w:t>
      </w:r>
      <w:r w:rsidR="005D10A3" w:rsidRPr="001473F1">
        <w:rPr>
          <w:rFonts w:asciiTheme="minorHAnsi" w:hAnsiTheme="minorHAnsi" w:cs="Arial"/>
          <w:szCs w:val="22"/>
          <w:shd w:val="clear" w:color="auto" w:fill="FFFFFF"/>
        </w:rPr>
        <w:t xml:space="preserve"> </w:t>
      </w:r>
      <w:r w:rsidR="00E64A03" w:rsidRPr="001473F1">
        <w:rPr>
          <w:rFonts w:asciiTheme="minorHAnsi" w:hAnsiTheme="minorHAnsi" w:cs="Arial"/>
          <w:szCs w:val="22"/>
          <w:shd w:val="clear" w:color="auto" w:fill="FFFFFF"/>
        </w:rPr>
        <w:t>Gmina Trzebnica,</w:t>
      </w:r>
      <w:r w:rsidR="005D10A3" w:rsidRPr="001473F1">
        <w:rPr>
          <w:rFonts w:asciiTheme="minorHAnsi" w:hAnsiTheme="minorHAnsi" w:cs="Arial"/>
          <w:szCs w:val="22"/>
          <w:shd w:val="clear" w:color="auto" w:fill="FFFFFF"/>
        </w:rPr>
        <w:t xml:space="preserve"> </w:t>
      </w:r>
      <w:r w:rsidR="0032650A" w:rsidRPr="001473F1">
        <w:rPr>
          <w:rFonts w:asciiTheme="minorHAnsi" w:hAnsiTheme="minorHAnsi" w:cs="Arial"/>
          <w:szCs w:val="22"/>
          <w:shd w:val="clear" w:color="auto" w:fill="FFFFFF"/>
        </w:rPr>
        <w:t xml:space="preserve">Gmina Wisznia Mała, </w:t>
      </w:r>
      <w:r w:rsidR="00E64A03" w:rsidRPr="001473F1">
        <w:rPr>
          <w:rFonts w:asciiTheme="minorHAnsi" w:hAnsiTheme="minorHAnsi" w:cs="Arial"/>
          <w:szCs w:val="22"/>
          <w:shd w:val="clear" w:color="auto" w:fill="FFFFFF"/>
        </w:rPr>
        <w:t>Gmina Wrocław,</w:t>
      </w:r>
      <w:r w:rsidR="005D10A3" w:rsidRPr="001473F1">
        <w:rPr>
          <w:rFonts w:asciiTheme="minorHAnsi" w:hAnsiTheme="minorHAnsi" w:cs="Arial"/>
          <w:szCs w:val="22"/>
          <w:shd w:val="clear" w:color="auto" w:fill="FFFFFF"/>
        </w:rPr>
        <w:t xml:space="preserve"> </w:t>
      </w:r>
      <w:r w:rsidR="0032650A" w:rsidRPr="001473F1">
        <w:rPr>
          <w:rFonts w:asciiTheme="minorHAnsi" w:hAnsiTheme="minorHAnsi" w:cs="Arial"/>
          <w:szCs w:val="22"/>
          <w:shd w:val="clear" w:color="auto" w:fill="FFFFFF"/>
        </w:rPr>
        <w:t>Gmina Zawonia,</w:t>
      </w:r>
      <w:r w:rsidR="005D10A3" w:rsidRPr="001473F1">
        <w:rPr>
          <w:rFonts w:asciiTheme="minorHAnsi" w:hAnsiTheme="minorHAnsi" w:cs="Arial"/>
          <w:szCs w:val="22"/>
          <w:shd w:val="clear" w:color="auto" w:fill="FFFFFF"/>
        </w:rPr>
        <w:t xml:space="preserve"> </w:t>
      </w:r>
      <w:r w:rsidR="0032650A" w:rsidRPr="001473F1">
        <w:rPr>
          <w:rFonts w:asciiTheme="minorHAnsi" w:hAnsiTheme="minorHAnsi" w:cs="Arial"/>
          <w:szCs w:val="22"/>
          <w:shd w:val="clear" w:color="auto" w:fill="FFFFFF"/>
        </w:rPr>
        <w:t>Gmina Żórawina.</w:t>
      </w:r>
    </w:p>
    <w:p w:rsidR="00AC52E2" w:rsidRPr="00D368FF" w:rsidRDefault="002F3FDC" w:rsidP="002F3FDC">
      <w:pPr>
        <w:pStyle w:val="nadWrOF"/>
      </w:pPr>
      <w:bookmarkStart w:id="6" w:name="_Toc130466207"/>
      <w:bookmarkStart w:id="7" w:name="_Toc143606990"/>
      <w:r>
        <w:t xml:space="preserve">Mapa </w:t>
      </w:r>
      <w:r w:rsidR="00C73793">
        <w:rPr>
          <w:noProof/>
        </w:rPr>
        <w:fldChar w:fldCharType="begin"/>
      </w:r>
      <w:r w:rsidR="00C244C1">
        <w:rPr>
          <w:noProof/>
        </w:rPr>
        <w:instrText xml:space="preserve"> SEQ Mapa \* ARABIC </w:instrText>
      </w:r>
      <w:r w:rsidR="00C73793">
        <w:rPr>
          <w:noProof/>
        </w:rPr>
        <w:fldChar w:fldCharType="separate"/>
      </w:r>
      <w:r w:rsidR="00C96A96">
        <w:rPr>
          <w:noProof/>
        </w:rPr>
        <w:t>1</w:t>
      </w:r>
      <w:r w:rsidR="00C73793">
        <w:rPr>
          <w:noProof/>
        </w:rPr>
        <w:fldChar w:fldCharType="end"/>
      </w:r>
      <w:r w:rsidR="00702D7A">
        <w:rPr>
          <w:noProof/>
        </w:rPr>
        <w:t xml:space="preserve"> </w:t>
      </w:r>
      <w:r w:rsidR="00AC52E2" w:rsidRPr="00C23493">
        <w:t>Struktura i położenie Wrocławskiego Obszaru Funkcjonalnego</w:t>
      </w:r>
      <w:bookmarkEnd w:id="6"/>
      <w:bookmarkEnd w:id="7"/>
    </w:p>
    <w:p w:rsidR="00AC52E2" w:rsidRPr="00D42138" w:rsidRDefault="00405DA1" w:rsidP="004069B4">
      <w:pPr>
        <w:pStyle w:val="podWrOF0"/>
      </w:pPr>
      <w:r w:rsidRPr="00D74575">
        <w:rPr>
          <w:rFonts w:eastAsia="Microsoft YaHei"/>
          <w:noProof/>
          <w:kern w:val="1"/>
          <w:lang w:eastAsia="pl-PL"/>
        </w:rPr>
        <w:drawing>
          <wp:inline distT="0" distB="0" distL="0" distR="0" wp14:anchorId="0C2EDFA2" wp14:editId="7D4606B1">
            <wp:extent cx="5760720" cy="4405784"/>
            <wp:effectExtent l="0" t="0" r="0" b="0"/>
            <wp:docPr id="72" name="Obraz 302" descr="Mapa przedstawiająca strukturę i położenie Wrocławskiego Obszaru Funkcjonalnego. " title="Struktura i położenie Wrocławskiego Obszaru Funk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an.liniany\Downloads\WrOF_położen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05784"/>
                    </a:xfrm>
                    <a:prstGeom prst="rect">
                      <a:avLst/>
                    </a:prstGeom>
                    <a:noFill/>
                    <a:ln>
                      <a:noFill/>
                    </a:ln>
                  </pic:spPr>
                </pic:pic>
              </a:graphicData>
            </a:graphic>
          </wp:inline>
        </w:drawing>
      </w:r>
      <w:r w:rsidR="00AC52E2" w:rsidRPr="00B27A13">
        <w:t xml:space="preserve">Źródło: opracowanie własne na podstawie </w:t>
      </w:r>
      <w:r w:rsidR="00AC52E2" w:rsidRPr="00C23493">
        <w:t>Planu zagospodarowania przestrzennego województwa dolnośląskiego.</w:t>
      </w:r>
    </w:p>
    <w:p w:rsidR="00AC52E2" w:rsidRDefault="00AC52E2" w:rsidP="00AC52E2">
      <w:pPr>
        <w:pStyle w:val="Akapitzlist"/>
        <w:spacing w:after="0"/>
        <w:ind w:left="0"/>
        <w:rPr>
          <w:rFonts w:eastAsia="Microsoft YaHei"/>
          <w:kern w:val="1"/>
        </w:rPr>
      </w:pPr>
    </w:p>
    <w:p w:rsidR="00C55A8D" w:rsidRDefault="00C55A8D" w:rsidP="00AC52E2">
      <w:pPr>
        <w:pStyle w:val="Nagwek2"/>
        <w:rPr>
          <w:color w:val="0070C0"/>
        </w:rPr>
      </w:pPr>
      <w:r>
        <w:rPr>
          <w:color w:val="0070C0"/>
        </w:rPr>
        <w:br w:type="page"/>
      </w:r>
    </w:p>
    <w:p w:rsidR="00AC52E2" w:rsidRPr="001473F1" w:rsidRDefault="00AC52E2" w:rsidP="001473F1">
      <w:pPr>
        <w:spacing w:after="0"/>
        <w:jc w:val="left"/>
        <w:rPr>
          <w:color w:val="000000" w:themeColor="text1"/>
          <w:sz w:val="24"/>
        </w:rPr>
      </w:pPr>
      <w:r w:rsidRPr="001473F1">
        <w:rPr>
          <w:color w:val="000000" w:themeColor="text1"/>
          <w:sz w:val="24"/>
        </w:rPr>
        <w:t>Wrocławski Obszar Funkcjonalny w ujęciu regionalnym</w:t>
      </w:r>
    </w:p>
    <w:p w:rsidR="00AC52E2" w:rsidRPr="001473F1" w:rsidRDefault="00AC52E2" w:rsidP="001473F1">
      <w:pPr>
        <w:jc w:val="left"/>
        <w:rPr>
          <w:sz w:val="24"/>
        </w:rPr>
      </w:pPr>
      <w:r w:rsidRPr="001473F1">
        <w:rPr>
          <w:sz w:val="24"/>
        </w:rPr>
        <w:t xml:space="preserve">Zgodnie ze Strategią rozwoju województwa dolnośląskiego 2030, </w:t>
      </w:r>
      <w:r w:rsidR="00607657" w:rsidRPr="001473F1">
        <w:rPr>
          <w:sz w:val="24"/>
        </w:rPr>
        <w:t>ZIT tj. narzędzie zastosowane w </w:t>
      </w:r>
      <w:r w:rsidRPr="001473F1">
        <w:rPr>
          <w:sz w:val="24"/>
        </w:rPr>
        <w:t>polityce spójności w perspektywie 2014-2020, zostało z su</w:t>
      </w:r>
      <w:r w:rsidR="00607657" w:rsidRPr="001473F1">
        <w:rPr>
          <w:sz w:val="24"/>
        </w:rPr>
        <w:t>kcesami wdrożone w Polsce,</w:t>
      </w:r>
      <w:r w:rsidR="005D10A3" w:rsidRPr="001473F1">
        <w:rPr>
          <w:sz w:val="24"/>
        </w:rPr>
        <w:t xml:space="preserve"> co </w:t>
      </w:r>
      <w:r w:rsidR="00607657" w:rsidRPr="001473F1">
        <w:rPr>
          <w:sz w:val="24"/>
        </w:rPr>
        <w:t>w</w:t>
      </w:r>
      <w:r w:rsidR="00A02854" w:rsidRPr="001473F1">
        <w:rPr>
          <w:sz w:val="24"/>
        </w:rPr>
        <w:t> </w:t>
      </w:r>
      <w:r w:rsidRPr="001473F1">
        <w:rPr>
          <w:sz w:val="24"/>
        </w:rPr>
        <w:t>konsekwencji uzasadnia realizację ZIT w kolejnej perspektywie 2021-2027. Wsparcie</w:t>
      </w:r>
      <w:r w:rsidR="005D10A3" w:rsidRPr="001473F1">
        <w:rPr>
          <w:sz w:val="24"/>
        </w:rPr>
        <w:t xml:space="preserve"> </w:t>
      </w:r>
      <w:r w:rsidRPr="001473F1">
        <w:rPr>
          <w:sz w:val="24"/>
        </w:rPr>
        <w:t>z</w:t>
      </w:r>
      <w:r w:rsidR="00A02854" w:rsidRPr="001473F1">
        <w:rPr>
          <w:sz w:val="24"/>
        </w:rPr>
        <w:t> </w:t>
      </w:r>
      <w:r w:rsidRPr="001473F1">
        <w:rPr>
          <w:sz w:val="24"/>
        </w:rPr>
        <w:t>regionalnego programu operacyjnego na lata 2021-2027 powinno uwzględniać potrzeby</w:t>
      </w:r>
      <w:r w:rsidR="005D10A3" w:rsidRPr="001473F1">
        <w:rPr>
          <w:sz w:val="24"/>
        </w:rPr>
        <w:t xml:space="preserve"> i </w:t>
      </w:r>
      <w:r w:rsidRPr="001473F1">
        <w:rPr>
          <w:sz w:val="24"/>
        </w:rPr>
        <w:t xml:space="preserve">charakterystykę terytorium obszaru funkcjonalnego. </w:t>
      </w:r>
    </w:p>
    <w:p w:rsidR="00AC52E2" w:rsidRPr="00180408" w:rsidRDefault="00AC52E2" w:rsidP="001473F1">
      <w:pPr>
        <w:jc w:val="left"/>
        <w:rPr>
          <w:sz w:val="24"/>
          <w:szCs w:val="24"/>
        </w:rPr>
      </w:pPr>
      <w:r w:rsidRPr="00180408">
        <w:rPr>
          <w:sz w:val="24"/>
          <w:szCs w:val="24"/>
        </w:rPr>
        <w:t>Zakres obszarów funkcjonalnych w województwie dolnośląskim został wskazany w Planie zagospodarowania przestrzennego województwa dolnośląskiego</w:t>
      </w:r>
      <w:r w:rsidRPr="00180408">
        <w:rPr>
          <w:rStyle w:val="Odwoanieprzypisudolnego"/>
          <w:sz w:val="24"/>
          <w:szCs w:val="24"/>
        </w:rPr>
        <w:footnoteReference w:id="1"/>
      </w:r>
      <w:r w:rsidRPr="00180408">
        <w:rPr>
          <w:sz w:val="24"/>
          <w:szCs w:val="24"/>
        </w:rPr>
        <w:t>, gdzie</w:t>
      </w:r>
      <w:r w:rsidR="005D10A3" w:rsidRPr="00180408">
        <w:rPr>
          <w:sz w:val="24"/>
          <w:szCs w:val="24"/>
        </w:rPr>
        <w:t xml:space="preserve"> </w:t>
      </w:r>
      <w:r w:rsidRPr="00180408">
        <w:rPr>
          <w:sz w:val="24"/>
          <w:szCs w:val="24"/>
        </w:rPr>
        <w:t>WrOF został wskazany jako miejski obszar funkcjonalny ośrodka wojewódzkiego. Wg Planu zasięg WrOF obejmuje 27 gmin, określonych w ramach „Studium spójności funkcjonalnej we Wrocławskim Obszarze Funkcjonalnym”. Jednakże jest to obszar szerszy niż obszar ZIT WrOF ujęty w Porozumieniu oraz potwierdzony w dniu 14 listopada 2022 r.</w:t>
      </w:r>
      <w:r w:rsidRPr="00180408">
        <w:rPr>
          <w:rStyle w:val="Odwoanieprzypisudolnego"/>
          <w:sz w:val="24"/>
          <w:szCs w:val="24"/>
        </w:rPr>
        <w:footnoteReference w:id="2"/>
      </w:r>
      <w:r w:rsidRPr="00180408">
        <w:rPr>
          <w:sz w:val="24"/>
          <w:szCs w:val="24"/>
        </w:rPr>
        <w:t>, Uchwałą Zarządu Województwa Dolnośląskiego nr 6140/VI/22 w sprawie przyjęcia  projektu propozycji wyznaczenia miejskich obszarów funkcjonalnych celem realiz</w:t>
      </w:r>
      <w:r w:rsidR="00180408" w:rsidRPr="00180408">
        <w:rPr>
          <w:sz w:val="24"/>
          <w:szCs w:val="24"/>
        </w:rPr>
        <w:t>acji podejścia terytorialnego w </w:t>
      </w:r>
      <w:r w:rsidRPr="00180408">
        <w:rPr>
          <w:sz w:val="24"/>
          <w:szCs w:val="24"/>
        </w:rPr>
        <w:t>ramach projektu programu Fundusze Europejskie dla Dolnego Śląska 2</w:t>
      </w:r>
      <w:r w:rsidR="00180408" w:rsidRPr="00180408">
        <w:rPr>
          <w:sz w:val="24"/>
          <w:szCs w:val="24"/>
        </w:rPr>
        <w:t>021-2027. Zgodnie z </w:t>
      </w:r>
      <w:r w:rsidRPr="00180408">
        <w:rPr>
          <w:sz w:val="24"/>
          <w:szCs w:val="24"/>
        </w:rPr>
        <w:t>ww. Uchwałą Zintegrowane Inwestycje Terytorialne Wrocławskiego obszaru funkcjonalnego obejmują swym zasięgiem obszar 19 gmin ws</w:t>
      </w:r>
      <w:r w:rsidR="00CF7E78" w:rsidRPr="00180408">
        <w:rPr>
          <w:sz w:val="24"/>
          <w:szCs w:val="24"/>
        </w:rPr>
        <w:t xml:space="preserve">kazanych we wstępie rozdziału. </w:t>
      </w:r>
    </w:p>
    <w:p w:rsidR="00AC52E2" w:rsidRPr="00CF7E78" w:rsidRDefault="00AC52E2" w:rsidP="00607657">
      <w:pPr>
        <w:pStyle w:val="Nagwek2"/>
      </w:pPr>
      <w:bookmarkStart w:id="8" w:name="_Toc143673200"/>
      <w:r w:rsidRPr="00CF7E78">
        <w:t>I.2</w:t>
      </w:r>
      <w:r w:rsidR="006C0F6E">
        <w:t xml:space="preserve"> </w:t>
      </w:r>
      <w:r w:rsidRPr="00CF7E78">
        <w:t>Podstawa prawna</w:t>
      </w:r>
      <w:bookmarkEnd w:id="8"/>
    </w:p>
    <w:p w:rsidR="00AC52E2" w:rsidRPr="001473F1" w:rsidRDefault="00AC52E2" w:rsidP="001473F1">
      <w:pPr>
        <w:jc w:val="left"/>
        <w:rPr>
          <w:rFonts w:cstheme="minorHAnsi"/>
          <w:sz w:val="24"/>
          <w:szCs w:val="24"/>
        </w:rPr>
      </w:pPr>
      <w:r w:rsidRPr="001473F1">
        <w:rPr>
          <w:rFonts w:cstheme="minorHAnsi"/>
          <w:sz w:val="24"/>
          <w:szCs w:val="24"/>
        </w:rPr>
        <w:t>Wdrażanie zintegrowanych inwestycji terytorialnych w perspektywie unijnej 2021-2027 ma na celu przede wszystkim rozwiązanie wspólnych problemów identyfikowanych w całym obszarze funkcjonalnym, jak również wykorzystanie posiadanego potencjału rozwojowego. Strategia ZIT WrOF 2021-2027 ma w sposób kompleksowy odnosić się do potrzeb</w:t>
      </w:r>
      <w:r w:rsidR="00607657" w:rsidRPr="001473F1">
        <w:rPr>
          <w:rFonts w:cstheme="minorHAnsi"/>
          <w:sz w:val="24"/>
          <w:szCs w:val="24"/>
        </w:rPr>
        <w:t xml:space="preserve"> obszaru wraz ze wzmacnianiem i </w:t>
      </w:r>
      <w:r w:rsidRPr="001473F1">
        <w:rPr>
          <w:rFonts w:cstheme="minorHAnsi"/>
          <w:sz w:val="24"/>
          <w:szCs w:val="24"/>
        </w:rPr>
        <w:t xml:space="preserve">tworzeniem odpowiednich warunków do rozwoju współpracy oraz integracji jednostek administracyjnych budujących Wrocławski Obszar Funkcjonalny. </w:t>
      </w:r>
    </w:p>
    <w:p w:rsidR="00AC52E2" w:rsidRPr="001473F1" w:rsidRDefault="00AC52E2" w:rsidP="001473F1">
      <w:pPr>
        <w:spacing w:after="0"/>
        <w:jc w:val="left"/>
        <w:rPr>
          <w:rFonts w:cstheme="minorHAnsi"/>
          <w:sz w:val="24"/>
          <w:szCs w:val="24"/>
        </w:rPr>
      </w:pPr>
      <w:r w:rsidRPr="001473F1">
        <w:rPr>
          <w:rFonts w:cstheme="minorHAnsi"/>
          <w:sz w:val="24"/>
          <w:szCs w:val="24"/>
        </w:rPr>
        <w:t>Podstawę prawną realizacji instrumentu ZIT we Wrocławskim Obszarze Funkcjonalnym stanowią:</w:t>
      </w:r>
    </w:p>
    <w:p w:rsidR="00AC52E2" w:rsidRPr="001473F1" w:rsidRDefault="00AC52E2" w:rsidP="001473F1">
      <w:pPr>
        <w:pStyle w:val="Akapitzlist"/>
        <w:numPr>
          <w:ilvl w:val="0"/>
          <w:numId w:val="5"/>
        </w:numPr>
        <w:jc w:val="left"/>
        <w:rPr>
          <w:rFonts w:cstheme="minorHAnsi"/>
          <w:spacing w:val="-2"/>
          <w:kern w:val="22"/>
          <w:sz w:val="24"/>
          <w:szCs w:val="24"/>
        </w:rPr>
      </w:pPr>
      <w:r w:rsidRPr="001473F1">
        <w:rPr>
          <w:rFonts w:cstheme="minorHAnsi"/>
          <w:spacing w:val="-2"/>
          <w:kern w:val="22"/>
          <w:sz w:val="24"/>
          <w:szCs w:val="24"/>
        </w:rPr>
        <w:t>Umowa Partnerstwa dla realizacji Polityki Spójności 2021-2027 w Polsce</w:t>
      </w:r>
      <w:r w:rsidR="00A635CD" w:rsidRPr="001473F1">
        <w:rPr>
          <w:rFonts w:cstheme="minorHAnsi"/>
          <w:spacing w:val="-2"/>
          <w:kern w:val="22"/>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A635CD" w:rsidRPr="001473F1">
        <w:rPr>
          <w:rFonts w:cstheme="minorHAnsi"/>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Ustawa z dnia 28 kwietnia 2022 r. o zasadach realizacji zadań finansowanych ze środków europejskich w perspektywie finansowej 2021-2027 (Dz. U. 2022 r. poz. 1079)</w:t>
      </w:r>
      <w:r w:rsidR="00A635CD" w:rsidRPr="001473F1">
        <w:rPr>
          <w:rFonts w:cstheme="minorHAnsi"/>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Fundusze Europejskie dla Dolnego Śląska 2021- 2027</w:t>
      </w:r>
      <w:r w:rsidR="00A635CD" w:rsidRPr="001473F1">
        <w:rPr>
          <w:rFonts w:cstheme="minorHAnsi"/>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Strategia Rozwoju Województwa Dolnośląskiego 2030</w:t>
      </w:r>
      <w:r w:rsidR="00A635CD" w:rsidRPr="001473F1">
        <w:rPr>
          <w:rFonts w:cstheme="minorHAnsi"/>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Porozumienie z dnia 17 grudnia 2021 r. w sprawie zasad współpracy Stron Porozumienia przy programowaniu, wdraż</w:t>
      </w:r>
      <w:r w:rsidR="00180408">
        <w:rPr>
          <w:rFonts w:cstheme="minorHAnsi"/>
          <w:sz w:val="24"/>
          <w:szCs w:val="24"/>
        </w:rPr>
        <w:t>aniu, finansowaniu, ewaluacji i </w:t>
      </w:r>
      <w:r w:rsidRPr="001473F1">
        <w:rPr>
          <w:rFonts w:cstheme="minorHAnsi"/>
          <w:sz w:val="24"/>
          <w:szCs w:val="24"/>
        </w:rPr>
        <w:t>koordynowaniu wspólnych przedsięwzięć, bieżącej obsłudze i rozliczeniach ZIT WrOF</w:t>
      </w:r>
      <w:r w:rsidR="00A635CD" w:rsidRPr="001473F1">
        <w:rPr>
          <w:rFonts w:cstheme="minorHAnsi"/>
          <w:sz w:val="24"/>
          <w:szCs w:val="24"/>
        </w:rPr>
        <w:t>;</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 xml:space="preserve">Uchwała nr 6140/VI/22Zarządu Województwa Dolnośląskiego </w:t>
      </w:r>
      <w:r w:rsidR="00607657" w:rsidRPr="001473F1">
        <w:rPr>
          <w:rFonts w:cstheme="minorHAnsi"/>
          <w:sz w:val="24"/>
          <w:szCs w:val="24"/>
        </w:rPr>
        <w:t>z dnia 14 listopada 2022 r.  w </w:t>
      </w:r>
      <w:r w:rsidR="00F6762F" w:rsidRPr="001473F1">
        <w:rPr>
          <w:rFonts w:cstheme="minorHAnsi"/>
          <w:sz w:val="24"/>
          <w:szCs w:val="24"/>
        </w:rPr>
        <w:t>sprawie przyjęcia</w:t>
      </w:r>
      <w:r w:rsidRPr="001473F1">
        <w:rPr>
          <w:rFonts w:cstheme="minorHAnsi"/>
          <w:sz w:val="24"/>
          <w:szCs w:val="24"/>
        </w:rPr>
        <w:t xml:space="preserve"> projektu propozycji wyznaczenia miejskich obszarów funkcjonalnych celem realizacji podejścia terytorialnego w ramach projektu programu Fundusze Europejskie dla Dolnego Śląska 2021-2027</w:t>
      </w:r>
      <w:r w:rsidR="00930B6C" w:rsidRPr="001473F1">
        <w:rPr>
          <w:rFonts w:cstheme="minorHAnsi"/>
          <w:sz w:val="24"/>
          <w:szCs w:val="24"/>
        </w:rPr>
        <w:t xml:space="preserve"> (ze zmianami)</w:t>
      </w:r>
      <w:r w:rsidR="00A635CD" w:rsidRPr="001473F1">
        <w:rPr>
          <w:rFonts w:cstheme="minorHAnsi"/>
          <w:sz w:val="24"/>
          <w:szCs w:val="24"/>
        </w:rPr>
        <w:t>;</w:t>
      </w:r>
    </w:p>
    <w:p w:rsidR="00E43266" w:rsidRPr="001473F1" w:rsidRDefault="00E43266" w:rsidP="001473F1">
      <w:pPr>
        <w:pStyle w:val="Akapitzlist"/>
        <w:numPr>
          <w:ilvl w:val="0"/>
          <w:numId w:val="5"/>
        </w:numPr>
        <w:jc w:val="left"/>
        <w:rPr>
          <w:rFonts w:cstheme="minorHAnsi"/>
          <w:sz w:val="24"/>
          <w:szCs w:val="24"/>
        </w:rPr>
      </w:pPr>
      <w:r w:rsidRPr="001473F1">
        <w:rPr>
          <w:rFonts w:cstheme="minorHAnsi"/>
          <w:sz w:val="24"/>
          <w:szCs w:val="24"/>
        </w:rPr>
        <w:t xml:space="preserve">Uchwała nr 6945/VI/23 Zarządu Województwa Dolnośląskiego z dnia 22 maja 2023 r. </w:t>
      </w:r>
      <w:r w:rsidR="00F6762F" w:rsidRPr="001473F1">
        <w:rPr>
          <w:rFonts w:cstheme="minorHAnsi"/>
          <w:sz w:val="24"/>
          <w:szCs w:val="24"/>
        </w:rPr>
        <w:br/>
      </w:r>
      <w:r w:rsidRPr="001473F1">
        <w:rPr>
          <w:rFonts w:cstheme="minorHAnsi"/>
          <w:sz w:val="24"/>
          <w:szCs w:val="24"/>
        </w:rPr>
        <w:t>w sprawie przyjęcia wyznaczonych obszarów celem realiz</w:t>
      </w:r>
      <w:r w:rsidR="00E8722F" w:rsidRPr="001473F1">
        <w:rPr>
          <w:rFonts w:cstheme="minorHAnsi"/>
          <w:sz w:val="24"/>
          <w:szCs w:val="24"/>
        </w:rPr>
        <w:t>acji podejścia terytorialnego w </w:t>
      </w:r>
      <w:r w:rsidRPr="001473F1">
        <w:rPr>
          <w:rFonts w:cstheme="minorHAnsi"/>
          <w:sz w:val="24"/>
          <w:szCs w:val="24"/>
        </w:rPr>
        <w:t>ramach programu Fundusze Europejskie dla Dolnego Śląska 2021-2027;</w:t>
      </w:r>
    </w:p>
    <w:p w:rsidR="00AC52E2" w:rsidRPr="001473F1" w:rsidRDefault="00AC52E2" w:rsidP="001473F1">
      <w:pPr>
        <w:pStyle w:val="Akapitzlist"/>
        <w:numPr>
          <w:ilvl w:val="0"/>
          <w:numId w:val="5"/>
        </w:numPr>
        <w:jc w:val="left"/>
        <w:rPr>
          <w:rFonts w:cstheme="minorHAnsi"/>
          <w:sz w:val="24"/>
          <w:szCs w:val="24"/>
        </w:rPr>
      </w:pPr>
      <w:r w:rsidRPr="001473F1">
        <w:rPr>
          <w:rFonts w:cstheme="minorHAnsi"/>
          <w:sz w:val="24"/>
          <w:szCs w:val="24"/>
        </w:rPr>
        <w:t xml:space="preserve">Uchwała nr 6333/VI/22Zarządu Województwa Dolnośląskiego </w:t>
      </w:r>
      <w:r w:rsidR="00607657" w:rsidRPr="001473F1">
        <w:rPr>
          <w:rFonts w:cstheme="minorHAnsi"/>
          <w:sz w:val="24"/>
          <w:szCs w:val="24"/>
        </w:rPr>
        <w:t>z dnia 27 grudnia 2022 r. w </w:t>
      </w:r>
      <w:r w:rsidRPr="001473F1">
        <w:rPr>
          <w:rFonts w:cstheme="minorHAnsi"/>
          <w:sz w:val="24"/>
          <w:szCs w:val="24"/>
        </w:rPr>
        <w:t xml:space="preserve">sprawie przyjęcia programu Fundusze Europejskie dla </w:t>
      </w:r>
      <w:r w:rsidR="00607657" w:rsidRPr="001473F1">
        <w:rPr>
          <w:rFonts w:cstheme="minorHAnsi"/>
          <w:sz w:val="24"/>
          <w:szCs w:val="24"/>
        </w:rPr>
        <w:t>Dolnego Śląska 2021-2027 wraz z </w:t>
      </w:r>
      <w:r w:rsidRPr="001473F1">
        <w:rPr>
          <w:rFonts w:cstheme="minorHAnsi"/>
          <w:sz w:val="24"/>
          <w:szCs w:val="24"/>
        </w:rPr>
        <w:t>Prognozą oddziaływania na środowisko programu Fundusze Europejskie dla Dolnego Śląska 2021-2027 wraz z załącznikiem (TPST subregion wałbrzyski) oraz podsumowaniem</w:t>
      </w:r>
      <w:r w:rsidR="00214B05" w:rsidRPr="001473F1">
        <w:rPr>
          <w:rFonts w:cstheme="minorHAnsi"/>
          <w:sz w:val="24"/>
          <w:szCs w:val="24"/>
        </w:rPr>
        <w:t>.</w:t>
      </w:r>
    </w:p>
    <w:p w:rsidR="000B6C7E" w:rsidRPr="001473F1" w:rsidRDefault="00AC52E2" w:rsidP="001473F1">
      <w:pPr>
        <w:jc w:val="left"/>
        <w:rPr>
          <w:rFonts w:cstheme="minorHAnsi"/>
          <w:sz w:val="24"/>
          <w:szCs w:val="24"/>
        </w:rPr>
      </w:pPr>
      <w:r w:rsidRPr="001473F1">
        <w:rPr>
          <w:rFonts w:cstheme="minorHAnsi"/>
          <w:sz w:val="24"/>
          <w:szCs w:val="24"/>
        </w:rPr>
        <w:t>Uzupełnieniem informacji dotyczących wspomnianego mechanizmu są</w:t>
      </w:r>
      <w:r w:rsidR="005D10A3" w:rsidRPr="001473F1">
        <w:rPr>
          <w:rFonts w:cstheme="minorHAnsi"/>
          <w:sz w:val="24"/>
          <w:szCs w:val="24"/>
        </w:rPr>
        <w:t xml:space="preserve"> </w:t>
      </w:r>
      <w:r w:rsidRPr="001473F1">
        <w:rPr>
          <w:rFonts w:cstheme="minorHAnsi"/>
          <w:sz w:val="24"/>
          <w:szCs w:val="24"/>
        </w:rPr>
        <w:t>Zasady realizacji instrumentów terytorialnych w Polsce w perspektywie finansowej UE na lata 2021-2027, których przygotowanie wynika bezpośrednio z zapisów Umowy Partnerstwa.</w:t>
      </w:r>
      <w:r w:rsidR="005D10A3" w:rsidRPr="001473F1">
        <w:rPr>
          <w:rFonts w:cstheme="minorHAnsi"/>
          <w:sz w:val="24"/>
          <w:szCs w:val="24"/>
        </w:rPr>
        <w:t xml:space="preserve"> </w:t>
      </w:r>
      <w:r w:rsidRPr="001473F1">
        <w:rPr>
          <w:rFonts w:cstheme="minorHAnsi"/>
          <w:sz w:val="24"/>
          <w:szCs w:val="24"/>
        </w:rPr>
        <w:t>Opracowanie to zawiera informacje dotyczące ZIT – celu stosowania tego instrumentu, form partnerstwa, zakresu tematycznego czy przygotowania i zatwierdzenia dokumentu strategii ZIT.</w:t>
      </w:r>
    </w:p>
    <w:p w:rsidR="00B327E6" w:rsidRPr="001473F1" w:rsidRDefault="004263DD" w:rsidP="001473F1">
      <w:pPr>
        <w:pStyle w:val="Nagwek2"/>
        <w:jc w:val="left"/>
        <w:rPr>
          <w:rFonts w:asciiTheme="minorHAnsi" w:hAnsiTheme="minorHAnsi" w:cstheme="minorHAnsi"/>
          <w:sz w:val="24"/>
          <w:szCs w:val="24"/>
        </w:rPr>
      </w:pPr>
      <w:bookmarkStart w:id="9" w:name="_Toc126329098"/>
      <w:bookmarkStart w:id="10" w:name="_Toc143673201"/>
      <w:r w:rsidRPr="001473F1">
        <w:rPr>
          <w:rFonts w:asciiTheme="minorHAnsi" w:hAnsiTheme="minorHAnsi" w:cstheme="minorHAnsi"/>
          <w:sz w:val="24"/>
          <w:szCs w:val="24"/>
        </w:rPr>
        <w:t>I.3 Struktura i elementy strategii</w:t>
      </w:r>
      <w:bookmarkEnd w:id="9"/>
      <w:bookmarkEnd w:id="10"/>
    </w:p>
    <w:p w:rsidR="00A76DDB" w:rsidRPr="001473F1" w:rsidRDefault="00A76DDB" w:rsidP="001473F1">
      <w:pPr>
        <w:spacing w:after="0"/>
        <w:jc w:val="left"/>
        <w:rPr>
          <w:rFonts w:cstheme="minorHAnsi"/>
          <w:sz w:val="24"/>
          <w:szCs w:val="24"/>
        </w:rPr>
      </w:pPr>
      <w:r w:rsidRPr="001473F1">
        <w:rPr>
          <w:rFonts w:cstheme="minorHAnsi"/>
          <w:sz w:val="24"/>
          <w:szCs w:val="24"/>
        </w:rPr>
        <w:t xml:space="preserve">Strategia ZIT </w:t>
      </w:r>
      <w:r w:rsidR="00B327E6" w:rsidRPr="001473F1">
        <w:rPr>
          <w:rFonts w:cstheme="minorHAnsi"/>
          <w:sz w:val="24"/>
          <w:szCs w:val="24"/>
        </w:rPr>
        <w:t>WrOF 2021-2027</w:t>
      </w:r>
      <w:r w:rsidR="00A36698" w:rsidRPr="001473F1">
        <w:rPr>
          <w:rFonts w:cstheme="minorHAnsi"/>
          <w:sz w:val="24"/>
          <w:szCs w:val="24"/>
        </w:rPr>
        <w:t>,</w:t>
      </w:r>
      <w:r w:rsidRPr="001473F1">
        <w:rPr>
          <w:rFonts w:cstheme="minorHAnsi"/>
          <w:sz w:val="24"/>
          <w:szCs w:val="24"/>
        </w:rPr>
        <w:t xml:space="preserve">zgodnie z </w:t>
      </w:r>
      <w:r w:rsidR="008A3740" w:rsidRPr="001473F1">
        <w:rPr>
          <w:rFonts w:cstheme="minorHAnsi"/>
          <w:sz w:val="24"/>
          <w:szCs w:val="24"/>
        </w:rPr>
        <w:t>wytycznymi zawartymi w Umowie P</w:t>
      </w:r>
      <w:r w:rsidR="00B327E6" w:rsidRPr="001473F1">
        <w:rPr>
          <w:rFonts w:cstheme="minorHAnsi"/>
          <w:sz w:val="24"/>
          <w:szCs w:val="24"/>
        </w:rPr>
        <w:t>artnerstwa</w:t>
      </w:r>
      <w:r w:rsidR="00A36698" w:rsidRPr="001473F1">
        <w:rPr>
          <w:rFonts w:cstheme="minorHAnsi"/>
          <w:sz w:val="24"/>
          <w:szCs w:val="24"/>
        </w:rPr>
        <w:t>,</w:t>
      </w:r>
      <w:r w:rsidR="005D10A3" w:rsidRPr="001473F1">
        <w:rPr>
          <w:rFonts w:cstheme="minorHAnsi"/>
          <w:sz w:val="24"/>
          <w:szCs w:val="24"/>
        </w:rPr>
        <w:t xml:space="preserve"> </w:t>
      </w:r>
      <w:r w:rsidRPr="001473F1">
        <w:rPr>
          <w:rFonts w:cstheme="minorHAnsi"/>
          <w:sz w:val="24"/>
          <w:szCs w:val="24"/>
        </w:rPr>
        <w:t>zawiera następujące elementy:</w:t>
      </w:r>
    </w:p>
    <w:p w:rsidR="00A76DDB"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syntezę diagnozy obszaru realizacji ZIT wraz</w:t>
      </w:r>
      <w:r w:rsidR="00180408">
        <w:rPr>
          <w:rFonts w:cstheme="minorHAnsi"/>
          <w:sz w:val="24"/>
          <w:szCs w:val="24"/>
        </w:rPr>
        <w:t xml:space="preserve"> z analizą problemów, potrzeb i </w:t>
      </w:r>
      <w:r w:rsidRPr="001473F1">
        <w:rPr>
          <w:rFonts w:cstheme="minorHAnsi"/>
          <w:sz w:val="24"/>
          <w:szCs w:val="24"/>
        </w:rPr>
        <w:t>potencjałów rozwojowych, w tym wzajemnych powiązań gospodarczych, społecznych i środowiskowych;</w:t>
      </w:r>
    </w:p>
    <w:p w:rsidR="00A76DDB"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cele, które mają być zrealizowane w ramach ZIT</w:t>
      </w:r>
      <w:r w:rsidR="00A36698" w:rsidRPr="001473F1">
        <w:rPr>
          <w:rFonts w:cstheme="minorHAnsi"/>
          <w:sz w:val="24"/>
          <w:szCs w:val="24"/>
        </w:rPr>
        <w:t>,</w:t>
      </w:r>
      <w:r w:rsidRPr="001473F1">
        <w:rPr>
          <w:rFonts w:cstheme="minorHAnsi"/>
          <w:sz w:val="24"/>
          <w:szCs w:val="24"/>
        </w:rPr>
        <w:t xml:space="preserve"> uwzględniają</w:t>
      </w:r>
      <w:r w:rsidR="00B70995" w:rsidRPr="001473F1">
        <w:rPr>
          <w:rFonts w:cstheme="minorHAnsi"/>
          <w:sz w:val="24"/>
          <w:szCs w:val="24"/>
        </w:rPr>
        <w:t>ce</w:t>
      </w:r>
      <w:r w:rsidRPr="001473F1">
        <w:rPr>
          <w:rFonts w:cstheme="minorHAnsi"/>
          <w:sz w:val="24"/>
          <w:szCs w:val="24"/>
        </w:rPr>
        <w:t xml:space="preserve"> podejście zintegrowane, oczekiwane wskaźniki rezultatu i produktu, powiązania z właściwym programem; </w:t>
      </w:r>
    </w:p>
    <w:p w:rsidR="00A76DDB"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listę projektów wraz z informacją na temat sposo</w:t>
      </w:r>
      <w:r w:rsidR="00180408">
        <w:rPr>
          <w:rFonts w:cstheme="minorHAnsi"/>
          <w:sz w:val="24"/>
          <w:szCs w:val="24"/>
        </w:rPr>
        <w:t>bu ich wyboru oraz powiązania z </w:t>
      </w:r>
      <w:r w:rsidRPr="001473F1">
        <w:rPr>
          <w:rFonts w:cstheme="minorHAnsi"/>
          <w:sz w:val="24"/>
          <w:szCs w:val="24"/>
        </w:rPr>
        <w:t>innymi projektami;</w:t>
      </w:r>
    </w:p>
    <w:p w:rsidR="00A76DDB"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źródła finansowania;</w:t>
      </w:r>
    </w:p>
    <w:p w:rsidR="00A76DDB"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warunki i proce</w:t>
      </w:r>
      <w:r w:rsidR="007F784C" w:rsidRPr="001473F1">
        <w:rPr>
          <w:rFonts w:cstheme="minorHAnsi"/>
          <w:sz w:val="24"/>
          <w:szCs w:val="24"/>
        </w:rPr>
        <w:t>dury obowiązujące w realizacji s</w:t>
      </w:r>
      <w:r w:rsidRPr="001473F1">
        <w:rPr>
          <w:rFonts w:cstheme="minorHAnsi"/>
          <w:sz w:val="24"/>
          <w:szCs w:val="24"/>
        </w:rPr>
        <w:t>trategii ZIT;</w:t>
      </w:r>
    </w:p>
    <w:p w:rsidR="00DC7A4C" w:rsidRPr="001473F1" w:rsidRDefault="00A76DDB" w:rsidP="001473F1">
      <w:pPr>
        <w:pStyle w:val="Akapitzlist"/>
        <w:numPr>
          <w:ilvl w:val="0"/>
          <w:numId w:val="5"/>
        </w:numPr>
        <w:jc w:val="left"/>
        <w:rPr>
          <w:rFonts w:cstheme="minorHAnsi"/>
          <w:sz w:val="24"/>
          <w:szCs w:val="24"/>
        </w:rPr>
      </w:pPr>
      <w:r w:rsidRPr="001473F1">
        <w:rPr>
          <w:rFonts w:cstheme="minorHAnsi"/>
          <w:sz w:val="24"/>
          <w:szCs w:val="24"/>
        </w:rPr>
        <w:t>opis procesu zaangażowania partnerów społecznych i gospodarczych oraz właściwych podmiotów reprezentujących społeczeństwo obywatelskie, podmiotów działających na rzecz ochrony środowiska oraz podmiotów odpowiedzialnych za promowanie włączenia społecznego, praw podstawowych, praw osób ze specjalnymi potrzebami, równości płci i niedyskryminacji w pracach n</w:t>
      </w:r>
      <w:r w:rsidR="007F784C" w:rsidRPr="001473F1">
        <w:rPr>
          <w:rFonts w:cstheme="minorHAnsi"/>
          <w:sz w:val="24"/>
          <w:szCs w:val="24"/>
        </w:rPr>
        <w:t>ad przygotowaniem i wdrażaniem s</w:t>
      </w:r>
      <w:r w:rsidRPr="001473F1">
        <w:rPr>
          <w:rFonts w:cstheme="minorHAnsi"/>
          <w:sz w:val="24"/>
          <w:szCs w:val="24"/>
        </w:rPr>
        <w:t>trategii ZIT oraz sprawozdanie z konsultacji społecznych.</w:t>
      </w:r>
    </w:p>
    <w:p w:rsidR="006A2204" w:rsidRPr="001473F1" w:rsidRDefault="006A2204" w:rsidP="001473F1">
      <w:pPr>
        <w:pStyle w:val="Nagwek2"/>
        <w:jc w:val="left"/>
        <w:rPr>
          <w:rFonts w:asciiTheme="minorHAnsi" w:hAnsiTheme="minorHAnsi" w:cstheme="minorHAnsi"/>
          <w:sz w:val="24"/>
          <w:szCs w:val="24"/>
        </w:rPr>
      </w:pPr>
      <w:bookmarkStart w:id="11" w:name="_Toc143673202"/>
      <w:r w:rsidRPr="001473F1">
        <w:rPr>
          <w:rFonts w:asciiTheme="minorHAnsi" w:hAnsiTheme="minorHAnsi" w:cstheme="minorHAnsi"/>
          <w:sz w:val="24"/>
          <w:szCs w:val="24"/>
        </w:rPr>
        <w:t>I.4 Metodyka opracowania</w:t>
      </w:r>
      <w:bookmarkEnd w:id="11"/>
    </w:p>
    <w:p w:rsidR="006A2204" w:rsidRPr="001473F1" w:rsidRDefault="006A2204" w:rsidP="001473F1">
      <w:pPr>
        <w:jc w:val="left"/>
        <w:rPr>
          <w:rFonts w:cstheme="minorHAnsi"/>
          <w:sz w:val="24"/>
          <w:szCs w:val="24"/>
        </w:rPr>
      </w:pPr>
      <w:r w:rsidRPr="001473F1">
        <w:rPr>
          <w:rFonts w:cstheme="minorHAnsi"/>
          <w:sz w:val="24"/>
          <w:szCs w:val="24"/>
        </w:rPr>
        <w:t>Opracowanie Strategii ZIT WrOF</w:t>
      </w:r>
      <w:r w:rsidR="00806FE4" w:rsidRPr="001473F1">
        <w:rPr>
          <w:rFonts w:cstheme="minorHAnsi"/>
          <w:sz w:val="24"/>
          <w:szCs w:val="24"/>
        </w:rPr>
        <w:t xml:space="preserve"> </w:t>
      </w:r>
      <w:r w:rsidRPr="001473F1">
        <w:rPr>
          <w:rFonts w:cstheme="minorHAnsi"/>
          <w:sz w:val="24"/>
          <w:szCs w:val="24"/>
        </w:rPr>
        <w:t>2021-2027 zostało poprzedzone</w:t>
      </w:r>
      <w:r w:rsidR="005D10A3" w:rsidRPr="001473F1">
        <w:rPr>
          <w:rFonts w:cstheme="minorHAnsi"/>
          <w:sz w:val="24"/>
          <w:szCs w:val="24"/>
        </w:rPr>
        <w:t xml:space="preserve"> </w:t>
      </w:r>
      <w:r w:rsidRPr="001473F1">
        <w:rPr>
          <w:rFonts w:cstheme="minorHAnsi"/>
          <w:sz w:val="24"/>
          <w:szCs w:val="24"/>
        </w:rPr>
        <w:t>przeprowadzeniem</w:t>
      </w:r>
      <w:r w:rsidR="005D10A3" w:rsidRPr="001473F1">
        <w:rPr>
          <w:rFonts w:cstheme="minorHAnsi"/>
          <w:sz w:val="24"/>
          <w:szCs w:val="24"/>
        </w:rPr>
        <w:t xml:space="preserve"> </w:t>
      </w:r>
      <w:r w:rsidRPr="001473F1">
        <w:rPr>
          <w:rFonts w:cstheme="minorHAnsi"/>
          <w:sz w:val="24"/>
          <w:szCs w:val="24"/>
        </w:rPr>
        <w:t>k</w:t>
      </w:r>
      <w:r w:rsidRPr="001473F1">
        <w:rPr>
          <w:rFonts w:cstheme="minorHAnsi"/>
          <w:spacing w:val="-2"/>
          <w:sz w:val="24"/>
          <w:szCs w:val="24"/>
        </w:rPr>
        <w:t xml:space="preserve">ompleksowych prac diagnostyczno-badawczych. Poniżej zaprezentowano poszczególne </w:t>
      </w:r>
      <w:r w:rsidRPr="001473F1">
        <w:rPr>
          <w:rFonts w:cstheme="minorHAnsi"/>
          <w:sz w:val="24"/>
          <w:szCs w:val="24"/>
        </w:rPr>
        <w:t xml:space="preserve">elementy metodyki i etapy opracowania przedmiotowej strategii. </w:t>
      </w:r>
    </w:p>
    <w:tbl>
      <w:tblPr>
        <w:tblStyle w:val="Tabela-Siatka"/>
        <w:tblW w:w="9288" w:type="dxa"/>
        <w:tblLayout w:type="fixed"/>
        <w:tblLook w:val="04A0" w:firstRow="1" w:lastRow="0" w:firstColumn="1" w:lastColumn="0" w:noHBand="0" w:noVBand="1"/>
        <w:tblCaption w:val="Metodyka opracowania"/>
        <w:tblDescription w:val="Metodyka opracowania"/>
      </w:tblPr>
      <w:tblGrid>
        <w:gridCol w:w="1980"/>
        <w:gridCol w:w="7308"/>
      </w:tblGrid>
      <w:tr w:rsidR="001473F1" w:rsidRPr="001473F1" w:rsidTr="001473F1">
        <w:trPr>
          <w:trHeight w:val="567"/>
          <w:tblHeader/>
        </w:trPr>
        <w:tc>
          <w:tcPr>
            <w:tcW w:w="1980" w:type="dxa"/>
            <w:shd w:val="clear" w:color="auto" w:fill="auto"/>
            <w:vAlign w:val="center"/>
          </w:tcPr>
          <w:p w:rsidR="001473F1" w:rsidRPr="001473F1" w:rsidRDefault="001473F1" w:rsidP="001473F1">
            <w:pPr>
              <w:spacing w:line="240" w:lineRule="auto"/>
              <w:jc w:val="left"/>
              <w:rPr>
                <w:b/>
                <w:bCs/>
                <w:color w:val="000000" w:themeColor="text1"/>
                <w:sz w:val="24"/>
                <w:szCs w:val="24"/>
              </w:rPr>
            </w:pPr>
            <w:r w:rsidRPr="001473F1">
              <w:rPr>
                <w:b/>
                <w:bCs/>
                <w:color w:val="000000" w:themeColor="text1"/>
                <w:sz w:val="24"/>
                <w:szCs w:val="24"/>
              </w:rPr>
              <w:t>Metoda</w:t>
            </w:r>
          </w:p>
        </w:tc>
        <w:tc>
          <w:tcPr>
            <w:tcW w:w="7308" w:type="dxa"/>
            <w:vAlign w:val="center"/>
          </w:tcPr>
          <w:p w:rsidR="001473F1" w:rsidRPr="001473F1" w:rsidRDefault="001473F1" w:rsidP="001473F1">
            <w:pPr>
              <w:spacing w:line="240" w:lineRule="auto"/>
              <w:jc w:val="left"/>
              <w:rPr>
                <w:b/>
                <w:bCs/>
                <w:color w:val="000000" w:themeColor="text1"/>
                <w:sz w:val="24"/>
                <w:szCs w:val="24"/>
              </w:rPr>
            </w:pPr>
            <w:r w:rsidRPr="001473F1">
              <w:rPr>
                <w:b/>
                <w:bCs/>
                <w:color w:val="000000" w:themeColor="text1"/>
                <w:sz w:val="24"/>
                <w:szCs w:val="24"/>
              </w:rPr>
              <w:t xml:space="preserve">Opis </w:t>
            </w:r>
          </w:p>
        </w:tc>
      </w:tr>
      <w:tr w:rsidR="001473F1" w:rsidRPr="001473F1" w:rsidTr="001473F1">
        <w:trPr>
          <w:trHeight w:val="3742"/>
        </w:trPr>
        <w:tc>
          <w:tcPr>
            <w:tcW w:w="1980" w:type="dxa"/>
            <w:shd w:val="clear" w:color="auto" w:fill="auto"/>
            <w:vAlign w:val="center"/>
          </w:tcPr>
          <w:p w:rsidR="00E05B0A" w:rsidRPr="001473F1" w:rsidRDefault="00E05B0A" w:rsidP="006A2204">
            <w:pPr>
              <w:spacing w:line="240" w:lineRule="auto"/>
              <w:jc w:val="center"/>
              <w:rPr>
                <w:b/>
                <w:bCs/>
                <w:color w:val="000000" w:themeColor="text1"/>
                <w:sz w:val="24"/>
                <w:szCs w:val="24"/>
              </w:rPr>
            </w:pPr>
            <w:r w:rsidRPr="001473F1">
              <w:rPr>
                <w:b/>
                <w:bCs/>
                <w:color w:val="000000" w:themeColor="text1"/>
                <w:sz w:val="24"/>
                <w:szCs w:val="24"/>
              </w:rPr>
              <w:t xml:space="preserve">Opracowanie diagnozy sytuacji społecznej, gospodarczej </w:t>
            </w:r>
          </w:p>
          <w:p w:rsidR="00E05B0A" w:rsidRPr="001473F1" w:rsidRDefault="00E05B0A" w:rsidP="006A2204">
            <w:pPr>
              <w:spacing w:line="240" w:lineRule="auto"/>
              <w:jc w:val="center"/>
              <w:rPr>
                <w:b/>
                <w:bCs/>
                <w:color w:val="000000" w:themeColor="text1"/>
                <w:sz w:val="24"/>
                <w:szCs w:val="24"/>
              </w:rPr>
            </w:pPr>
            <w:r w:rsidRPr="001473F1">
              <w:rPr>
                <w:b/>
                <w:bCs/>
                <w:color w:val="000000" w:themeColor="text1"/>
                <w:sz w:val="24"/>
                <w:szCs w:val="24"/>
              </w:rPr>
              <w:t>i przestrzennej</w:t>
            </w:r>
          </w:p>
        </w:tc>
        <w:tc>
          <w:tcPr>
            <w:tcW w:w="7308" w:type="dxa"/>
            <w:vAlign w:val="center"/>
          </w:tcPr>
          <w:p w:rsidR="00E05B0A" w:rsidRPr="001473F1" w:rsidRDefault="00943465" w:rsidP="001473F1">
            <w:pPr>
              <w:spacing w:line="240" w:lineRule="auto"/>
              <w:jc w:val="left"/>
              <w:rPr>
                <w:color w:val="000000" w:themeColor="text1"/>
                <w:sz w:val="24"/>
                <w:szCs w:val="24"/>
              </w:rPr>
            </w:pPr>
            <w:r w:rsidRPr="001473F1">
              <w:rPr>
                <w:color w:val="000000" w:themeColor="text1"/>
                <w:sz w:val="24"/>
                <w:szCs w:val="24"/>
              </w:rPr>
              <w:t xml:space="preserve">Kluczowe znaczenie w procesie opracowania zarówno diagnozy, jak i strategii miała analiza </w:t>
            </w:r>
            <w:proofErr w:type="spellStart"/>
            <w:r w:rsidRPr="001473F1">
              <w:rPr>
                <w:i/>
                <w:iCs/>
                <w:color w:val="000000" w:themeColor="text1"/>
                <w:sz w:val="24"/>
                <w:szCs w:val="24"/>
              </w:rPr>
              <w:t>deskresearch</w:t>
            </w:r>
            <w:proofErr w:type="spellEnd"/>
            <w:r w:rsidRPr="001473F1">
              <w:rPr>
                <w:color w:val="000000" w:themeColor="text1"/>
                <w:sz w:val="24"/>
                <w:szCs w:val="24"/>
              </w:rPr>
              <w:t>. Weryfikacji poddano możliwie najszerszy katalog ogólnodostępnych opracowań, dokumentów, raportów, a także materiałów udostęp</w:t>
            </w:r>
            <w:r w:rsidR="00180408">
              <w:rPr>
                <w:color w:val="000000" w:themeColor="text1"/>
                <w:sz w:val="24"/>
                <w:szCs w:val="24"/>
              </w:rPr>
              <w:t>nionych przez Biuro ZIT WrOF. W </w:t>
            </w:r>
            <w:r w:rsidRPr="001473F1">
              <w:rPr>
                <w:color w:val="000000" w:themeColor="text1"/>
                <w:sz w:val="24"/>
                <w:szCs w:val="24"/>
              </w:rPr>
              <w:t>celu p</w:t>
            </w:r>
            <w:r w:rsidR="00176185" w:rsidRPr="001473F1">
              <w:rPr>
                <w:color w:val="000000" w:themeColor="text1"/>
                <w:sz w:val="24"/>
                <w:szCs w:val="24"/>
              </w:rPr>
              <w:t>ogłębienia analizy dotyczącej w </w:t>
            </w:r>
            <w:r w:rsidRPr="001473F1">
              <w:rPr>
                <w:color w:val="000000" w:themeColor="text1"/>
                <w:sz w:val="24"/>
                <w:szCs w:val="24"/>
              </w:rPr>
              <w:t>szczególności rynku pracy, bezpieczeństwa pub</w:t>
            </w:r>
            <w:r w:rsidR="00A53E3F" w:rsidRPr="001473F1">
              <w:rPr>
                <w:color w:val="000000" w:themeColor="text1"/>
                <w:sz w:val="24"/>
                <w:szCs w:val="24"/>
              </w:rPr>
              <w:t xml:space="preserve">licznego, </w:t>
            </w:r>
            <w:r w:rsidR="00C60FDA" w:rsidRPr="001473F1">
              <w:rPr>
                <w:color w:val="000000" w:themeColor="text1"/>
                <w:sz w:val="24"/>
                <w:szCs w:val="24"/>
              </w:rPr>
              <w:t>zapotrzebowania na </w:t>
            </w:r>
            <w:r w:rsidRPr="001473F1">
              <w:rPr>
                <w:color w:val="000000" w:themeColor="text1"/>
                <w:sz w:val="24"/>
                <w:szCs w:val="24"/>
              </w:rPr>
              <w:t>pomoc społeczną</w:t>
            </w:r>
            <w:r w:rsidR="00A53E3F" w:rsidRPr="001473F1">
              <w:rPr>
                <w:color w:val="000000" w:themeColor="text1"/>
                <w:sz w:val="24"/>
                <w:szCs w:val="24"/>
              </w:rPr>
              <w:t>, infrastruktury edukacyjnej, kwestii środowiskowych</w:t>
            </w:r>
            <w:r w:rsidR="006C6ABF" w:rsidRPr="001473F1">
              <w:rPr>
                <w:color w:val="000000" w:themeColor="text1"/>
                <w:sz w:val="24"/>
                <w:szCs w:val="24"/>
              </w:rPr>
              <w:t xml:space="preserve"> (</w:t>
            </w:r>
            <w:r w:rsidR="0094051E" w:rsidRPr="001473F1">
              <w:rPr>
                <w:color w:val="000000" w:themeColor="text1"/>
                <w:sz w:val="24"/>
                <w:szCs w:val="24"/>
              </w:rPr>
              <w:t>w</w:t>
            </w:r>
            <w:r w:rsidR="00D8013D" w:rsidRPr="001473F1">
              <w:rPr>
                <w:color w:val="000000" w:themeColor="text1"/>
                <w:sz w:val="24"/>
                <w:szCs w:val="24"/>
              </w:rPr>
              <w:t> </w:t>
            </w:r>
            <w:r w:rsidR="0094051E" w:rsidRPr="001473F1">
              <w:rPr>
                <w:color w:val="000000" w:themeColor="text1"/>
                <w:sz w:val="24"/>
                <w:szCs w:val="24"/>
              </w:rPr>
              <w:t>tym szc</w:t>
            </w:r>
            <w:r w:rsidR="00180408">
              <w:rPr>
                <w:color w:val="000000" w:themeColor="text1"/>
                <w:sz w:val="24"/>
                <w:szCs w:val="24"/>
              </w:rPr>
              <w:t>zególnie z </w:t>
            </w:r>
            <w:r w:rsidR="0094051E" w:rsidRPr="001473F1">
              <w:rPr>
                <w:color w:val="000000" w:themeColor="text1"/>
                <w:sz w:val="24"/>
                <w:szCs w:val="24"/>
              </w:rPr>
              <w:t xml:space="preserve">zakresu energetyki i gospodarowania odpadami) </w:t>
            </w:r>
            <w:r w:rsidR="00180408">
              <w:rPr>
                <w:color w:val="000000" w:themeColor="text1"/>
                <w:sz w:val="24"/>
                <w:szCs w:val="24"/>
              </w:rPr>
              <w:t>pozyskano dane z </w:t>
            </w:r>
            <w:r w:rsidRPr="001473F1">
              <w:rPr>
                <w:color w:val="000000" w:themeColor="text1"/>
                <w:sz w:val="24"/>
                <w:szCs w:val="24"/>
              </w:rPr>
              <w:t>powiatowych urzędów pracy, pow</w:t>
            </w:r>
            <w:r w:rsidR="00A53E3F" w:rsidRPr="001473F1">
              <w:rPr>
                <w:color w:val="000000" w:themeColor="text1"/>
                <w:sz w:val="24"/>
                <w:szCs w:val="24"/>
              </w:rPr>
              <w:t xml:space="preserve">iatowych komisariatów policji, </w:t>
            </w:r>
            <w:r w:rsidR="007D7F3A" w:rsidRPr="001473F1">
              <w:rPr>
                <w:color w:val="000000" w:themeColor="text1"/>
                <w:sz w:val="24"/>
                <w:szCs w:val="24"/>
              </w:rPr>
              <w:t xml:space="preserve">ośrodków pomocy społecznej, </w:t>
            </w:r>
            <w:r w:rsidR="00A53E3F" w:rsidRPr="001473F1">
              <w:rPr>
                <w:color w:val="000000" w:themeColor="text1"/>
                <w:sz w:val="24"/>
                <w:szCs w:val="24"/>
              </w:rPr>
              <w:t>gmin tworzących WrOF</w:t>
            </w:r>
            <w:r w:rsidR="007D7F3A" w:rsidRPr="001473F1">
              <w:rPr>
                <w:color w:val="000000" w:themeColor="text1"/>
                <w:sz w:val="24"/>
                <w:szCs w:val="24"/>
              </w:rPr>
              <w:t xml:space="preserve"> oraz podmiotów świadczących usługi produkcji ciepła i energii elektrycznej </w:t>
            </w:r>
            <w:r w:rsidR="0091634E" w:rsidRPr="001473F1">
              <w:rPr>
                <w:color w:val="000000" w:themeColor="text1"/>
                <w:sz w:val="24"/>
                <w:szCs w:val="24"/>
              </w:rPr>
              <w:t>oraz usług komunalnych</w:t>
            </w:r>
            <w:r w:rsidR="00A53E3F" w:rsidRPr="001473F1">
              <w:rPr>
                <w:color w:val="000000" w:themeColor="text1"/>
                <w:sz w:val="24"/>
                <w:szCs w:val="24"/>
              </w:rPr>
              <w:t>.</w:t>
            </w:r>
            <w:r w:rsidRPr="001473F1">
              <w:rPr>
                <w:color w:val="000000" w:themeColor="text1"/>
                <w:sz w:val="24"/>
                <w:szCs w:val="24"/>
              </w:rPr>
              <w:t xml:space="preserve"> Zebrane dan</w:t>
            </w:r>
            <w:r w:rsidR="004D48FE" w:rsidRPr="001473F1">
              <w:rPr>
                <w:color w:val="000000" w:themeColor="text1"/>
                <w:sz w:val="24"/>
                <w:szCs w:val="24"/>
              </w:rPr>
              <w:t>e zostały poddane weryfikacji w </w:t>
            </w:r>
            <w:r w:rsidRPr="001473F1">
              <w:rPr>
                <w:color w:val="000000" w:themeColor="text1"/>
                <w:sz w:val="24"/>
                <w:szCs w:val="24"/>
              </w:rPr>
              <w:t>celu wyselekcjonowania rzetelnych</w:t>
            </w:r>
            <w:r w:rsidR="005D10A3" w:rsidRPr="001473F1">
              <w:rPr>
                <w:color w:val="000000" w:themeColor="text1"/>
                <w:sz w:val="24"/>
                <w:szCs w:val="24"/>
              </w:rPr>
              <w:t xml:space="preserve"> </w:t>
            </w:r>
            <w:r w:rsidR="007A3F42" w:rsidRPr="001473F1">
              <w:rPr>
                <w:color w:val="000000" w:themeColor="text1"/>
                <w:sz w:val="24"/>
                <w:szCs w:val="24"/>
              </w:rPr>
              <w:t xml:space="preserve">oraz przydatnych </w:t>
            </w:r>
            <w:r w:rsidR="00DC670D" w:rsidRPr="001473F1">
              <w:rPr>
                <w:color w:val="000000" w:themeColor="text1"/>
                <w:sz w:val="24"/>
                <w:szCs w:val="24"/>
              </w:rPr>
              <w:t>informacji do </w:t>
            </w:r>
            <w:r w:rsidRPr="001473F1">
              <w:rPr>
                <w:color w:val="000000" w:themeColor="text1"/>
                <w:sz w:val="24"/>
                <w:szCs w:val="24"/>
              </w:rPr>
              <w:t xml:space="preserve">opracowania </w:t>
            </w:r>
            <w:r w:rsidR="00D8013D" w:rsidRPr="001473F1">
              <w:rPr>
                <w:color w:val="000000" w:themeColor="text1"/>
                <w:sz w:val="24"/>
                <w:szCs w:val="24"/>
              </w:rPr>
              <w:t>c</w:t>
            </w:r>
            <w:r w:rsidR="002252BE" w:rsidRPr="001473F1">
              <w:rPr>
                <w:color w:val="000000" w:themeColor="text1"/>
                <w:sz w:val="24"/>
                <w:szCs w:val="24"/>
              </w:rPr>
              <w:t xml:space="preserve">zęści </w:t>
            </w:r>
            <w:r w:rsidR="00D8013D" w:rsidRPr="001473F1">
              <w:rPr>
                <w:color w:val="000000" w:themeColor="text1"/>
                <w:sz w:val="24"/>
                <w:szCs w:val="24"/>
              </w:rPr>
              <w:t>d</w:t>
            </w:r>
            <w:r w:rsidR="002252BE" w:rsidRPr="001473F1">
              <w:rPr>
                <w:color w:val="000000" w:themeColor="text1"/>
                <w:sz w:val="24"/>
                <w:szCs w:val="24"/>
              </w:rPr>
              <w:t xml:space="preserve">iagnostycznej Strategii ZIT WrOF 2021-2027. </w:t>
            </w:r>
            <w:r w:rsidR="00EF58E1" w:rsidRPr="001473F1">
              <w:rPr>
                <w:color w:val="000000" w:themeColor="text1"/>
                <w:sz w:val="24"/>
                <w:szCs w:val="24"/>
              </w:rPr>
              <w:t>Wnioski z </w:t>
            </w:r>
            <w:r w:rsidR="002252BE" w:rsidRPr="001473F1">
              <w:rPr>
                <w:color w:val="000000" w:themeColor="text1"/>
                <w:sz w:val="24"/>
                <w:szCs w:val="24"/>
              </w:rPr>
              <w:t>opracowanego dokumentu znajdują się w rozdziale II Synteza diagnozy obszaru realizacji ZIT.</w:t>
            </w:r>
          </w:p>
        </w:tc>
      </w:tr>
      <w:tr w:rsidR="001473F1" w:rsidRPr="001473F1" w:rsidTr="001473F1">
        <w:trPr>
          <w:trHeight w:val="1928"/>
        </w:trPr>
        <w:tc>
          <w:tcPr>
            <w:tcW w:w="1980" w:type="dxa"/>
            <w:shd w:val="clear" w:color="auto" w:fill="auto"/>
            <w:vAlign w:val="center"/>
          </w:tcPr>
          <w:p w:rsidR="006A2204" w:rsidRPr="001473F1" w:rsidRDefault="006A2204" w:rsidP="006A2204">
            <w:pPr>
              <w:spacing w:line="240" w:lineRule="auto"/>
              <w:jc w:val="center"/>
              <w:rPr>
                <w:b/>
                <w:bCs/>
                <w:color w:val="000000" w:themeColor="text1"/>
                <w:sz w:val="24"/>
                <w:szCs w:val="24"/>
              </w:rPr>
            </w:pPr>
            <w:r w:rsidRPr="001473F1">
              <w:rPr>
                <w:b/>
                <w:bCs/>
                <w:color w:val="000000" w:themeColor="text1"/>
                <w:sz w:val="24"/>
                <w:szCs w:val="24"/>
              </w:rPr>
              <w:t>Przeprowadzenie badania ankietowego z mieszkańcami WrOF</w:t>
            </w:r>
          </w:p>
        </w:tc>
        <w:tc>
          <w:tcPr>
            <w:tcW w:w="7308" w:type="dxa"/>
            <w:vAlign w:val="center"/>
          </w:tcPr>
          <w:p w:rsidR="006A2204" w:rsidRPr="001473F1" w:rsidRDefault="006A2204" w:rsidP="001473F1">
            <w:pPr>
              <w:spacing w:line="240" w:lineRule="auto"/>
              <w:jc w:val="left"/>
              <w:rPr>
                <w:color w:val="000000" w:themeColor="text1"/>
                <w:sz w:val="24"/>
                <w:szCs w:val="24"/>
              </w:rPr>
            </w:pPr>
            <w:r w:rsidRPr="001473F1">
              <w:rPr>
                <w:color w:val="000000" w:themeColor="text1"/>
                <w:sz w:val="24"/>
                <w:szCs w:val="24"/>
              </w:rPr>
              <w:t>W celu poznania realnych potrzeb mieszka</w:t>
            </w:r>
            <w:r w:rsidR="00B103B8" w:rsidRPr="001473F1">
              <w:rPr>
                <w:color w:val="000000" w:themeColor="text1"/>
                <w:sz w:val="24"/>
                <w:szCs w:val="24"/>
              </w:rPr>
              <w:t>ńców oraz aktualnej sytuacji we </w:t>
            </w:r>
            <w:r w:rsidRPr="001473F1">
              <w:rPr>
                <w:color w:val="000000" w:themeColor="text1"/>
                <w:sz w:val="24"/>
                <w:szCs w:val="24"/>
              </w:rPr>
              <w:t xml:space="preserve">WrOF przeprowadzono badanie ankietowe </w:t>
            </w:r>
            <w:r w:rsidR="00582AD3" w:rsidRPr="001473F1">
              <w:rPr>
                <w:color w:val="000000" w:themeColor="text1"/>
                <w:sz w:val="24"/>
                <w:szCs w:val="24"/>
              </w:rPr>
              <w:t>– badanie ilościowe zrealizowano metodą CAWI prz</w:t>
            </w:r>
            <w:r w:rsidR="00180408">
              <w:rPr>
                <w:color w:val="000000" w:themeColor="text1"/>
                <w:sz w:val="24"/>
                <w:szCs w:val="24"/>
              </w:rPr>
              <w:t>y użyciu panelu internetowego i </w:t>
            </w:r>
            <w:r w:rsidR="00582AD3" w:rsidRPr="001473F1">
              <w:rPr>
                <w:color w:val="000000" w:themeColor="text1"/>
                <w:sz w:val="24"/>
                <w:szCs w:val="24"/>
              </w:rPr>
              <w:t>wywiadów telefonicznych CATI</w:t>
            </w:r>
            <w:r w:rsidR="00EA1AF3" w:rsidRPr="001473F1">
              <w:rPr>
                <w:color w:val="000000" w:themeColor="text1"/>
                <w:sz w:val="24"/>
                <w:szCs w:val="24"/>
              </w:rPr>
              <w:t>.</w:t>
            </w:r>
            <w:r w:rsidR="005D10A3" w:rsidRPr="001473F1">
              <w:rPr>
                <w:color w:val="000000" w:themeColor="text1"/>
                <w:sz w:val="24"/>
                <w:szCs w:val="24"/>
              </w:rPr>
              <w:t xml:space="preserve"> </w:t>
            </w:r>
            <w:r w:rsidRPr="001473F1">
              <w:rPr>
                <w:color w:val="000000" w:themeColor="text1"/>
                <w:sz w:val="24"/>
                <w:szCs w:val="24"/>
              </w:rPr>
              <w:t xml:space="preserve">Ankietowani zostali poproszeni </w:t>
            </w:r>
            <w:r w:rsidR="00180408">
              <w:rPr>
                <w:color w:val="000000" w:themeColor="text1"/>
                <w:sz w:val="24"/>
                <w:szCs w:val="24"/>
              </w:rPr>
              <w:br/>
            </w:r>
            <w:r w:rsidRPr="001473F1">
              <w:rPr>
                <w:color w:val="000000" w:themeColor="text1"/>
                <w:sz w:val="24"/>
                <w:szCs w:val="24"/>
              </w:rPr>
              <w:t xml:space="preserve">m.in. o ocenę sytuacji na rynku pracy, jakości środowiska czy dostępności do usług i infrastruktury. </w:t>
            </w:r>
            <w:r w:rsidR="00B103B8" w:rsidRPr="001473F1">
              <w:rPr>
                <w:color w:val="000000" w:themeColor="text1"/>
                <w:sz w:val="24"/>
                <w:szCs w:val="24"/>
              </w:rPr>
              <w:t>W </w:t>
            </w:r>
            <w:r w:rsidR="001A2B57" w:rsidRPr="001473F1">
              <w:rPr>
                <w:color w:val="000000" w:themeColor="text1"/>
                <w:sz w:val="24"/>
                <w:szCs w:val="24"/>
              </w:rPr>
              <w:t>badaniu ankietowym wzięło udział 1</w:t>
            </w:r>
            <w:r w:rsidR="00230880" w:rsidRPr="001473F1">
              <w:rPr>
                <w:color w:val="000000" w:themeColor="text1"/>
                <w:sz w:val="24"/>
                <w:szCs w:val="24"/>
              </w:rPr>
              <w:t> </w:t>
            </w:r>
            <w:r w:rsidR="001A2B57" w:rsidRPr="001473F1">
              <w:rPr>
                <w:color w:val="000000" w:themeColor="text1"/>
                <w:sz w:val="24"/>
                <w:szCs w:val="24"/>
              </w:rPr>
              <w:t xml:space="preserve">066 mieszkańców </w:t>
            </w:r>
            <w:r w:rsidR="00B103B8" w:rsidRPr="001473F1">
              <w:rPr>
                <w:color w:val="000000" w:themeColor="text1"/>
                <w:sz w:val="24"/>
                <w:szCs w:val="24"/>
              </w:rPr>
              <w:t>gmin wchodzących w </w:t>
            </w:r>
            <w:r w:rsidR="006D58A0" w:rsidRPr="001473F1">
              <w:rPr>
                <w:color w:val="000000" w:themeColor="text1"/>
                <w:sz w:val="24"/>
                <w:szCs w:val="24"/>
              </w:rPr>
              <w:t xml:space="preserve">skład ZIT WrOF. </w:t>
            </w:r>
            <w:r w:rsidR="00230880" w:rsidRPr="001473F1">
              <w:rPr>
                <w:color w:val="000000" w:themeColor="text1"/>
                <w:sz w:val="24"/>
                <w:szCs w:val="24"/>
              </w:rPr>
              <w:t>Badanie realizowano na przes</w:t>
            </w:r>
            <w:r w:rsidR="00B103B8" w:rsidRPr="001473F1">
              <w:rPr>
                <w:color w:val="000000" w:themeColor="text1"/>
                <w:sz w:val="24"/>
                <w:szCs w:val="24"/>
              </w:rPr>
              <w:t>trzeni sierpnia i września 2022 </w:t>
            </w:r>
            <w:r w:rsidR="00230880" w:rsidRPr="001473F1">
              <w:rPr>
                <w:color w:val="000000" w:themeColor="text1"/>
                <w:sz w:val="24"/>
                <w:szCs w:val="24"/>
              </w:rPr>
              <w:t>r.</w:t>
            </w:r>
          </w:p>
        </w:tc>
      </w:tr>
      <w:tr w:rsidR="001473F1" w:rsidRPr="001473F1" w:rsidTr="001473F1">
        <w:trPr>
          <w:trHeight w:val="1814"/>
        </w:trPr>
        <w:tc>
          <w:tcPr>
            <w:tcW w:w="1980" w:type="dxa"/>
            <w:shd w:val="clear" w:color="auto" w:fill="auto"/>
            <w:vAlign w:val="center"/>
          </w:tcPr>
          <w:p w:rsidR="006A2204" w:rsidRPr="001473F1" w:rsidRDefault="006A2204" w:rsidP="00A64076">
            <w:pPr>
              <w:spacing w:line="240" w:lineRule="auto"/>
              <w:jc w:val="center"/>
              <w:rPr>
                <w:b/>
                <w:bCs/>
                <w:color w:val="000000" w:themeColor="text1"/>
                <w:sz w:val="24"/>
                <w:szCs w:val="24"/>
              </w:rPr>
            </w:pPr>
            <w:r w:rsidRPr="001473F1">
              <w:rPr>
                <w:b/>
                <w:bCs/>
                <w:color w:val="000000" w:themeColor="text1"/>
                <w:sz w:val="24"/>
                <w:szCs w:val="24"/>
              </w:rPr>
              <w:t xml:space="preserve">Przeprowadzenie </w:t>
            </w:r>
            <w:r w:rsidR="00A64076" w:rsidRPr="001473F1">
              <w:rPr>
                <w:b/>
                <w:bCs/>
                <w:color w:val="000000" w:themeColor="text1"/>
                <w:sz w:val="24"/>
                <w:szCs w:val="24"/>
              </w:rPr>
              <w:t>szkolenia</w:t>
            </w:r>
            <w:r w:rsidR="005D10A3" w:rsidRPr="001473F1">
              <w:rPr>
                <w:b/>
                <w:bCs/>
                <w:color w:val="000000" w:themeColor="text1"/>
                <w:sz w:val="24"/>
                <w:szCs w:val="24"/>
              </w:rPr>
              <w:t xml:space="preserve"> </w:t>
            </w:r>
            <w:r w:rsidR="0043114A" w:rsidRPr="001473F1">
              <w:rPr>
                <w:b/>
                <w:bCs/>
                <w:color w:val="000000" w:themeColor="text1"/>
                <w:sz w:val="24"/>
                <w:szCs w:val="24"/>
              </w:rPr>
              <w:t>d</w:t>
            </w:r>
            <w:r w:rsidRPr="001473F1">
              <w:rPr>
                <w:b/>
                <w:bCs/>
                <w:color w:val="000000" w:themeColor="text1"/>
                <w:sz w:val="24"/>
                <w:szCs w:val="24"/>
              </w:rPr>
              <w:t xml:space="preserve">esign </w:t>
            </w:r>
            <w:proofErr w:type="spellStart"/>
            <w:r w:rsidR="0043114A" w:rsidRPr="001473F1">
              <w:rPr>
                <w:b/>
                <w:bCs/>
                <w:color w:val="000000" w:themeColor="text1"/>
                <w:sz w:val="24"/>
                <w:szCs w:val="24"/>
              </w:rPr>
              <w:t>t</w:t>
            </w:r>
            <w:r w:rsidRPr="001473F1">
              <w:rPr>
                <w:b/>
                <w:bCs/>
                <w:color w:val="000000" w:themeColor="text1"/>
                <w:sz w:val="24"/>
                <w:szCs w:val="24"/>
              </w:rPr>
              <w:t>hinking</w:t>
            </w:r>
            <w:proofErr w:type="spellEnd"/>
          </w:p>
        </w:tc>
        <w:tc>
          <w:tcPr>
            <w:tcW w:w="7308" w:type="dxa"/>
            <w:vAlign w:val="center"/>
          </w:tcPr>
          <w:p w:rsidR="006A2204" w:rsidRPr="001473F1" w:rsidRDefault="00943465" w:rsidP="001473F1">
            <w:pPr>
              <w:spacing w:line="240" w:lineRule="auto"/>
              <w:jc w:val="left"/>
              <w:rPr>
                <w:color w:val="000000" w:themeColor="text1"/>
                <w:sz w:val="24"/>
                <w:szCs w:val="24"/>
              </w:rPr>
            </w:pPr>
            <w:r w:rsidRPr="001473F1">
              <w:rPr>
                <w:color w:val="000000" w:themeColor="text1"/>
                <w:sz w:val="24"/>
                <w:szCs w:val="24"/>
              </w:rPr>
              <w:t>W celu wypracowania zarysu wizji</w:t>
            </w:r>
            <w:r w:rsidR="00D8013D" w:rsidRPr="001473F1">
              <w:rPr>
                <w:color w:val="000000" w:themeColor="text1"/>
                <w:sz w:val="24"/>
                <w:szCs w:val="24"/>
              </w:rPr>
              <w:t>,</w:t>
            </w:r>
            <w:r w:rsidRPr="001473F1">
              <w:rPr>
                <w:color w:val="000000" w:themeColor="text1"/>
                <w:sz w:val="24"/>
                <w:szCs w:val="24"/>
              </w:rPr>
              <w:t xml:space="preserve"> bazując na unikalności regionu</w:t>
            </w:r>
            <w:r w:rsidR="00D8013D" w:rsidRPr="001473F1">
              <w:rPr>
                <w:color w:val="000000" w:themeColor="text1"/>
                <w:sz w:val="24"/>
                <w:szCs w:val="24"/>
              </w:rPr>
              <w:t>,</w:t>
            </w:r>
            <w:r w:rsidRPr="001473F1">
              <w:rPr>
                <w:color w:val="000000" w:themeColor="text1"/>
                <w:sz w:val="24"/>
                <w:szCs w:val="24"/>
              </w:rPr>
              <w:t xml:space="preserve"> przeprowadzono </w:t>
            </w:r>
            <w:r w:rsidR="00E0292A" w:rsidRPr="001473F1">
              <w:rPr>
                <w:color w:val="000000" w:themeColor="text1"/>
                <w:sz w:val="24"/>
                <w:szCs w:val="24"/>
              </w:rPr>
              <w:t xml:space="preserve">szkolenie warsztatowe </w:t>
            </w:r>
            <w:r w:rsidRPr="001473F1">
              <w:rPr>
                <w:color w:val="000000" w:themeColor="text1"/>
                <w:sz w:val="24"/>
                <w:szCs w:val="24"/>
              </w:rPr>
              <w:t xml:space="preserve">metodą design </w:t>
            </w:r>
            <w:proofErr w:type="spellStart"/>
            <w:r w:rsidRPr="001473F1">
              <w:rPr>
                <w:color w:val="000000" w:themeColor="text1"/>
                <w:sz w:val="24"/>
                <w:szCs w:val="24"/>
              </w:rPr>
              <w:t>thi</w:t>
            </w:r>
            <w:r w:rsidR="00180408">
              <w:rPr>
                <w:color w:val="000000" w:themeColor="text1"/>
                <w:sz w:val="24"/>
                <w:szCs w:val="24"/>
              </w:rPr>
              <w:t>nking</w:t>
            </w:r>
            <w:proofErr w:type="spellEnd"/>
            <w:r w:rsidR="00180408">
              <w:rPr>
                <w:color w:val="000000" w:themeColor="text1"/>
                <w:sz w:val="24"/>
                <w:szCs w:val="24"/>
              </w:rPr>
              <w:t>, w </w:t>
            </w:r>
            <w:r w:rsidRPr="001473F1">
              <w:rPr>
                <w:color w:val="000000" w:themeColor="text1"/>
                <w:sz w:val="24"/>
                <w:szCs w:val="24"/>
              </w:rPr>
              <w:t xml:space="preserve">terminie 29-30 sierpnia 2022 r. Design </w:t>
            </w:r>
            <w:proofErr w:type="spellStart"/>
            <w:r w:rsidRPr="001473F1">
              <w:rPr>
                <w:color w:val="000000" w:themeColor="text1"/>
                <w:sz w:val="24"/>
                <w:szCs w:val="24"/>
              </w:rPr>
              <w:t>thinking</w:t>
            </w:r>
            <w:proofErr w:type="spellEnd"/>
            <w:r w:rsidRPr="001473F1">
              <w:rPr>
                <w:color w:val="000000" w:themeColor="text1"/>
                <w:sz w:val="24"/>
                <w:szCs w:val="24"/>
              </w:rPr>
              <w:t xml:space="preserve"> jest metod</w:t>
            </w:r>
            <w:r w:rsidR="00E0292A" w:rsidRPr="001473F1">
              <w:rPr>
                <w:color w:val="000000" w:themeColor="text1"/>
                <w:sz w:val="24"/>
                <w:szCs w:val="24"/>
              </w:rPr>
              <w:t>ą</w:t>
            </w:r>
            <w:r w:rsidRPr="001473F1">
              <w:rPr>
                <w:color w:val="000000" w:themeColor="text1"/>
                <w:sz w:val="24"/>
                <w:szCs w:val="24"/>
              </w:rPr>
              <w:t>, która służy do ro</w:t>
            </w:r>
            <w:r w:rsidR="007A3F42" w:rsidRPr="001473F1">
              <w:rPr>
                <w:color w:val="000000" w:themeColor="text1"/>
                <w:sz w:val="24"/>
                <w:szCs w:val="24"/>
              </w:rPr>
              <w:t>związywania problemów, tworzenia</w:t>
            </w:r>
            <w:r w:rsidRPr="001473F1">
              <w:rPr>
                <w:color w:val="000000" w:themeColor="text1"/>
                <w:sz w:val="24"/>
                <w:szCs w:val="24"/>
              </w:rPr>
              <w:t xml:space="preserve"> nowatorskich produktów, usług (także publicznych) i rozwiązań w oparciu o głębokie zrozumienie potrzeb użytkowników. W </w:t>
            </w:r>
            <w:r w:rsidR="00E0292A" w:rsidRPr="001473F1">
              <w:rPr>
                <w:color w:val="000000" w:themeColor="text1"/>
                <w:sz w:val="24"/>
                <w:szCs w:val="24"/>
              </w:rPr>
              <w:t xml:space="preserve">szkoleniu wzięło </w:t>
            </w:r>
            <w:r w:rsidR="0043114A" w:rsidRPr="001473F1">
              <w:rPr>
                <w:color w:val="000000" w:themeColor="text1"/>
                <w:sz w:val="24"/>
                <w:szCs w:val="24"/>
              </w:rPr>
              <w:t xml:space="preserve">udział </w:t>
            </w:r>
            <w:r w:rsidRPr="001473F1">
              <w:rPr>
                <w:color w:val="000000" w:themeColor="text1"/>
                <w:sz w:val="24"/>
                <w:szCs w:val="24"/>
              </w:rPr>
              <w:t>20 osób.</w:t>
            </w:r>
          </w:p>
        </w:tc>
      </w:tr>
      <w:tr w:rsidR="001473F1" w:rsidRPr="001473F1" w:rsidTr="001473F1">
        <w:trPr>
          <w:trHeight w:val="1531"/>
        </w:trPr>
        <w:tc>
          <w:tcPr>
            <w:tcW w:w="1980" w:type="dxa"/>
            <w:shd w:val="clear" w:color="auto" w:fill="auto"/>
            <w:vAlign w:val="center"/>
          </w:tcPr>
          <w:p w:rsidR="006A2204" w:rsidRPr="001473F1" w:rsidRDefault="006A2204" w:rsidP="006A2204">
            <w:pPr>
              <w:spacing w:line="240" w:lineRule="auto"/>
              <w:jc w:val="center"/>
              <w:rPr>
                <w:b/>
                <w:bCs/>
                <w:color w:val="000000" w:themeColor="text1"/>
                <w:sz w:val="24"/>
                <w:szCs w:val="24"/>
              </w:rPr>
            </w:pPr>
            <w:r w:rsidRPr="001473F1">
              <w:rPr>
                <w:b/>
                <w:bCs/>
                <w:color w:val="000000" w:themeColor="text1"/>
                <w:sz w:val="24"/>
                <w:szCs w:val="24"/>
              </w:rPr>
              <w:t>Przeprowadzenie warsztatów i zogniskowanych wywiadów grupowych</w:t>
            </w:r>
          </w:p>
        </w:tc>
        <w:tc>
          <w:tcPr>
            <w:tcW w:w="7308" w:type="dxa"/>
            <w:vAlign w:val="center"/>
          </w:tcPr>
          <w:p w:rsidR="006A2204" w:rsidRPr="001473F1" w:rsidRDefault="006A2204" w:rsidP="001473F1">
            <w:pPr>
              <w:spacing w:line="240" w:lineRule="auto"/>
              <w:jc w:val="left"/>
              <w:rPr>
                <w:color w:val="000000" w:themeColor="text1"/>
                <w:sz w:val="24"/>
                <w:szCs w:val="24"/>
              </w:rPr>
            </w:pPr>
            <w:r w:rsidRPr="001473F1">
              <w:rPr>
                <w:color w:val="000000" w:themeColor="text1"/>
                <w:sz w:val="24"/>
                <w:szCs w:val="24"/>
              </w:rPr>
              <w:t>Na potrzeby wypracowania założeń planistycznych w dokumencie oraz poznania opinii na temat dotychczasowej współpracy w ramach WrOF, w</w:t>
            </w:r>
            <w:r w:rsidR="00803F4D" w:rsidRPr="001473F1">
              <w:rPr>
                <w:color w:val="000000" w:themeColor="text1"/>
                <w:sz w:val="24"/>
                <w:szCs w:val="24"/>
              </w:rPr>
              <w:t> </w:t>
            </w:r>
            <w:r w:rsidRPr="001473F1">
              <w:rPr>
                <w:color w:val="000000" w:themeColor="text1"/>
                <w:sz w:val="24"/>
                <w:szCs w:val="24"/>
              </w:rPr>
              <w:t>dniach 7-8 września</w:t>
            </w:r>
            <w:r w:rsidR="004263DD" w:rsidRPr="001473F1">
              <w:rPr>
                <w:color w:val="000000" w:themeColor="text1"/>
                <w:sz w:val="24"/>
                <w:szCs w:val="24"/>
              </w:rPr>
              <w:t xml:space="preserve"> 2022 r. </w:t>
            </w:r>
            <w:r w:rsidRPr="001473F1">
              <w:rPr>
                <w:color w:val="000000" w:themeColor="text1"/>
                <w:sz w:val="24"/>
                <w:szCs w:val="24"/>
              </w:rPr>
              <w:t xml:space="preserve"> przeprowadzono zogniskowane wywiady grupowe</w:t>
            </w:r>
            <w:r w:rsidR="007E0E26" w:rsidRPr="001473F1">
              <w:rPr>
                <w:color w:val="000000" w:themeColor="text1"/>
                <w:sz w:val="24"/>
                <w:szCs w:val="24"/>
              </w:rPr>
              <w:t>, w</w:t>
            </w:r>
            <w:r w:rsidR="00803F4D" w:rsidRPr="001473F1">
              <w:rPr>
                <w:color w:val="000000" w:themeColor="text1"/>
                <w:sz w:val="24"/>
                <w:szCs w:val="24"/>
              </w:rPr>
              <w:t> </w:t>
            </w:r>
            <w:r w:rsidR="007E0E26" w:rsidRPr="001473F1">
              <w:rPr>
                <w:color w:val="000000" w:themeColor="text1"/>
                <w:sz w:val="24"/>
                <w:szCs w:val="24"/>
              </w:rPr>
              <w:t xml:space="preserve">których </w:t>
            </w:r>
            <w:r w:rsidR="00E0292A" w:rsidRPr="001473F1">
              <w:rPr>
                <w:color w:val="000000" w:themeColor="text1"/>
                <w:sz w:val="24"/>
                <w:szCs w:val="24"/>
              </w:rPr>
              <w:t xml:space="preserve">udział wzięły </w:t>
            </w:r>
            <w:r w:rsidR="007E0E26" w:rsidRPr="001473F1">
              <w:rPr>
                <w:color w:val="000000" w:themeColor="text1"/>
                <w:sz w:val="24"/>
                <w:szCs w:val="24"/>
              </w:rPr>
              <w:t>92 osoby</w:t>
            </w:r>
            <w:r w:rsidR="00390161" w:rsidRPr="001473F1">
              <w:rPr>
                <w:color w:val="000000" w:themeColor="text1"/>
                <w:sz w:val="24"/>
                <w:szCs w:val="24"/>
              </w:rPr>
              <w:t xml:space="preserve">. </w:t>
            </w:r>
            <w:r w:rsidR="00390161" w:rsidRPr="001473F1">
              <w:rPr>
                <w:color w:val="000000" w:themeColor="text1"/>
                <w:spacing w:val="-2"/>
                <w:sz w:val="24"/>
                <w:szCs w:val="24"/>
              </w:rPr>
              <w:t>Byli to partnerzy społeczno-gospodarczy oraz przedstawiciele środowiska obywatelskiego.</w:t>
            </w:r>
            <w:r w:rsidR="005D10A3" w:rsidRPr="001473F1">
              <w:rPr>
                <w:color w:val="000000" w:themeColor="text1"/>
                <w:spacing w:val="-2"/>
                <w:sz w:val="24"/>
                <w:szCs w:val="24"/>
              </w:rPr>
              <w:t xml:space="preserve"> </w:t>
            </w:r>
            <w:r w:rsidR="00390161" w:rsidRPr="001473F1">
              <w:rPr>
                <w:color w:val="000000" w:themeColor="text1"/>
                <w:sz w:val="24"/>
                <w:szCs w:val="24"/>
              </w:rPr>
              <w:t>N</w:t>
            </w:r>
            <w:r w:rsidR="00E8722F" w:rsidRPr="001473F1">
              <w:rPr>
                <w:color w:val="000000" w:themeColor="text1"/>
                <w:sz w:val="24"/>
                <w:szCs w:val="24"/>
              </w:rPr>
              <w:t>atomiast w </w:t>
            </w:r>
            <w:r w:rsidR="00922F2D" w:rsidRPr="001473F1">
              <w:rPr>
                <w:color w:val="000000" w:themeColor="text1"/>
                <w:sz w:val="24"/>
                <w:szCs w:val="24"/>
              </w:rPr>
              <w:t xml:space="preserve">dniach </w:t>
            </w:r>
            <w:r w:rsidRPr="001473F1">
              <w:rPr>
                <w:color w:val="000000" w:themeColor="text1"/>
                <w:sz w:val="24"/>
                <w:szCs w:val="24"/>
              </w:rPr>
              <w:t xml:space="preserve">13-14 września </w:t>
            </w:r>
            <w:r w:rsidR="007E0E26" w:rsidRPr="001473F1">
              <w:rPr>
                <w:color w:val="000000" w:themeColor="text1"/>
                <w:sz w:val="24"/>
                <w:szCs w:val="24"/>
              </w:rPr>
              <w:t xml:space="preserve">zorganizowano </w:t>
            </w:r>
            <w:r w:rsidRPr="001473F1">
              <w:rPr>
                <w:color w:val="000000" w:themeColor="text1"/>
                <w:sz w:val="24"/>
                <w:szCs w:val="24"/>
              </w:rPr>
              <w:t>warsztaty</w:t>
            </w:r>
            <w:r w:rsidR="007E0E26" w:rsidRPr="001473F1">
              <w:rPr>
                <w:color w:val="000000" w:themeColor="text1"/>
                <w:sz w:val="24"/>
                <w:szCs w:val="24"/>
              </w:rPr>
              <w:t>, w których wzięło udział 40 osób</w:t>
            </w:r>
            <w:r w:rsidR="0043114A" w:rsidRPr="001473F1">
              <w:rPr>
                <w:color w:val="000000" w:themeColor="text1"/>
                <w:sz w:val="24"/>
                <w:szCs w:val="24"/>
              </w:rPr>
              <w:t>. Uczestni</w:t>
            </w:r>
            <w:r w:rsidR="00390161" w:rsidRPr="001473F1">
              <w:rPr>
                <w:color w:val="000000" w:themeColor="text1"/>
                <w:sz w:val="24"/>
                <w:szCs w:val="24"/>
              </w:rPr>
              <w:t xml:space="preserve">kami byli </w:t>
            </w:r>
            <w:r w:rsidR="00EA1AF3" w:rsidRPr="001473F1">
              <w:rPr>
                <w:color w:val="000000" w:themeColor="text1"/>
                <w:sz w:val="24"/>
                <w:szCs w:val="24"/>
              </w:rPr>
              <w:t>przedstawiciel</w:t>
            </w:r>
            <w:r w:rsidR="0043114A" w:rsidRPr="001473F1">
              <w:rPr>
                <w:color w:val="000000" w:themeColor="text1"/>
                <w:sz w:val="24"/>
                <w:szCs w:val="24"/>
              </w:rPr>
              <w:t xml:space="preserve">e </w:t>
            </w:r>
            <w:r w:rsidR="00EA1AF3" w:rsidRPr="001473F1">
              <w:rPr>
                <w:color w:val="000000" w:themeColor="text1"/>
                <w:sz w:val="24"/>
                <w:szCs w:val="24"/>
              </w:rPr>
              <w:t>i przedstawicielk</w:t>
            </w:r>
            <w:r w:rsidR="0043114A" w:rsidRPr="001473F1">
              <w:rPr>
                <w:color w:val="000000" w:themeColor="text1"/>
                <w:sz w:val="24"/>
                <w:szCs w:val="24"/>
              </w:rPr>
              <w:t xml:space="preserve">i </w:t>
            </w:r>
            <w:r w:rsidR="00EA1AF3" w:rsidRPr="001473F1">
              <w:rPr>
                <w:color w:val="000000" w:themeColor="text1"/>
                <w:sz w:val="24"/>
                <w:szCs w:val="24"/>
              </w:rPr>
              <w:t xml:space="preserve">szerokiego grona interesariuszy WrOF, w tym reprezentanci podmiotów publicznych </w:t>
            </w:r>
            <w:r w:rsidR="00EA1AF3" w:rsidRPr="001473F1">
              <w:rPr>
                <w:color w:val="000000" w:themeColor="text1"/>
                <w:spacing w:val="-2"/>
                <w:sz w:val="24"/>
                <w:szCs w:val="24"/>
              </w:rPr>
              <w:t>i</w:t>
            </w:r>
            <w:r w:rsidR="00390161" w:rsidRPr="001473F1">
              <w:rPr>
                <w:color w:val="000000" w:themeColor="text1"/>
                <w:spacing w:val="-2"/>
                <w:sz w:val="24"/>
                <w:szCs w:val="24"/>
              </w:rPr>
              <w:t> </w:t>
            </w:r>
            <w:r w:rsidR="00EA1AF3" w:rsidRPr="001473F1">
              <w:rPr>
                <w:color w:val="000000" w:themeColor="text1"/>
                <w:spacing w:val="-2"/>
                <w:sz w:val="24"/>
                <w:szCs w:val="24"/>
              </w:rPr>
              <w:t>niepublicznych, a także mieszkańcy gmin WrOF</w:t>
            </w:r>
            <w:r w:rsidR="0012132D" w:rsidRPr="001473F1">
              <w:rPr>
                <w:color w:val="000000" w:themeColor="text1"/>
                <w:spacing w:val="-2"/>
                <w:sz w:val="24"/>
                <w:szCs w:val="24"/>
              </w:rPr>
              <w:t xml:space="preserve">. </w:t>
            </w:r>
            <w:r w:rsidR="00390161" w:rsidRPr="001473F1">
              <w:rPr>
                <w:color w:val="000000" w:themeColor="text1"/>
                <w:spacing w:val="-2"/>
                <w:sz w:val="24"/>
                <w:szCs w:val="24"/>
              </w:rPr>
              <w:t>C</w:t>
            </w:r>
            <w:r w:rsidRPr="001473F1">
              <w:rPr>
                <w:color w:val="000000" w:themeColor="text1"/>
                <w:spacing w:val="-2"/>
                <w:sz w:val="24"/>
                <w:szCs w:val="24"/>
              </w:rPr>
              <w:t xml:space="preserve">elem </w:t>
            </w:r>
            <w:r w:rsidR="00390161" w:rsidRPr="001473F1">
              <w:rPr>
                <w:color w:val="000000" w:themeColor="text1"/>
                <w:spacing w:val="-2"/>
                <w:sz w:val="24"/>
                <w:szCs w:val="24"/>
              </w:rPr>
              <w:t xml:space="preserve">spotkań </w:t>
            </w:r>
            <w:r w:rsidRPr="001473F1">
              <w:rPr>
                <w:color w:val="000000" w:themeColor="text1"/>
                <w:spacing w:val="-2"/>
                <w:sz w:val="24"/>
                <w:szCs w:val="24"/>
              </w:rPr>
              <w:t>było zdiagnozowanie możliwości rozwoju współpracy instytucji i podmiotów funkcjonując</w:t>
            </w:r>
            <w:r w:rsidR="00A64076" w:rsidRPr="001473F1">
              <w:rPr>
                <w:color w:val="000000" w:themeColor="text1"/>
                <w:spacing w:val="-2"/>
                <w:sz w:val="24"/>
                <w:szCs w:val="24"/>
              </w:rPr>
              <w:t xml:space="preserve">ych na terenie WrOF. </w:t>
            </w:r>
            <w:r w:rsidRPr="001473F1">
              <w:rPr>
                <w:color w:val="000000" w:themeColor="text1"/>
                <w:spacing w:val="-2"/>
                <w:sz w:val="24"/>
                <w:szCs w:val="24"/>
              </w:rPr>
              <w:t>Zakres porus</w:t>
            </w:r>
            <w:r w:rsidR="00801B43" w:rsidRPr="001473F1">
              <w:rPr>
                <w:color w:val="000000" w:themeColor="text1"/>
                <w:spacing w:val="-2"/>
                <w:sz w:val="24"/>
                <w:szCs w:val="24"/>
              </w:rPr>
              <w:t>zanych tematów na warsztatach i </w:t>
            </w:r>
            <w:r w:rsidRPr="001473F1">
              <w:rPr>
                <w:color w:val="000000" w:themeColor="text1"/>
                <w:spacing w:val="-2"/>
                <w:sz w:val="24"/>
                <w:szCs w:val="24"/>
              </w:rPr>
              <w:t>podczas wywiadów dotyc</w:t>
            </w:r>
            <w:r w:rsidR="00922F2D" w:rsidRPr="001473F1">
              <w:rPr>
                <w:color w:val="000000" w:themeColor="text1"/>
                <w:spacing w:val="-2"/>
                <w:sz w:val="24"/>
                <w:szCs w:val="24"/>
              </w:rPr>
              <w:t xml:space="preserve">zył gospodarki, infrastruktury </w:t>
            </w:r>
            <w:r w:rsidRPr="001473F1">
              <w:rPr>
                <w:color w:val="000000" w:themeColor="text1"/>
                <w:spacing w:val="-2"/>
                <w:sz w:val="24"/>
                <w:szCs w:val="24"/>
              </w:rPr>
              <w:t>i</w:t>
            </w:r>
            <w:r w:rsidR="00803F4D" w:rsidRPr="001473F1">
              <w:rPr>
                <w:color w:val="000000" w:themeColor="text1"/>
                <w:spacing w:val="-2"/>
                <w:sz w:val="24"/>
                <w:szCs w:val="24"/>
              </w:rPr>
              <w:t> </w:t>
            </w:r>
            <w:r w:rsidRPr="001473F1">
              <w:rPr>
                <w:color w:val="000000" w:themeColor="text1"/>
                <w:spacing w:val="-2"/>
                <w:sz w:val="24"/>
                <w:szCs w:val="24"/>
              </w:rPr>
              <w:t>środowiska, kultury, sportu, turystyki oraz spraw społecznych.</w:t>
            </w:r>
          </w:p>
        </w:tc>
      </w:tr>
      <w:tr w:rsidR="001473F1" w:rsidRPr="001473F1" w:rsidTr="001473F1">
        <w:trPr>
          <w:trHeight w:val="1531"/>
        </w:trPr>
        <w:tc>
          <w:tcPr>
            <w:tcW w:w="1980" w:type="dxa"/>
            <w:shd w:val="clear" w:color="auto" w:fill="auto"/>
            <w:vAlign w:val="center"/>
          </w:tcPr>
          <w:p w:rsidR="006A2204" w:rsidRPr="001473F1" w:rsidRDefault="006A2204" w:rsidP="006A2204">
            <w:pPr>
              <w:pStyle w:val="Default"/>
              <w:jc w:val="center"/>
              <w:rPr>
                <w:b/>
                <w:bCs/>
                <w:color w:val="000000" w:themeColor="text1"/>
              </w:rPr>
            </w:pPr>
            <w:r w:rsidRPr="001473F1">
              <w:rPr>
                <w:b/>
                <w:bCs/>
                <w:color w:val="000000" w:themeColor="text1"/>
              </w:rPr>
              <w:t>Opracowanie części planistycznej</w:t>
            </w:r>
          </w:p>
        </w:tc>
        <w:tc>
          <w:tcPr>
            <w:tcW w:w="7308" w:type="dxa"/>
            <w:vAlign w:val="center"/>
          </w:tcPr>
          <w:p w:rsidR="006A2204" w:rsidRPr="001473F1" w:rsidRDefault="006A2204" w:rsidP="001473F1">
            <w:pPr>
              <w:tabs>
                <w:tab w:val="left" w:pos="1980"/>
              </w:tabs>
              <w:spacing w:line="240" w:lineRule="auto"/>
              <w:jc w:val="left"/>
              <w:rPr>
                <w:color w:val="000000" w:themeColor="text1"/>
                <w:sz w:val="24"/>
                <w:szCs w:val="24"/>
              </w:rPr>
            </w:pPr>
            <w:r w:rsidRPr="001473F1">
              <w:rPr>
                <w:color w:val="000000" w:themeColor="text1"/>
                <w:sz w:val="24"/>
                <w:szCs w:val="24"/>
              </w:rPr>
              <w:t>Zarówno głos mieszkańców, jak i wnioski z przeprowa</w:t>
            </w:r>
            <w:r w:rsidR="00006FC0" w:rsidRPr="001473F1">
              <w:rPr>
                <w:color w:val="000000" w:themeColor="text1"/>
                <w:sz w:val="24"/>
                <w:szCs w:val="24"/>
              </w:rPr>
              <w:t>dzonych warsztatów pozwoliły na </w:t>
            </w:r>
            <w:r w:rsidRPr="001473F1">
              <w:rPr>
                <w:color w:val="000000" w:themeColor="text1"/>
                <w:sz w:val="24"/>
                <w:szCs w:val="24"/>
              </w:rPr>
              <w:t>opracowanie części planistycznej, zidentyfikowanie celów i</w:t>
            </w:r>
            <w:r w:rsidR="00803F4D" w:rsidRPr="001473F1">
              <w:rPr>
                <w:color w:val="000000" w:themeColor="text1"/>
                <w:sz w:val="24"/>
                <w:szCs w:val="24"/>
              </w:rPr>
              <w:t> </w:t>
            </w:r>
            <w:r w:rsidRPr="001473F1">
              <w:rPr>
                <w:color w:val="000000" w:themeColor="text1"/>
                <w:sz w:val="24"/>
                <w:szCs w:val="24"/>
              </w:rPr>
              <w:t>ki</w:t>
            </w:r>
            <w:r w:rsidR="00180408">
              <w:rPr>
                <w:color w:val="000000" w:themeColor="text1"/>
                <w:sz w:val="24"/>
                <w:szCs w:val="24"/>
              </w:rPr>
              <w:t>erunków rozwoju WrOF, zgodnie z </w:t>
            </w:r>
            <w:r w:rsidRPr="001473F1">
              <w:rPr>
                <w:color w:val="000000" w:themeColor="text1"/>
                <w:sz w:val="24"/>
                <w:szCs w:val="24"/>
              </w:rPr>
              <w:t xml:space="preserve">artykułowanymi potrzebami oraz wyzwaniami. </w:t>
            </w:r>
          </w:p>
        </w:tc>
      </w:tr>
      <w:tr w:rsidR="001473F1" w:rsidRPr="001473F1" w:rsidTr="001473F1">
        <w:trPr>
          <w:trHeight w:val="1531"/>
        </w:trPr>
        <w:tc>
          <w:tcPr>
            <w:tcW w:w="1980" w:type="dxa"/>
            <w:shd w:val="clear" w:color="auto" w:fill="auto"/>
            <w:vAlign w:val="center"/>
          </w:tcPr>
          <w:p w:rsidR="006A2204" w:rsidRPr="001473F1" w:rsidRDefault="006A2204" w:rsidP="006A2204">
            <w:pPr>
              <w:pStyle w:val="Default"/>
              <w:jc w:val="center"/>
              <w:rPr>
                <w:b/>
                <w:bCs/>
                <w:color w:val="000000" w:themeColor="text1"/>
              </w:rPr>
            </w:pPr>
            <w:r w:rsidRPr="001473F1">
              <w:rPr>
                <w:b/>
                <w:bCs/>
                <w:color w:val="000000" w:themeColor="text1"/>
              </w:rPr>
              <w:t>Opracowanie części wdrożeniowej</w:t>
            </w:r>
          </w:p>
        </w:tc>
        <w:tc>
          <w:tcPr>
            <w:tcW w:w="7308" w:type="dxa"/>
            <w:vAlign w:val="center"/>
          </w:tcPr>
          <w:p w:rsidR="006A2204" w:rsidRPr="001473F1" w:rsidRDefault="009A41AA" w:rsidP="001473F1">
            <w:pPr>
              <w:spacing w:line="240" w:lineRule="auto"/>
              <w:jc w:val="left"/>
              <w:rPr>
                <w:color w:val="000000" w:themeColor="text1"/>
                <w:sz w:val="24"/>
                <w:szCs w:val="24"/>
              </w:rPr>
            </w:pPr>
            <w:r w:rsidRPr="001473F1">
              <w:rPr>
                <w:color w:val="000000" w:themeColor="text1"/>
                <w:sz w:val="24"/>
                <w:szCs w:val="24"/>
              </w:rPr>
              <w:t>Czę</w:t>
            </w:r>
            <w:r w:rsidR="006A2204" w:rsidRPr="001473F1">
              <w:rPr>
                <w:color w:val="000000" w:themeColor="text1"/>
                <w:sz w:val="24"/>
                <w:szCs w:val="24"/>
              </w:rPr>
              <w:t>ść wdrożeniowa skupia się na opisie mechanizmu realizacji strategii, podziale zadań oraz zaangażowanych w proces opracowania podmiotów. Dodatkowo</w:t>
            </w:r>
            <w:r w:rsidR="0012132D" w:rsidRPr="001473F1">
              <w:rPr>
                <w:color w:val="000000" w:themeColor="text1"/>
                <w:sz w:val="24"/>
                <w:szCs w:val="24"/>
              </w:rPr>
              <w:t xml:space="preserve"> uwzględnia również ramy i źród</w:t>
            </w:r>
            <w:r w:rsidR="006A2204" w:rsidRPr="001473F1">
              <w:rPr>
                <w:color w:val="000000" w:themeColor="text1"/>
                <w:sz w:val="24"/>
                <w:szCs w:val="24"/>
              </w:rPr>
              <w:t>ł</w:t>
            </w:r>
            <w:r w:rsidR="0012132D" w:rsidRPr="001473F1">
              <w:rPr>
                <w:color w:val="000000" w:themeColor="text1"/>
                <w:sz w:val="24"/>
                <w:szCs w:val="24"/>
              </w:rPr>
              <w:t>a</w:t>
            </w:r>
            <w:r w:rsidR="006A2204" w:rsidRPr="001473F1">
              <w:rPr>
                <w:color w:val="000000" w:themeColor="text1"/>
                <w:sz w:val="24"/>
                <w:szCs w:val="24"/>
              </w:rPr>
              <w:t xml:space="preserve"> finansowania. </w:t>
            </w:r>
          </w:p>
        </w:tc>
      </w:tr>
      <w:tr w:rsidR="001473F1" w:rsidRPr="001473F1" w:rsidTr="001473F1">
        <w:trPr>
          <w:trHeight w:val="1531"/>
        </w:trPr>
        <w:tc>
          <w:tcPr>
            <w:tcW w:w="1980" w:type="dxa"/>
            <w:shd w:val="clear" w:color="auto" w:fill="auto"/>
            <w:vAlign w:val="center"/>
          </w:tcPr>
          <w:p w:rsidR="006A2204" w:rsidRPr="001473F1" w:rsidRDefault="006A2204" w:rsidP="00CA6BB3">
            <w:pPr>
              <w:pStyle w:val="Default"/>
              <w:jc w:val="center"/>
              <w:rPr>
                <w:b/>
                <w:bCs/>
                <w:color w:val="000000" w:themeColor="text1"/>
              </w:rPr>
            </w:pPr>
            <w:r w:rsidRPr="001473F1">
              <w:rPr>
                <w:b/>
                <w:bCs/>
                <w:color w:val="000000" w:themeColor="text1"/>
              </w:rPr>
              <w:t xml:space="preserve">Konsultacje społeczne </w:t>
            </w:r>
          </w:p>
        </w:tc>
        <w:tc>
          <w:tcPr>
            <w:tcW w:w="7308" w:type="dxa"/>
            <w:vAlign w:val="center"/>
          </w:tcPr>
          <w:p w:rsidR="006A2204" w:rsidRPr="001473F1" w:rsidRDefault="006A2204" w:rsidP="001473F1">
            <w:pPr>
              <w:pStyle w:val="Default"/>
              <w:rPr>
                <w:color w:val="000000" w:themeColor="text1"/>
              </w:rPr>
            </w:pPr>
            <w:r w:rsidRPr="001473F1">
              <w:rPr>
                <w:color w:val="000000" w:themeColor="text1"/>
              </w:rPr>
              <w:t>K</w:t>
            </w:r>
            <w:r w:rsidR="00B96178" w:rsidRPr="001473F1">
              <w:rPr>
                <w:color w:val="000000" w:themeColor="text1"/>
              </w:rPr>
              <w:t>onsultacje mają</w:t>
            </w:r>
            <w:r w:rsidRPr="001473F1">
              <w:rPr>
                <w:color w:val="000000" w:themeColor="text1"/>
              </w:rPr>
              <w:t xml:space="preserve"> na celu uzyskanie opinii </w:t>
            </w:r>
            <w:r w:rsidR="00473DF0" w:rsidRPr="001473F1">
              <w:rPr>
                <w:color w:val="000000" w:themeColor="text1"/>
              </w:rPr>
              <w:t>na temat opracowanego projektu S</w:t>
            </w:r>
            <w:r w:rsidRPr="001473F1">
              <w:rPr>
                <w:color w:val="000000" w:themeColor="text1"/>
              </w:rPr>
              <w:t>trategii</w:t>
            </w:r>
            <w:r w:rsidR="00473DF0" w:rsidRPr="001473F1">
              <w:rPr>
                <w:color w:val="000000" w:themeColor="text1"/>
              </w:rPr>
              <w:t xml:space="preserve"> ZIT WrOF 2021-2027</w:t>
            </w:r>
            <w:r w:rsidRPr="001473F1">
              <w:rPr>
                <w:color w:val="000000" w:themeColor="text1"/>
              </w:rPr>
              <w:t>. W konsultacje i op</w:t>
            </w:r>
            <w:r w:rsidR="00B96178" w:rsidRPr="001473F1">
              <w:rPr>
                <w:color w:val="000000" w:themeColor="text1"/>
              </w:rPr>
              <w:t>iniowanie dokumentu zaangażowany jest</w:t>
            </w:r>
            <w:r w:rsidRPr="001473F1">
              <w:rPr>
                <w:color w:val="000000" w:themeColor="text1"/>
              </w:rPr>
              <w:t xml:space="preserve"> szeroki katalog interesariuszy</w:t>
            </w:r>
            <w:r w:rsidR="00A64076" w:rsidRPr="001473F1">
              <w:rPr>
                <w:color w:val="000000" w:themeColor="text1"/>
              </w:rPr>
              <w:t>.</w:t>
            </w:r>
            <w:r w:rsidR="005D10A3" w:rsidRPr="001473F1">
              <w:rPr>
                <w:color w:val="000000" w:themeColor="text1"/>
              </w:rPr>
              <w:t xml:space="preserve"> </w:t>
            </w:r>
            <w:r w:rsidR="00CB4DDE" w:rsidRPr="001473F1">
              <w:rPr>
                <w:color w:val="000000" w:themeColor="text1"/>
              </w:rPr>
              <w:t xml:space="preserve">Proces konsultacji </w:t>
            </w:r>
            <w:r w:rsidR="00514AF9" w:rsidRPr="001473F1">
              <w:rPr>
                <w:color w:val="000000" w:themeColor="text1"/>
              </w:rPr>
              <w:t>jest</w:t>
            </w:r>
            <w:r w:rsidR="00CB4DDE" w:rsidRPr="001473F1">
              <w:rPr>
                <w:color w:val="000000" w:themeColor="text1"/>
              </w:rPr>
              <w:t xml:space="preserve"> zgodny z zasad</w:t>
            </w:r>
            <w:r w:rsidR="009A41AA" w:rsidRPr="001473F1">
              <w:rPr>
                <w:color w:val="000000" w:themeColor="text1"/>
              </w:rPr>
              <w:t>ą partnerstwa opisaną w art. 8 Rozporządzenia O</w:t>
            </w:r>
            <w:r w:rsidR="00CB4DDE" w:rsidRPr="001473F1">
              <w:rPr>
                <w:color w:val="000000" w:themeColor="text1"/>
              </w:rPr>
              <w:t xml:space="preserve">gólnego. </w:t>
            </w:r>
          </w:p>
          <w:p w:rsidR="00514AF9" w:rsidRPr="001473F1" w:rsidRDefault="00514AF9" w:rsidP="001473F1">
            <w:pPr>
              <w:pStyle w:val="Default"/>
              <w:rPr>
                <w:color w:val="000000" w:themeColor="text1"/>
              </w:rPr>
            </w:pPr>
            <w:r w:rsidRPr="001473F1">
              <w:rPr>
                <w:color w:val="000000" w:themeColor="text1"/>
              </w:rPr>
              <w:t xml:space="preserve">Szczegółowy opis przeprowadzonych konsultacji społecznych został przedstawiony w rozdziale </w:t>
            </w:r>
            <w:r w:rsidRPr="001473F1">
              <w:rPr>
                <w:i/>
                <w:color w:val="000000" w:themeColor="text1"/>
              </w:rPr>
              <w:t>V.3. Strategiczna ocena oddziaływania na środowisko i konsultacje społeczne.</w:t>
            </w:r>
          </w:p>
        </w:tc>
      </w:tr>
      <w:tr w:rsidR="001473F1" w:rsidRPr="001473F1" w:rsidTr="001473F1">
        <w:trPr>
          <w:trHeight w:val="3628"/>
        </w:trPr>
        <w:tc>
          <w:tcPr>
            <w:tcW w:w="1980" w:type="dxa"/>
            <w:shd w:val="clear" w:color="auto" w:fill="auto"/>
            <w:vAlign w:val="center"/>
          </w:tcPr>
          <w:p w:rsidR="006A2204" w:rsidRPr="001473F1" w:rsidRDefault="006A2204" w:rsidP="006A2204">
            <w:pPr>
              <w:pStyle w:val="Default"/>
              <w:jc w:val="center"/>
              <w:rPr>
                <w:b/>
                <w:bCs/>
                <w:color w:val="000000" w:themeColor="text1"/>
              </w:rPr>
            </w:pPr>
            <w:r w:rsidRPr="001473F1">
              <w:rPr>
                <w:b/>
                <w:bCs/>
                <w:color w:val="000000" w:themeColor="text1"/>
              </w:rPr>
              <w:t>Przeprowadzenie procedury środowiskowej</w:t>
            </w:r>
          </w:p>
        </w:tc>
        <w:tc>
          <w:tcPr>
            <w:tcW w:w="7308" w:type="dxa"/>
            <w:vAlign w:val="center"/>
          </w:tcPr>
          <w:p w:rsidR="006A2204" w:rsidRPr="001473F1" w:rsidRDefault="006A2204" w:rsidP="001473F1">
            <w:pPr>
              <w:pStyle w:val="Default"/>
              <w:rPr>
                <w:b/>
                <w:color w:val="000000" w:themeColor="text1"/>
              </w:rPr>
            </w:pPr>
            <w:r w:rsidRPr="001473F1">
              <w:rPr>
                <w:color w:val="000000" w:themeColor="text1"/>
              </w:rPr>
              <w:t xml:space="preserve">Projekt </w:t>
            </w:r>
            <w:r w:rsidR="006E2317" w:rsidRPr="001473F1">
              <w:rPr>
                <w:color w:val="000000" w:themeColor="text1"/>
              </w:rPr>
              <w:t>Strategii ZIT WrOF 2021-2027</w:t>
            </w:r>
            <w:r w:rsidRPr="001473F1">
              <w:rPr>
                <w:color w:val="000000" w:themeColor="text1"/>
              </w:rPr>
              <w:t xml:space="preserve"> zgodnie z ustawą z dnia 3 p</w:t>
            </w:r>
            <w:r w:rsidR="00A64076" w:rsidRPr="001473F1">
              <w:rPr>
                <w:color w:val="000000" w:themeColor="text1"/>
              </w:rPr>
              <w:t>aździernika 2008 r. o udostępnia</w:t>
            </w:r>
            <w:r w:rsidRPr="001473F1">
              <w:rPr>
                <w:color w:val="000000" w:themeColor="text1"/>
              </w:rPr>
              <w:t>niu informacji o środowisku i jego ochronie, udziale społeczeństwa w ochronie środowisk</w:t>
            </w:r>
            <w:r w:rsidR="00B103B8" w:rsidRPr="001473F1">
              <w:rPr>
                <w:color w:val="000000" w:themeColor="text1"/>
              </w:rPr>
              <w:t>a oraz ocenach oddziaływania na </w:t>
            </w:r>
            <w:r w:rsidRPr="001473F1">
              <w:rPr>
                <w:color w:val="000000" w:themeColor="text1"/>
              </w:rPr>
              <w:t>środowisko, podlega</w:t>
            </w:r>
            <w:r w:rsidR="00514AF9" w:rsidRPr="001473F1">
              <w:rPr>
                <w:color w:val="000000" w:themeColor="text1"/>
              </w:rPr>
              <w:t>ł</w:t>
            </w:r>
            <w:r w:rsidRPr="001473F1">
              <w:rPr>
                <w:color w:val="000000" w:themeColor="text1"/>
              </w:rPr>
              <w:t xml:space="preserve"> strategicznej ocenie oddziaływania na środowisko (SOOŚ) oraz weryfikacji przez Regionalną Dyrekcję Ochrony Środowiska we Wrocławiu i Dolnośląskiego Państwowego Wojewódzkiego </w:t>
            </w:r>
            <w:r w:rsidRPr="001473F1">
              <w:rPr>
                <w:iCs/>
                <w:color w:val="000000" w:themeColor="text1"/>
              </w:rPr>
              <w:t>Inspektora</w:t>
            </w:r>
            <w:r w:rsidRPr="001473F1">
              <w:rPr>
                <w:color w:val="000000" w:themeColor="text1"/>
              </w:rPr>
              <w:t xml:space="preserve"> Sanitarnego </w:t>
            </w:r>
            <w:r w:rsidRPr="001473F1">
              <w:rPr>
                <w:iCs/>
                <w:color w:val="000000" w:themeColor="text1"/>
              </w:rPr>
              <w:t>we Wrocławiu.</w:t>
            </w:r>
            <w:r w:rsidR="005D10A3" w:rsidRPr="001473F1">
              <w:rPr>
                <w:iCs/>
                <w:color w:val="000000" w:themeColor="text1"/>
              </w:rPr>
              <w:t xml:space="preserve"> </w:t>
            </w:r>
            <w:r w:rsidR="00514AF9" w:rsidRPr="001473F1">
              <w:rPr>
                <w:color w:val="000000" w:themeColor="text1"/>
              </w:rPr>
              <w:t xml:space="preserve">Opracowano prognozę oddziaływania na środowisko, która zawierała informacje o oddziaływaniu na </w:t>
            </w:r>
            <w:r w:rsidR="00B103B8" w:rsidRPr="001473F1">
              <w:rPr>
                <w:color w:val="000000" w:themeColor="text1"/>
              </w:rPr>
              <w:t>zaplanowanych w </w:t>
            </w:r>
            <w:r w:rsidRPr="001473F1">
              <w:rPr>
                <w:color w:val="000000" w:themeColor="text1"/>
              </w:rPr>
              <w:t>strategii działań i</w:t>
            </w:r>
            <w:r w:rsidR="00390161" w:rsidRPr="001473F1">
              <w:rPr>
                <w:color w:val="000000" w:themeColor="text1"/>
              </w:rPr>
              <w:t> </w:t>
            </w:r>
            <w:r w:rsidRPr="001473F1">
              <w:rPr>
                <w:color w:val="000000" w:themeColor="text1"/>
              </w:rPr>
              <w:t xml:space="preserve">przedsięwzięć na środowisko. </w:t>
            </w:r>
            <w:r w:rsidR="00514AF9" w:rsidRPr="001473F1">
              <w:rPr>
                <w:color w:val="000000" w:themeColor="text1"/>
              </w:rPr>
              <w:t xml:space="preserve">Szczegółowy opis przeprowadzonej procedury środowiskowej został przedstawiony w rozdziale </w:t>
            </w:r>
            <w:r w:rsidR="00514AF9" w:rsidRPr="001473F1">
              <w:rPr>
                <w:i/>
                <w:color w:val="000000" w:themeColor="text1"/>
              </w:rPr>
              <w:t>V.3. Strategiczna ocena oddziaływania na środowisko i konsultacje społeczne.</w:t>
            </w:r>
          </w:p>
        </w:tc>
      </w:tr>
    </w:tbl>
    <w:p w:rsidR="00E131BA" w:rsidRDefault="00E131BA" w:rsidP="006A2204"/>
    <w:p w:rsidR="00607657" w:rsidRDefault="00AA4C7A" w:rsidP="001473F1">
      <w:pPr>
        <w:spacing w:line="259" w:lineRule="auto"/>
        <w:jc w:val="left"/>
      </w:pPr>
      <w:r>
        <w:br w:type="page"/>
      </w:r>
      <w:bookmarkStart w:id="12" w:name="_Toc121148928"/>
      <w:bookmarkStart w:id="13" w:name="_Toc115644710"/>
      <w:bookmarkStart w:id="14" w:name="_Toc115254007"/>
      <w:bookmarkStart w:id="15" w:name="_Toc115645169"/>
    </w:p>
    <w:p w:rsidR="0034088A" w:rsidRPr="001473F1" w:rsidRDefault="0092573F" w:rsidP="001473F1">
      <w:pPr>
        <w:pStyle w:val="Nagwek1"/>
      </w:pPr>
      <w:bookmarkStart w:id="16" w:name="_Toc143673203"/>
      <w:r w:rsidRPr="001473F1">
        <w:t>I</w:t>
      </w:r>
      <w:r w:rsidR="0034088A" w:rsidRPr="001473F1">
        <w:t>I. Synteza diagnozy strategicznej obszaru WrOF</w:t>
      </w:r>
      <w:bookmarkEnd w:id="12"/>
      <w:bookmarkEnd w:id="16"/>
    </w:p>
    <w:p w:rsidR="000178B1" w:rsidRPr="001473F1" w:rsidRDefault="000178B1" w:rsidP="001473F1">
      <w:pPr>
        <w:jc w:val="left"/>
        <w:rPr>
          <w:sz w:val="24"/>
        </w:rPr>
      </w:pPr>
      <w:bookmarkStart w:id="17" w:name="_Toc119071652"/>
      <w:bookmarkStart w:id="18" w:name="_Toc124767659"/>
      <w:r w:rsidRPr="001473F1">
        <w:rPr>
          <w:sz w:val="24"/>
        </w:rPr>
        <w:t xml:space="preserve">Przedmiotowy rozdział stanowi podsumowanie prac diagnostyczno-badawczych prowadzonych </w:t>
      </w:r>
      <w:r w:rsidRPr="001473F1">
        <w:rPr>
          <w:sz w:val="24"/>
        </w:rPr>
        <w:br/>
        <w:t xml:space="preserve">na potrzeby opracowania Strategii Zintegrowanych Inwestycji Terytorialnych WrOF 2021-2027. </w:t>
      </w:r>
      <w:r w:rsidRPr="001473F1">
        <w:rPr>
          <w:color w:val="000000" w:themeColor="text1"/>
          <w:sz w:val="24"/>
        </w:rPr>
        <w:t>Struktura syntezy jest odbiciem</w:t>
      </w:r>
      <w:r w:rsidRPr="001473F1">
        <w:rPr>
          <w:sz w:val="24"/>
        </w:rPr>
        <w:t xml:space="preserve"> obszarów problemowych poruszanych w trakcie prac badawczych </w:t>
      </w:r>
      <w:r w:rsidRPr="001473F1">
        <w:rPr>
          <w:sz w:val="24"/>
        </w:rPr>
        <w:br/>
        <w:t>i diagnostycznych, jednak ograniczona została do opisu zjawisk istotnych z punktu widzenia planowanej interwencji strategicznej. Ponadto synteza uwz</w:t>
      </w:r>
      <w:r w:rsidR="00180408">
        <w:rPr>
          <w:sz w:val="24"/>
        </w:rPr>
        <w:t>ględnia najważniejsze procesy i </w:t>
      </w:r>
      <w:r w:rsidRPr="001473F1">
        <w:rPr>
          <w:sz w:val="24"/>
        </w:rPr>
        <w:t>tendencje oraz kluczowe wyzwania strategiczne, z którymi mierzyć się będą samorządy WrOF w najbliższej perspektywie. Podsumowanie to stanowi bazę do zaplanowania interwencji oraz opracowania części strategicznej w dokumencie Strategii Zintegrowanych Inwestycji Terytorialnych WrOF</w:t>
      </w:r>
      <w:r w:rsidR="001473F1">
        <w:rPr>
          <w:sz w:val="24"/>
        </w:rPr>
        <w:t xml:space="preserve"> na lata 2021</w:t>
      </w:r>
      <w:r w:rsidR="00B103B8" w:rsidRPr="001473F1">
        <w:rPr>
          <w:sz w:val="24"/>
        </w:rPr>
        <w:t>-</w:t>
      </w:r>
      <w:r w:rsidRPr="001473F1">
        <w:rPr>
          <w:sz w:val="24"/>
        </w:rPr>
        <w:t>2027.</w:t>
      </w:r>
    </w:p>
    <w:p w:rsidR="000178B1" w:rsidRPr="001473F1" w:rsidRDefault="000178B1" w:rsidP="001473F1">
      <w:pPr>
        <w:spacing w:after="0"/>
        <w:jc w:val="left"/>
        <w:rPr>
          <w:sz w:val="24"/>
        </w:rPr>
      </w:pPr>
      <w:r w:rsidRPr="001473F1">
        <w:rPr>
          <w:sz w:val="24"/>
        </w:rPr>
        <w:t xml:space="preserve">Treść syntezy stanowi wyciąg najważniejszych informacji z części diagnostycznej ZIT WrOF na lata 2021-2027. Zaprezentowane dane ilościowe i jakościowe zostały podsumowane za pomocą sformułowanych  </w:t>
      </w:r>
      <w:r w:rsidR="002630BB" w:rsidRPr="001473F1">
        <w:rPr>
          <w:sz w:val="24"/>
        </w:rPr>
        <w:t>k</w:t>
      </w:r>
      <w:r w:rsidRPr="001473F1">
        <w:rPr>
          <w:sz w:val="24"/>
        </w:rPr>
        <w:t>luc</w:t>
      </w:r>
      <w:r w:rsidR="00FC0824" w:rsidRPr="001473F1">
        <w:rPr>
          <w:sz w:val="24"/>
        </w:rPr>
        <w:t xml:space="preserve">zowych wyzwań strategicznych. </w:t>
      </w:r>
      <w:r w:rsidRPr="001473F1">
        <w:rPr>
          <w:sz w:val="24"/>
        </w:rPr>
        <w:t>Rozdział kończy kompleksowa analiza SWOT stanowiąca podstawę dla sformułowania</w:t>
      </w:r>
      <w:r w:rsidR="00263937" w:rsidRPr="001473F1">
        <w:rPr>
          <w:sz w:val="24"/>
        </w:rPr>
        <w:t xml:space="preserve"> w dalszej części opracowania</w:t>
      </w:r>
      <w:r w:rsidRPr="001473F1">
        <w:rPr>
          <w:sz w:val="24"/>
        </w:rPr>
        <w:t>:</w:t>
      </w:r>
    </w:p>
    <w:p w:rsidR="000178B1" w:rsidRPr="001473F1" w:rsidRDefault="00263937" w:rsidP="001473F1">
      <w:pPr>
        <w:pStyle w:val="Akapitzlist"/>
        <w:numPr>
          <w:ilvl w:val="0"/>
          <w:numId w:val="15"/>
        </w:numPr>
        <w:jc w:val="left"/>
        <w:rPr>
          <w:sz w:val="24"/>
        </w:rPr>
      </w:pPr>
      <w:r w:rsidRPr="001473F1">
        <w:rPr>
          <w:sz w:val="24"/>
        </w:rPr>
        <w:t>W</w:t>
      </w:r>
      <w:r w:rsidR="000178B1" w:rsidRPr="001473F1">
        <w:rPr>
          <w:sz w:val="24"/>
        </w:rPr>
        <w:t xml:space="preserve">izji rozwoju WrOF, </w:t>
      </w:r>
    </w:p>
    <w:p w:rsidR="000178B1" w:rsidRPr="001473F1" w:rsidRDefault="00263937" w:rsidP="001473F1">
      <w:pPr>
        <w:pStyle w:val="Akapitzlist"/>
        <w:numPr>
          <w:ilvl w:val="0"/>
          <w:numId w:val="15"/>
        </w:numPr>
        <w:jc w:val="left"/>
        <w:rPr>
          <w:sz w:val="24"/>
        </w:rPr>
      </w:pPr>
      <w:r w:rsidRPr="001473F1">
        <w:rPr>
          <w:sz w:val="24"/>
        </w:rPr>
        <w:t>C</w:t>
      </w:r>
      <w:r w:rsidR="000178B1" w:rsidRPr="001473F1">
        <w:rPr>
          <w:sz w:val="24"/>
        </w:rPr>
        <w:t xml:space="preserve">elów strategicznych wraz z </w:t>
      </w:r>
      <w:r w:rsidRPr="001473F1">
        <w:rPr>
          <w:sz w:val="24"/>
        </w:rPr>
        <w:t>K</w:t>
      </w:r>
      <w:r w:rsidR="000178B1" w:rsidRPr="001473F1">
        <w:rPr>
          <w:sz w:val="24"/>
        </w:rPr>
        <w:t xml:space="preserve">ierunkami działań, </w:t>
      </w:r>
    </w:p>
    <w:p w:rsidR="000178B1" w:rsidRPr="001473F1" w:rsidRDefault="00263937" w:rsidP="001473F1">
      <w:pPr>
        <w:pStyle w:val="Akapitzlist"/>
        <w:numPr>
          <w:ilvl w:val="0"/>
          <w:numId w:val="15"/>
        </w:numPr>
        <w:spacing w:after="0"/>
        <w:ind w:left="714" w:hanging="357"/>
        <w:jc w:val="left"/>
        <w:rPr>
          <w:sz w:val="24"/>
        </w:rPr>
      </w:pPr>
      <w:r w:rsidRPr="001473F1">
        <w:rPr>
          <w:sz w:val="24"/>
        </w:rPr>
        <w:t>P</w:t>
      </w:r>
      <w:r w:rsidR="000178B1" w:rsidRPr="001473F1">
        <w:rPr>
          <w:sz w:val="24"/>
        </w:rPr>
        <w:t>rojektów w ramach ZIT.</w:t>
      </w:r>
    </w:p>
    <w:p w:rsidR="001473F1" w:rsidRDefault="000178B1" w:rsidP="001473F1">
      <w:pPr>
        <w:jc w:val="left"/>
        <w:rPr>
          <w:color w:val="000000" w:themeColor="text1"/>
          <w:sz w:val="24"/>
        </w:rPr>
      </w:pPr>
      <w:r w:rsidRPr="001473F1">
        <w:rPr>
          <w:color w:val="000000" w:themeColor="text1"/>
          <w:sz w:val="24"/>
        </w:rPr>
        <w:t>Grafika poniżej prezentuje poszczególne częśc</w:t>
      </w:r>
      <w:r w:rsidR="00CF7E78" w:rsidRPr="001473F1">
        <w:rPr>
          <w:color w:val="000000" w:themeColor="text1"/>
          <w:sz w:val="24"/>
        </w:rPr>
        <w:t>i logiki planowanej interwencji</w:t>
      </w:r>
      <w:r w:rsidR="001473F1">
        <w:rPr>
          <w:color w:val="000000" w:themeColor="text1"/>
          <w:sz w:val="24"/>
        </w:rPr>
        <w:br w:type="page"/>
      </w:r>
    </w:p>
    <w:p w:rsidR="000178B1" w:rsidRPr="001473F1" w:rsidRDefault="001473F1" w:rsidP="001473F1">
      <w:pPr>
        <w:jc w:val="left"/>
        <w:rPr>
          <w:sz w:val="24"/>
        </w:rPr>
      </w:pPr>
      <w:r>
        <w:rPr>
          <w:noProof/>
          <w:lang w:eastAsia="pl-PL"/>
        </w:rPr>
        <mc:AlternateContent>
          <mc:Choice Requires="wps">
            <w:drawing>
              <wp:inline distT="0" distB="0" distL="0" distR="0" wp14:anchorId="027BA107" wp14:editId="5BDD2C3C">
                <wp:extent cx="5858510" cy="342900"/>
                <wp:effectExtent l="0" t="0" r="8890" b="0"/>
                <wp:docPr id="30" name="Pole tekstowe 30"/>
                <wp:cNvGraphicFramePr/>
                <a:graphic xmlns:a="http://schemas.openxmlformats.org/drawingml/2006/main">
                  <a:graphicData uri="http://schemas.microsoft.com/office/word/2010/wordprocessingShape">
                    <wps:wsp>
                      <wps:cNvSpPr txBox="1"/>
                      <wps:spPr>
                        <a:xfrm>
                          <a:off x="0" y="0"/>
                          <a:ext cx="5858510" cy="342900"/>
                        </a:xfrm>
                        <a:prstGeom prst="rect">
                          <a:avLst/>
                        </a:prstGeom>
                        <a:solidFill>
                          <a:prstClr val="white"/>
                        </a:solidFill>
                        <a:ln>
                          <a:noFill/>
                        </a:ln>
                        <a:effectLst/>
                      </wps:spPr>
                      <wps:txbx>
                        <w:txbxContent>
                          <w:p w:rsidR="00C96A96" w:rsidRPr="007D5055" w:rsidRDefault="00C96A96" w:rsidP="001473F1">
                            <w:pPr>
                              <w:pStyle w:val="nadWrOF"/>
                              <w:rPr>
                                <w:rFonts w:eastAsiaTheme="minorHAnsi"/>
                                <w:noProof/>
                                <w:sz w:val="24"/>
                              </w:rPr>
                            </w:pPr>
                            <w:bookmarkStart w:id="19" w:name="_Toc143607005"/>
                            <w:r>
                              <w:t xml:space="preserve">Rysunek </w:t>
                            </w:r>
                            <w:fldSimple w:instr=" SEQ Rysunek \* ARABIC ">
                              <w:r>
                                <w:rPr>
                                  <w:noProof/>
                                </w:rPr>
                                <w:t>1</w:t>
                              </w:r>
                            </w:fldSimple>
                            <w:r>
                              <w:t xml:space="preserve"> </w:t>
                            </w:r>
                            <w:r w:rsidRPr="001473F1">
                              <w:t>Logika planowanej interwencji</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027BA107" id="_x0000_t202" coordsize="21600,21600" o:spt="202" path="m,l,21600r21600,l21600,xe">
                <v:stroke joinstyle="miter"/>
                <v:path gradientshapeok="t" o:connecttype="rect"/>
              </v:shapetype>
              <v:shape id="Pole tekstowe 30" o:spid="_x0000_s1028" type="#_x0000_t202" style="width:461.3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" stroked="f">
                <v:textbox inset="0,0,0,0">
                  <w:txbxContent>
                    <w:p w:rsidR="00C96A96" w:rsidRPr="007D5055" w:rsidRDefault="00C96A96" w:rsidP="001473F1">
                      <w:pPr>
                        <w:pStyle w:val="nadWrOF"/>
                        <w:rPr>
                          <w:rFonts w:eastAsiaTheme="minorHAnsi"/>
                          <w:noProof/>
                          <w:sz w:val="24"/>
                        </w:rPr>
                      </w:pPr>
                      <w:bookmarkStart w:id="20" w:name="_Toc143607005"/>
                      <w:r>
                        <w:t xml:space="preserve">Rysunek </w:t>
                      </w:r>
                      <w:fldSimple w:instr=" SEQ Rysunek \* ARABIC ">
                        <w:r>
                          <w:rPr>
                            <w:noProof/>
                          </w:rPr>
                          <w:t>1</w:t>
                        </w:r>
                      </w:fldSimple>
                      <w:r>
                        <w:t xml:space="preserve"> </w:t>
                      </w:r>
                      <w:r w:rsidRPr="001473F1">
                        <w:t>Logika planowanej interwencji</w:t>
                      </w:r>
                      <w:bookmarkEnd w:id="20"/>
                    </w:p>
                  </w:txbxContent>
                </v:textbox>
                <w10:anchorlock/>
              </v:shape>
            </w:pict>
          </mc:Fallback>
        </mc:AlternateContent>
      </w:r>
    </w:p>
    <w:p w:rsidR="000178B1" w:rsidRDefault="001473F1" w:rsidP="000178B1">
      <w:r w:rsidRPr="001473F1">
        <w:rPr>
          <w:noProof/>
          <w:sz w:val="24"/>
          <w:lang w:eastAsia="pl-PL"/>
        </w:rPr>
        <w:drawing>
          <wp:inline distT="0" distB="0" distL="0" distR="0" wp14:anchorId="4EF6D776" wp14:editId="6EB4964B">
            <wp:extent cx="5858510" cy="4926330"/>
            <wp:effectExtent l="0" t="0" r="8890" b="7620"/>
            <wp:docPr id="29" name="Obraz 29" descr="Logika planowanej interwencji strategicznej" title="Logika planowanej interw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ika interwencji-01-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8510" cy="4926330"/>
                    </a:xfrm>
                    <a:prstGeom prst="rect">
                      <a:avLst/>
                    </a:prstGeom>
                  </pic:spPr>
                </pic:pic>
              </a:graphicData>
            </a:graphic>
          </wp:inline>
        </w:drawing>
      </w:r>
    </w:p>
    <w:p w:rsidR="001473F1" w:rsidRDefault="001473F1" w:rsidP="001473F1">
      <w:pPr>
        <w:pStyle w:val="podWrOF0"/>
      </w:pPr>
      <w:r>
        <w:t>Źródło: opracowanie własne</w:t>
      </w:r>
    </w:p>
    <w:p w:rsidR="000178B1" w:rsidRDefault="00CB2E7C" w:rsidP="000178B1">
      <w:r>
        <w:rPr>
          <w:noProof/>
          <w:lang w:eastAsia="pl-PL"/>
        </w:rPr>
        <mc:AlternateContent>
          <mc:Choice Requires="wps">
            <w:drawing>
              <wp:anchor distT="0" distB="0" distL="114300" distR="114300" simplePos="0" relativeHeight="251709440" behindDoc="1" locked="0" layoutInCell="1" allowOverlap="1" wp14:anchorId="20F69F94" wp14:editId="3054ACA2">
                <wp:simplePos x="0" y="0"/>
                <wp:positionH relativeFrom="column">
                  <wp:posOffset>105410</wp:posOffset>
                </wp:positionH>
                <wp:positionV relativeFrom="paragraph">
                  <wp:posOffset>5603240</wp:posOffset>
                </wp:positionV>
                <wp:extent cx="8999855" cy="215900"/>
                <wp:effectExtent l="0" t="0" r="0" b="0"/>
                <wp:wrapNone/>
                <wp:docPr id="1026" name="Pole tekstowe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9855" cy="215900"/>
                        </a:xfrm>
                        <a:prstGeom prst="rect">
                          <a:avLst/>
                        </a:prstGeom>
                        <a:solidFill>
                          <a:prstClr val="white"/>
                        </a:solidFill>
                        <a:ln>
                          <a:noFill/>
                        </a:ln>
                        <a:effectLst/>
                      </wps:spPr>
                      <wps:txbx>
                        <w:txbxContent>
                          <w:p w:rsidR="00C96A96" w:rsidRPr="004B0D48" w:rsidRDefault="00C96A96" w:rsidP="00801B43">
                            <w:pPr>
                              <w:pStyle w:val="nadWrOF"/>
                              <w:rPr>
                                <w:noProof/>
                              </w:rPr>
                            </w:pPr>
                            <w:r>
                              <w:t>Źródło: opracowanie własne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0F69F94" id="Pole tekstowe 232" o:spid="_x0000_s1029" type="#_x0000_t202" style="position:absolute;left:0;text-align:left;margin-left:8.3pt;margin-top:441.2pt;width:708.65pt;height:1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" stroked="f">
                <v:path arrowok="t"/>
                <v:textbox style="mso-fit-shape-to-text:t" inset="0,0,0,0">
                  <w:txbxContent>
                    <w:p w:rsidR="00C96A96" w:rsidRPr="004B0D48" w:rsidRDefault="00C96A96" w:rsidP="00801B43">
                      <w:pPr>
                        <w:pStyle w:val="nadWrOF"/>
                        <w:rPr>
                          <w:noProof/>
                        </w:rPr>
                      </w:pPr>
                      <w:r>
                        <w:t>Źródło: opracowanie własne</w:t>
                      </w:r>
                    </w:p>
                  </w:txbxContent>
                </v:textbox>
              </v:shape>
            </w:pict>
          </mc:Fallback>
        </mc:AlternateContent>
      </w:r>
    </w:p>
    <w:p w:rsidR="000178B1" w:rsidRPr="00FA7D87" w:rsidRDefault="000178B1" w:rsidP="000178B1">
      <w:pPr>
        <w:sectPr w:rsidR="000178B1" w:rsidRPr="00FA7D87" w:rsidSect="00D74575">
          <w:headerReference w:type="even" r:id="rId13"/>
          <w:headerReference w:type="default" r:id="rId14"/>
          <w:footerReference w:type="even" r:id="rId15"/>
          <w:footerReference w:type="default" r:id="rId16"/>
          <w:headerReference w:type="first" r:id="rId17"/>
          <w:pgSz w:w="11906" w:h="16838"/>
          <w:pgMar w:top="1417" w:right="1417" w:bottom="1417" w:left="1417" w:header="708" w:footer="708" w:gutter="0"/>
          <w:cols w:space="708"/>
          <w:docGrid w:linePitch="360"/>
        </w:sectPr>
      </w:pPr>
    </w:p>
    <w:p w:rsidR="000178B1" w:rsidRPr="00EB7F97" w:rsidRDefault="00CF3349" w:rsidP="00EB7F97">
      <w:pPr>
        <w:pStyle w:val="Nagwek2"/>
      </w:pPr>
      <w:bookmarkStart w:id="21" w:name="_Toc125707438"/>
      <w:bookmarkStart w:id="22" w:name="_Toc143673204"/>
      <w:r w:rsidRPr="00EB7F97">
        <w:t>II.</w:t>
      </w:r>
      <w:r w:rsidR="00C86749" w:rsidRPr="00EB7F97">
        <w:t>1</w:t>
      </w:r>
      <w:r w:rsidR="000178B1" w:rsidRPr="00EB7F97">
        <w:t xml:space="preserve"> Uwarunkowania wynikające z położenia geograficznego</w:t>
      </w:r>
      <w:bookmarkEnd w:id="17"/>
      <w:bookmarkEnd w:id="18"/>
      <w:bookmarkEnd w:id="21"/>
      <w:bookmarkEnd w:id="22"/>
    </w:p>
    <w:p w:rsidR="000178B1" w:rsidRPr="001473F1" w:rsidRDefault="000178B1" w:rsidP="001473F1">
      <w:pPr>
        <w:spacing w:line="336" w:lineRule="auto"/>
        <w:jc w:val="left"/>
        <w:rPr>
          <w:rFonts w:cstheme="minorHAnsi"/>
          <w:sz w:val="24"/>
        </w:rPr>
      </w:pPr>
      <w:r w:rsidRPr="001473F1">
        <w:rPr>
          <w:rFonts w:cstheme="minorHAnsi"/>
          <w:sz w:val="24"/>
        </w:rPr>
        <w:t>Wrocławski Obszar Funkcjonalny (WrOF) położony jest w centralnej części województwa dolnośląskiego, składa się z 19 gmin: Wrocławia (trzeciego największego miasta w Polsce pod względem liczby ludności</w:t>
      </w:r>
      <w:r w:rsidRPr="001473F1">
        <w:rPr>
          <w:rStyle w:val="Odwoanieprzypisudolnego"/>
          <w:rFonts w:cstheme="minorHAnsi"/>
          <w:sz w:val="24"/>
        </w:rPr>
        <w:footnoteReference w:id="3"/>
      </w:r>
      <w:r w:rsidRPr="001473F1">
        <w:rPr>
          <w:rFonts w:cstheme="minorHAnsi"/>
          <w:sz w:val="24"/>
        </w:rPr>
        <w:t xml:space="preserve">) oraz 18 sąsiadujących (w tym </w:t>
      </w:r>
      <w:r w:rsidR="00180408">
        <w:rPr>
          <w:rFonts w:cstheme="minorHAnsi"/>
          <w:sz w:val="24"/>
        </w:rPr>
        <w:t>9 graniczących z Wrocławiem). W </w:t>
      </w:r>
      <w:r w:rsidRPr="001473F1">
        <w:rPr>
          <w:rFonts w:cstheme="minorHAnsi"/>
          <w:sz w:val="24"/>
        </w:rPr>
        <w:t>strukturze osadniczej WrOF, poza rdzeniem, istotne funkcje pełnią również trzy ośrodki lok</w:t>
      </w:r>
      <w:r w:rsidR="002F3FDC" w:rsidRPr="001473F1">
        <w:rPr>
          <w:rFonts w:cstheme="minorHAnsi"/>
          <w:sz w:val="24"/>
        </w:rPr>
        <w:t>alne – miasta Oława, Oleśnica i </w:t>
      </w:r>
      <w:r w:rsidRPr="001473F1">
        <w:rPr>
          <w:rFonts w:cstheme="minorHAnsi"/>
          <w:sz w:val="24"/>
        </w:rPr>
        <w:t>Trzebnica, będące miastami powiatowymi. WrOF jako obszar funkcjo</w:t>
      </w:r>
      <w:r w:rsidR="002F3FDC" w:rsidRPr="001473F1">
        <w:rPr>
          <w:rFonts w:cstheme="minorHAnsi"/>
          <w:sz w:val="24"/>
        </w:rPr>
        <w:t>nalny jest ośrodkiem o randze i </w:t>
      </w:r>
      <w:r w:rsidRPr="001473F1">
        <w:rPr>
          <w:rFonts w:cstheme="minorHAnsi"/>
          <w:sz w:val="24"/>
        </w:rPr>
        <w:t>oddziaływ</w:t>
      </w:r>
      <w:r w:rsidR="00607657" w:rsidRPr="001473F1">
        <w:rPr>
          <w:rFonts w:cstheme="minorHAnsi"/>
          <w:sz w:val="24"/>
        </w:rPr>
        <w:t>aniu europejskim, szczególnie w </w:t>
      </w:r>
      <w:r w:rsidRPr="001473F1">
        <w:rPr>
          <w:rFonts w:cstheme="minorHAnsi"/>
          <w:sz w:val="24"/>
        </w:rPr>
        <w:t>kontekście Europy Centralnej.</w:t>
      </w:r>
    </w:p>
    <w:p w:rsidR="000178B1" w:rsidRDefault="000178B1" w:rsidP="00A1431D">
      <w:pPr>
        <w:pStyle w:val="nadWrOF"/>
      </w:pPr>
      <w:bookmarkStart w:id="23" w:name="_Toc121148880"/>
      <w:bookmarkStart w:id="24" w:name="_Toc130466208"/>
      <w:bookmarkStart w:id="25" w:name="_Toc143606991"/>
      <w:r>
        <w:t xml:space="preserve">Mapa </w:t>
      </w:r>
      <w:r w:rsidR="00C73793">
        <w:rPr>
          <w:noProof/>
        </w:rPr>
        <w:fldChar w:fldCharType="begin"/>
      </w:r>
      <w:r w:rsidR="00E82203">
        <w:rPr>
          <w:noProof/>
        </w:rPr>
        <w:instrText xml:space="preserve"> SEQ Mapa \* ARABIC </w:instrText>
      </w:r>
      <w:r w:rsidR="00C73793">
        <w:rPr>
          <w:noProof/>
        </w:rPr>
        <w:fldChar w:fldCharType="separate"/>
      </w:r>
      <w:r w:rsidR="00C96A96">
        <w:rPr>
          <w:noProof/>
        </w:rPr>
        <w:t>2</w:t>
      </w:r>
      <w:r w:rsidR="00C73793">
        <w:rPr>
          <w:noProof/>
        </w:rPr>
        <w:fldChar w:fldCharType="end"/>
      </w:r>
      <w:r>
        <w:t xml:space="preserve"> Położenie WrOF względem innych ośrodków w wojewódzkie dolnośląskim</w:t>
      </w:r>
      <w:bookmarkEnd w:id="23"/>
      <w:bookmarkEnd w:id="24"/>
      <w:bookmarkEnd w:id="25"/>
    </w:p>
    <w:p w:rsidR="000178B1" w:rsidRDefault="000178B1" w:rsidP="00A1431D">
      <w:pPr>
        <w:pStyle w:val="PODWrof"/>
        <w:rPr>
          <w:rStyle w:val="PODWrofZnak"/>
          <w:rFonts w:cs="font339"/>
        </w:rPr>
      </w:pPr>
      <w:r w:rsidRPr="00A840FF">
        <w:rPr>
          <w:rFonts w:cstheme="minorHAnsi"/>
          <w:iCs/>
          <w:noProof/>
          <w:color w:val="44546A"/>
          <w:lang w:eastAsia="pl-PL"/>
        </w:rPr>
        <w:drawing>
          <wp:inline distT="0" distB="0" distL="0" distR="0" wp14:anchorId="3B6FA1B6" wp14:editId="449B9B4F">
            <wp:extent cx="5760720" cy="5087739"/>
            <wp:effectExtent l="0" t="0" r="0" b="0"/>
            <wp:docPr id="301" name="Obraz 301" descr="Położenie WrOF względem innych ośrodków w wojewódzkie dolnośląskim" title="Mapa Położenie WrOF względem innych ośrodków w wojewódzkie dolnośląsk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an.liniany\Downloads\WrOF_województwo-ośrodki (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5087739"/>
                    </a:xfrm>
                    <a:prstGeom prst="rect">
                      <a:avLst/>
                    </a:prstGeom>
                    <a:noFill/>
                    <a:ln>
                      <a:noFill/>
                    </a:ln>
                  </pic:spPr>
                </pic:pic>
              </a:graphicData>
            </a:graphic>
          </wp:inline>
        </w:drawing>
      </w:r>
      <w:r>
        <w:rPr>
          <w:rFonts w:cstheme="minorHAnsi"/>
          <w:iCs/>
          <w:color w:val="44546A"/>
        </w:rPr>
        <w:br/>
      </w:r>
      <w:r w:rsidRPr="001473F1">
        <w:rPr>
          <w:rStyle w:val="podWrOFZnak0"/>
          <w:i/>
        </w:rPr>
        <w:t>Źródło: opracowanie własne opracowanie własne na podstawie Planu zagospodarowania przestrzennego województwa dolnośląskiego.</w:t>
      </w:r>
    </w:p>
    <w:p w:rsidR="000178B1" w:rsidRPr="001473F1" w:rsidRDefault="000178B1" w:rsidP="001473F1">
      <w:pPr>
        <w:spacing w:after="0"/>
        <w:jc w:val="left"/>
        <w:rPr>
          <w:rFonts w:cstheme="minorHAnsi"/>
          <w:sz w:val="24"/>
        </w:rPr>
      </w:pPr>
      <w:r w:rsidRPr="001473F1">
        <w:rPr>
          <w:rFonts w:cstheme="minorHAnsi"/>
          <w:sz w:val="24"/>
        </w:rPr>
        <w:t>Teren WrOF, oprócz Wrocławia, będącego miastem na prawach powiatu, obejmuje gminy, które wchodzą w skład następujących powiatów:</w:t>
      </w:r>
    </w:p>
    <w:p w:rsidR="000178B1" w:rsidRPr="001473F1" w:rsidRDefault="000178B1" w:rsidP="001473F1">
      <w:pPr>
        <w:pStyle w:val="Akapitzlist"/>
        <w:numPr>
          <w:ilvl w:val="0"/>
          <w:numId w:val="14"/>
        </w:numPr>
        <w:spacing w:line="256" w:lineRule="auto"/>
        <w:jc w:val="left"/>
        <w:rPr>
          <w:rFonts w:cstheme="minorHAnsi"/>
          <w:sz w:val="24"/>
        </w:rPr>
      </w:pPr>
      <w:r w:rsidRPr="001473F1">
        <w:rPr>
          <w:rFonts w:cstheme="minorHAnsi"/>
          <w:sz w:val="24"/>
        </w:rPr>
        <w:t>powiat wrocławski (Czernica, Długołęka, Kąty Wrocławskie, Kobierzyce, Siechnice, Sobótka, Żórawina)</w:t>
      </w:r>
    </w:p>
    <w:p w:rsidR="000178B1" w:rsidRPr="001473F1" w:rsidRDefault="000178B1" w:rsidP="001473F1">
      <w:pPr>
        <w:numPr>
          <w:ilvl w:val="0"/>
          <w:numId w:val="14"/>
        </w:numPr>
        <w:suppressAutoHyphens/>
        <w:contextualSpacing/>
        <w:jc w:val="left"/>
        <w:rPr>
          <w:rFonts w:cstheme="minorHAnsi"/>
          <w:sz w:val="24"/>
        </w:rPr>
      </w:pPr>
      <w:r w:rsidRPr="001473F1">
        <w:rPr>
          <w:rFonts w:cstheme="minorHAnsi"/>
          <w:sz w:val="24"/>
        </w:rPr>
        <w:t>powiat oławski (Oława (miasto), Jelcz-Laskowice, Oława (gmina wiejska))</w:t>
      </w:r>
    </w:p>
    <w:p w:rsidR="000178B1" w:rsidRPr="001473F1" w:rsidRDefault="000178B1" w:rsidP="001473F1">
      <w:pPr>
        <w:numPr>
          <w:ilvl w:val="0"/>
          <w:numId w:val="14"/>
        </w:numPr>
        <w:suppressAutoHyphens/>
        <w:contextualSpacing/>
        <w:jc w:val="left"/>
        <w:rPr>
          <w:rFonts w:cstheme="minorHAnsi"/>
          <w:sz w:val="24"/>
        </w:rPr>
      </w:pPr>
      <w:r w:rsidRPr="001473F1">
        <w:rPr>
          <w:rFonts w:cstheme="minorHAnsi"/>
          <w:sz w:val="24"/>
        </w:rPr>
        <w:t>powiat oleśnicki (Oleśnica (miasto), Dobroszyce, Oleśnica (gmina wiejska))</w:t>
      </w:r>
    </w:p>
    <w:p w:rsidR="000178B1" w:rsidRPr="001473F1" w:rsidRDefault="000178B1" w:rsidP="001473F1">
      <w:pPr>
        <w:numPr>
          <w:ilvl w:val="0"/>
          <w:numId w:val="14"/>
        </w:numPr>
        <w:suppressAutoHyphens/>
        <w:contextualSpacing/>
        <w:jc w:val="left"/>
        <w:rPr>
          <w:rFonts w:cstheme="minorHAnsi"/>
          <w:sz w:val="24"/>
        </w:rPr>
      </w:pPr>
      <w:r w:rsidRPr="001473F1">
        <w:rPr>
          <w:rFonts w:cstheme="minorHAnsi"/>
          <w:sz w:val="24"/>
        </w:rPr>
        <w:t>powiat trzebnicki (Oborniki Śląskie, Trzebnica, Wisznia Mała, Zawonia)</w:t>
      </w:r>
    </w:p>
    <w:p w:rsidR="000178B1" w:rsidRPr="001473F1" w:rsidRDefault="000178B1" w:rsidP="001473F1">
      <w:pPr>
        <w:numPr>
          <w:ilvl w:val="0"/>
          <w:numId w:val="14"/>
        </w:numPr>
        <w:suppressAutoHyphens/>
        <w:spacing w:after="240"/>
        <w:ind w:left="714" w:hanging="357"/>
        <w:contextualSpacing/>
        <w:jc w:val="left"/>
        <w:rPr>
          <w:rFonts w:cstheme="minorHAnsi"/>
          <w:sz w:val="24"/>
        </w:rPr>
      </w:pPr>
      <w:r w:rsidRPr="001473F1">
        <w:rPr>
          <w:rFonts w:cstheme="minorHAnsi"/>
          <w:sz w:val="24"/>
        </w:rPr>
        <w:t>powiat średzki (Miękinia</w:t>
      </w:r>
      <w:r w:rsidRPr="001473F1">
        <w:rPr>
          <w:rStyle w:val="Odwoanieprzypisudolnego"/>
          <w:rFonts w:cstheme="minorHAnsi"/>
          <w:sz w:val="24"/>
        </w:rPr>
        <w:footnoteReference w:id="4"/>
      </w:r>
      <w:r w:rsidRPr="001473F1">
        <w:rPr>
          <w:rFonts w:cstheme="minorHAnsi"/>
          <w:sz w:val="24"/>
        </w:rPr>
        <w:t>).</w:t>
      </w:r>
    </w:p>
    <w:p w:rsidR="000178B1" w:rsidRPr="001473F1" w:rsidRDefault="000178B1" w:rsidP="001473F1">
      <w:pPr>
        <w:spacing w:before="240" w:after="0"/>
        <w:jc w:val="left"/>
        <w:rPr>
          <w:rFonts w:cstheme="minorHAnsi"/>
          <w:sz w:val="24"/>
        </w:rPr>
      </w:pPr>
      <w:r w:rsidRPr="001473F1">
        <w:rPr>
          <w:rFonts w:cstheme="minorHAnsi"/>
          <w:sz w:val="24"/>
        </w:rPr>
        <w:t>Poniżej przedstawiono położenie Wrocławskieg</w:t>
      </w:r>
      <w:r w:rsidR="00180408">
        <w:rPr>
          <w:rFonts w:cstheme="minorHAnsi"/>
          <w:sz w:val="24"/>
        </w:rPr>
        <w:t>o Obszaru Funkcjonalnego wraz z </w:t>
      </w:r>
      <w:r w:rsidRPr="001473F1">
        <w:rPr>
          <w:rFonts w:cstheme="minorHAnsi"/>
          <w:sz w:val="24"/>
        </w:rPr>
        <w:t>oznaczeniem typów gmin – miejskie (3 jednostki), miejsko-wiejskie (7 jednostek) i wiejskie (9 jednostek).</w:t>
      </w:r>
    </w:p>
    <w:p w:rsidR="000178B1" w:rsidRDefault="000178B1" w:rsidP="000178B1">
      <w:pPr>
        <w:pStyle w:val="nadWrOF"/>
      </w:pPr>
      <w:bookmarkStart w:id="26" w:name="_Toc121148881"/>
      <w:bookmarkStart w:id="27" w:name="_Toc130466209"/>
      <w:bookmarkStart w:id="28" w:name="_Toc143606992"/>
      <w:r>
        <w:t xml:space="preserve">Mapa </w:t>
      </w:r>
      <w:r w:rsidR="00C73793">
        <w:rPr>
          <w:noProof/>
        </w:rPr>
        <w:fldChar w:fldCharType="begin"/>
      </w:r>
      <w:r w:rsidR="00E82203">
        <w:rPr>
          <w:noProof/>
        </w:rPr>
        <w:instrText xml:space="preserve"> SEQ Mapa \* ARABIC </w:instrText>
      </w:r>
      <w:r w:rsidR="00C73793">
        <w:rPr>
          <w:noProof/>
        </w:rPr>
        <w:fldChar w:fldCharType="separate"/>
      </w:r>
      <w:r w:rsidR="00C96A96">
        <w:rPr>
          <w:noProof/>
        </w:rPr>
        <w:t>3</w:t>
      </w:r>
      <w:r w:rsidR="00C73793">
        <w:rPr>
          <w:noProof/>
        </w:rPr>
        <w:fldChar w:fldCharType="end"/>
      </w:r>
      <w:r>
        <w:t xml:space="preserve"> Struktura i położenie Wrocławskiego Obszaru Funkcjonalnego</w:t>
      </w:r>
      <w:bookmarkEnd w:id="26"/>
      <w:bookmarkEnd w:id="27"/>
      <w:bookmarkEnd w:id="28"/>
    </w:p>
    <w:p w:rsidR="000178B1" w:rsidRDefault="000178B1" w:rsidP="000178B1">
      <w:pPr>
        <w:spacing w:after="0" w:line="240" w:lineRule="auto"/>
        <w:rPr>
          <w:rFonts w:cstheme="minorHAnsi"/>
          <w:i/>
          <w:sz w:val="18"/>
        </w:rPr>
      </w:pPr>
      <w:r w:rsidRPr="005D7015">
        <w:rPr>
          <w:rFonts w:cstheme="minorHAnsi"/>
          <w:i/>
          <w:noProof/>
          <w:sz w:val="18"/>
          <w:lang w:eastAsia="pl-PL"/>
        </w:rPr>
        <w:drawing>
          <wp:inline distT="0" distB="0" distL="0" distR="0" wp14:anchorId="20A1F786" wp14:editId="00A190A6">
            <wp:extent cx="5760720" cy="4405784"/>
            <wp:effectExtent l="0" t="0" r="0" b="0"/>
            <wp:docPr id="302" name="Obraz 302" descr="Struktura i położenie Wrocławskiego Obszaru Funkcjonalnego" title="Struktura i położenie Wrocławskiego Obszaru Funkcj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an.liniany\Downloads\WrOF_położen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05784"/>
                    </a:xfrm>
                    <a:prstGeom prst="rect">
                      <a:avLst/>
                    </a:prstGeom>
                    <a:noFill/>
                    <a:ln>
                      <a:noFill/>
                    </a:ln>
                  </pic:spPr>
                </pic:pic>
              </a:graphicData>
            </a:graphic>
          </wp:inline>
        </w:drawing>
      </w:r>
    </w:p>
    <w:p w:rsidR="000178B1" w:rsidRPr="001473F1" w:rsidRDefault="000178B1" w:rsidP="001473F1">
      <w:pPr>
        <w:pStyle w:val="podWrOF0"/>
        <w:rPr>
          <w:rStyle w:val="PODWrofZnak"/>
          <w:i/>
        </w:rPr>
      </w:pPr>
      <w:r w:rsidRPr="001473F1">
        <w:rPr>
          <w:rStyle w:val="PODWrofZnak"/>
          <w:i/>
        </w:rPr>
        <w:t xml:space="preserve">Źródło: opracowanie własne opracowanie własne na podstawie Planu zagospodarowania przestrzennego województwa dolnośląskiego. </w:t>
      </w:r>
    </w:p>
    <w:p w:rsidR="000178B1" w:rsidRPr="001473F1" w:rsidRDefault="000178B1" w:rsidP="001473F1">
      <w:pPr>
        <w:spacing w:after="0"/>
        <w:jc w:val="left"/>
        <w:rPr>
          <w:rFonts w:cstheme="minorHAnsi"/>
          <w:sz w:val="24"/>
        </w:rPr>
      </w:pPr>
      <w:r w:rsidRPr="001473F1">
        <w:rPr>
          <w:rFonts w:cstheme="minorHAnsi"/>
          <w:sz w:val="24"/>
        </w:rPr>
        <w:t>Według danych BDL GUS w 2021 r. terytorium WrOF zamieszkiwało 1 006 202 mieszkańców. Powierzchnia obszaru wynosiła około 2 850 km</w:t>
      </w:r>
      <w:r w:rsidRPr="001473F1">
        <w:rPr>
          <w:rFonts w:cstheme="minorHAnsi"/>
          <w:sz w:val="24"/>
          <w:vertAlign w:val="superscript"/>
        </w:rPr>
        <w:t>2</w:t>
      </w:r>
      <w:r w:rsidRPr="001473F1">
        <w:rPr>
          <w:rFonts w:cstheme="minorHAnsi"/>
          <w:sz w:val="24"/>
        </w:rPr>
        <w:t>, co daje gęstość zaludnienia 353 os/km</w:t>
      </w:r>
      <w:r w:rsidRPr="001473F1">
        <w:rPr>
          <w:rFonts w:cstheme="minorHAnsi"/>
          <w:sz w:val="24"/>
          <w:vertAlign w:val="superscript"/>
        </w:rPr>
        <w:t>2</w:t>
      </w:r>
      <w:r w:rsidRPr="001473F1">
        <w:rPr>
          <w:rFonts w:cstheme="minorHAnsi"/>
          <w:sz w:val="24"/>
        </w:rPr>
        <w:t>. Największa pod względem powierzchni, zaraz po Wrocławiu, jest Oleśnica (gmina wiejska - 242 km</w:t>
      </w:r>
      <w:r w:rsidRPr="001473F1">
        <w:rPr>
          <w:rFonts w:cstheme="minorHAnsi"/>
          <w:sz w:val="24"/>
          <w:vertAlign w:val="superscript"/>
        </w:rPr>
        <w:t>2</w:t>
      </w:r>
      <w:r w:rsidRPr="001473F1">
        <w:rPr>
          <w:rFonts w:cstheme="minorHAnsi"/>
          <w:sz w:val="24"/>
        </w:rPr>
        <w:t>). Natomiast najmniejsza powierzchniowo jest Oleśnica (miasto), zaledwie 21 km</w:t>
      </w:r>
      <w:r w:rsidRPr="001473F1">
        <w:rPr>
          <w:rFonts w:cstheme="minorHAnsi"/>
          <w:sz w:val="24"/>
          <w:vertAlign w:val="superscript"/>
        </w:rPr>
        <w:t>2</w:t>
      </w:r>
      <w:r w:rsidRPr="001473F1">
        <w:rPr>
          <w:rFonts w:cstheme="minorHAnsi"/>
          <w:sz w:val="24"/>
        </w:rPr>
        <w:t>, będąc</w:t>
      </w:r>
      <w:r w:rsidR="00392D05" w:rsidRPr="001473F1">
        <w:rPr>
          <w:rFonts w:cstheme="minorHAnsi"/>
          <w:sz w:val="24"/>
        </w:rPr>
        <w:t>a</w:t>
      </w:r>
      <w:r w:rsidRPr="001473F1">
        <w:rPr>
          <w:rFonts w:cstheme="minorHAnsi"/>
          <w:sz w:val="24"/>
        </w:rPr>
        <w:t xml:space="preserve"> jednocześnie jednostką, którą w 2021 r. zamieszkiwało najwięcej mieszkańców (zaraz po Wrocławiu). Najmniej mieszkańców, poniżej 6 tysięcy, zamieszkuje gminę Zawonia.</w:t>
      </w:r>
    </w:p>
    <w:p w:rsidR="000178B1" w:rsidRDefault="000178B1" w:rsidP="00800D30">
      <w:pPr>
        <w:pStyle w:val="nadWrOF"/>
      </w:pPr>
      <w:bookmarkStart w:id="29" w:name="_Toc121148759"/>
      <w:bookmarkStart w:id="30" w:name="_Toc123197634"/>
      <w:bookmarkStart w:id="31" w:name="_Toc143606958"/>
      <w:r>
        <w:t xml:space="preserve">Tabela </w:t>
      </w:r>
      <w:r w:rsidR="00C73793">
        <w:fldChar w:fldCharType="begin"/>
      </w:r>
      <w:r>
        <w:rPr>
          <w:noProof/>
        </w:rPr>
        <w:instrText xml:space="preserve"> SEQ "Tabela" \* ARABIC </w:instrText>
      </w:r>
      <w:r w:rsidR="00C73793">
        <w:fldChar w:fldCharType="separate"/>
      </w:r>
      <w:r w:rsidR="00C96A96">
        <w:rPr>
          <w:noProof/>
        </w:rPr>
        <w:t>1</w:t>
      </w:r>
      <w:r w:rsidR="00C73793">
        <w:fldChar w:fldCharType="end"/>
      </w:r>
      <w:r>
        <w:t xml:space="preserve"> Liczba ludności, powierzchnia i gęstość zaludnienia gmin WrOF w 2021 r.</w:t>
      </w:r>
      <w:bookmarkEnd w:id="29"/>
      <w:bookmarkEnd w:id="30"/>
      <w:bookmarkEnd w:id="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7"/>
        <w:gridCol w:w="1984"/>
        <w:gridCol w:w="2681"/>
      </w:tblGrid>
      <w:tr w:rsidR="000178B1" w:rsidRPr="001473F1" w:rsidTr="001473F1">
        <w:trPr>
          <w:trHeight w:val="340"/>
          <w:tblHeader/>
        </w:trPr>
        <w:tc>
          <w:tcPr>
            <w:tcW w:w="2263" w:type="dxa"/>
            <w:shd w:val="clear" w:color="auto" w:fill="auto"/>
            <w:vAlign w:val="center"/>
            <w:hideMark/>
          </w:tcPr>
          <w:p w:rsidR="000178B1" w:rsidRPr="001473F1" w:rsidRDefault="000178B1" w:rsidP="00CF3349">
            <w:pPr>
              <w:spacing w:after="0" w:line="240" w:lineRule="auto"/>
              <w:jc w:val="center"/>
              <w:rPr>
                <w:rFonts w:cstheme="minorHAnsi"/>
                <w:bCs/>
              </w:rPr>
            </w:pPr>
            <w:r w:rsidRPr="001473F1">
              <w:rPr>
                <w:rFonts w:cstheme="minorHAnsi"/>
                <w:bCs/>
              </w:rPr>
              <w:t>Gmina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bCs/>
              </w:rPr>
            </w:pPr>
            <w:r w:rsidRPr="001473F1">
              <w:rPr>
                <w:rFonts w:cstheme="minorHAnsi"/>
                <w:bCs/>
              </w:rPr>
              <w:t>Liczba ludności</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bCs/>
              </w:rPr>
            </w:pPr>
            <w:r w:rsidRPr="001473F1">
              <w:rPr>
                <w:rFonts w:cstheme="minorHAnsi"/>
                <w:bCs/>
              </w:rPr>
              <w:t>Powierzchnia [km</w:t>
            </w:r>
            <w:r w:rsidRPr="001473F1">
              <w:rPr>
                <w:rFonts w:cstheme="minorHAnsi"/>
                <w:bCs/>
                <w:vertAlign w:val="superscript"/>
              </w:rPr>
              <w:t>2</w:t>
            </w:r>
            <w:r w:rsidRPr="001473F1">
              <w:rPr>
                <w:rFonts w:cstheme="minorHAnsi"/>
                <w:bCs/>
              </w:rPr>
              <w:t>]</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bCs/>
              </w:rPr>
            </w:pPr>
            <w:r w:rsidRPr="001473F1">
              <w:rPr>
                <w:rFonts w:cstheme="minorHAnsi"/>
                <w:bCs/>
              </w:rPr>
              <w:t>Gęstość zaludnienia [os/km</w:t>
            </w:r>
            <w:r w:rsidRPr="001473F1">
              <w:rPr>
                <w:rFonts w:cstheme="minorHAnsi"/>
                <w:bCs/>
                <w:vertAlign w:val="superscript"/>
              </w:rPr>
              <w:t>2</w:t>
            </w:r>
            <w:r w:rsidRPr="001473F1">
              <w:rPr>
                <w:rFonts w:cstheme="minorHAnsi"/>
                <w:bCs/>
              </w:rPr>
              <w:t>]</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Czernica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18 820</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84</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224</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Długołęka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36 282</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213</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170</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Dobroszyce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6 949</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132</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53</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Jelcz-Laskowice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23 277</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168</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139</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Kąty Wrocławskie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26 665</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177</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151</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Kobierzyce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22 480</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149</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151</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Miękinia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18 374</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179</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103</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Oborniki Śląskie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20 386</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154</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132</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Oleśnica (miasto)</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36 683</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21</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1747</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Oleśnica (gmina wiejska)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14 424</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242</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60</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Oława (miasto)</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32 997</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27</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1222</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Oława (gmina wiejska)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15 318</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235</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65</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Siechnice</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25 147</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99</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254</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Sobótka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12 840</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136</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94</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Trzebnica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24 564</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200</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123</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Wisznia Mała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10 698</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103</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104</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Wrocław</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642 687</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293</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2 193</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Zawonia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5 889</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118</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50</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rPr>
            </w:pPr>
            <w:r w:rsidRPr="001473F1">
              <w:rPr>
                <w:rFonts w:cstheme="minorHAnsi"/>
              </w:rPr>
              <w:t>Żórawina</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11 722</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120</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rPr>
            </w:pPr>
            <w:r w:rsidRPr="001473F1">
              <w:rPr>
                <w:rFonts w:cstheme="minorHAnsi"/>
              </w:rPr>
              <w:t>98</w:t>
            </w:r>
          </w:p>
        </w:tc>
      </w:tr>
      <w:tr w:rsidR="000178B1" w:rsidRPr="001473F1" w:rsidTr="001473F1">
        <w:trPr>
          <w:trHeight w:val="340"/>
        </w:trPr>
        <w:tc>
          <w:tcPr>
            <w:tcW w:w="2263" w:type="dxa"/>
            <w:shd w:val="clear" w:color="auto" w:fill="auto"/>
            <w:vAlign w:val="center"/>
            <w:hideMark/>
          </w:tcPr>
          <w:p w:rsidR="000178B1" w:rsidRPr="001473F1" w:rsidRDefault="000178B1" w:rsidP="00EF0B7E">
            <w:pPr>
              <w:spacing w:after="0" w:line="240" w:lineRule="auto"/>
              <w:jc w:val="left"/>
              <w:rPr>
                <w:rFonts w:cstheme="minorHAnsi"/>
                <w:b/>
              </w:rPr>
            </w:pPr>
            <w:r w:rsidRPr="001473F1">
              <w:rPr>
                <w:rFonts w:cstheme="minorHAnsi"/>
                <w:b/>
              </w:rPr>
              <w:t>WrOF</w:t>
            </w:r>
          </w:p>
        </w:tc>
        <w:tc>
          <w:tcPr>
            <w:tcW w:w="2127" w:type="dxa"/>
            <w:shd w:val="clear" w:color="auto" w:fill="auto"/>
            <w:vAlign w:val="center"/>
            <w:hideMark/>
          </w:tcPr>
          <w:p w:rsidR="000178B1" w:rsidRPr="001473F1" w:rsidRDefault="000178B1" w:rsidP="00CF3349">
            <w:pPr>
              <w:spacing w:after="0" w:line="240" w:lineRule="auto"/>
              <w:jc w:val="center"/>
              <w:rPr>
                <w:rFonts w:cstheme="minorHAnsi"/>
                <w:b/>
              </w:rPr>
            </w:pPr>
            <w:r w:rsidRPr="001473F1">
              <w:rPr>
                <w:rFonts w:cstheme="minorHAnsi"/>
                <w:b/>
              </w:rPr>
              <w:t>1 006 202</w:t>
            </w:r>
          </w:p>
        </w:tc>
        <w:tc>
          <w:tcPr>
            <w:tcW w:w="1984" w:type="dxa"/>
            <w:shd w:val="clear" w:color="auto" w:fill="auto"/>
            <w:vAlign w:val="center"/>
            <w:hideMark/>
          </w:tcPr>
          <w:p w:rsidR="000178B1" w:rsidRPr="001473F1" w:rsidRDefault="000178B1" w:rsidP="00CF3349">
            <w:pPr>
              <w:spacing w:after="0" w:line="240" w:lineRule="auto"/>
              <w:jc w:val="center"/>
              <w:rPr>
                <w:rFonts w:cstheme="minorHAnsi"/>
                <w:b/>
              </w:rPr>
            </w:pPr>
            <w:r w:rsidRPr="001473F1">
              <w:rPr>
                <w:rFonts w:cstheme="minorHAnsi"/>
                <w:b/>
              </w:rPr>
              <w:t>2 850</w:t>
            </w:r>
          </w:p>
        </w:tc>
        <w:tc>
          <w:tcPr>
            <w:tcW w:w="2681" w:type="dxa"/>
            <w:shd w:val="clear" w:color="auto" w:fill="auto"/>
            <w:vAlign w:val="center"/>
            <w:hideMark/>
          </w:tcPr>
          <w:p w:rsidR="000178B1" w:rsidRPr="001473F1" w:rsidRDefault="000178B1" w:rsidP="00CF3349">
            <w:pPr>
              <w:spacing w:after="0" w:line="240" w:lineRule="auto"/>
              <w:jc w:val="center"/>
              <w:rPr>
                <w:rFonts w:cstheme="minorHAnsi"/>
                <w:b/>
              </w:rPr>
            </w:pPr>
            <w:r w:rsidRPr="001473F1">
              <w:rPr>
                <w:rFonts w:cstheme="minorHAnsi"/>
                <w:b/>
              </w:rPr>
              <w:t>353</w:t>
            </w:r>
          </w:p>
        </w:tc>
      </w:tr>
    </w:tbl>
    <w:p w:rsidR="000178B1" w:rsidRDefault="000178B1" w:rsidP="00800D30">
      <w:pPr>
        <w:pStyle w:val="podWrOF0"/>
      </w:pPr>
      <w:r>
        <w:t>Źródło: opracowanie własne na podstawie danych BDL GUS [Stan na: 31.12.2022].</w:t>
      </w:r>
    </w:p>
    <w:p w:rsidR="000178B1" w:rsidRPr="00800D30" w:rsidRDefault="000178B1" w:rsidP="00800D30">
      <w:pPr>
        <w:spacing w:before="240" w:after="120"/>
        <w:jc w:val="left"/>
        <w:rPr>
          <w:rFonts w:cstheme="minorHAnsi"/>
          <w:sz w:val="24"/>
          <w:szCs w:val="24"/>
        </w:rPr>
      </w:pPr>
      <w:r w:rsidRPr="00800D30">
        <w:rPr>
          <w:rFonts w:cstheme="minorHAnsi"/>
          <w:sz w:val="24"/>
        </w:rPr>
        <w:t>Z przedstawionych danych wynika, że najgęściej zaludnione</w:t>
      </w:r>
      <w:r w:rsidR="00180408">
        <w:rPr>
          <w:rFonts w:cstheme="minorHAnsi"/>
          <w:sz w:val="24"/>
        </w:rPr>
        <w:t xml:space="preserve"> są miasta (Wrocław, Oleśnica i </w:t>
      </w:r>
      <w:r w:rsidRPr="00800D30">
        <w:rPr>
          <w:rFonts w:cstheme="minorHAnsi"/>
          <w:sz w:val="24"/>
        </w:rPr>
        <w:t xml:space="preserve">Oława), natomiast gminy w północno-wschodniej części obszaru (Dobroszyce, Oleśnica (gmina wiejska) i Zawonia) charakteryzują się najniższą gęstością zaludnienia. W strukturze </w:t>
      </w:r>
      <w:r w:rsidRPr="00800D30">
        <w:rPr>
          <w:rFonts w:cstheme="minorHAnsi"/>
          <w:sz w:val="24"/>
          <w:szCs w:val="24"/>
        </w:rPr>
        <w:t>WrOF obszary miejskie</w:t>
      </w:r>
      <w:r w:rsidRPr="00800D30">
        <w:rPr>
          <w:rFonts w:cstheme="minorHAnsi"/>
          <w:sz w:val="24"/>
          <w:szCs w:val="24"/>
          <w:vertAlign w:val="superscript"/>
        </w:rPr>
        <w:footnoteReference w:id="5"/>
      </w:r>
      <w:r w:rsidRPr="00800D30">
        <w:rPr>
          <w:rFonts w:cstheme="minorHAnsi"/>
          <w:sz w:val="24"/>
          <w:szCs w:val="24"/>
        </w:rPr>
        <w:t xml:space="preserve"> zajmują 451,04 km</w:t>
      </w:r>
      <w:r w:rsidRPr="00800D30">
        <w:rPr>
          <w:rFonts w:cstheme="minorHAnsi"/>
          <w:sz w:val="24"/>
          <w:szCs w:val="24"/>
          <w:vertAlign w:val="superscript"/>
        </w:rPr>
        <w:t>2</w:t>
      </w:r>
      <w:r w:rsidRPr="00800D30">
        <w:rPr>
          <w:rFonts w:cstheme="minorHAnsi"/>
          <w:sz w:val="24"/>
          <w:szCs w:val="24"/>
        </w:rPr>
        <w:t xml:space="preserve"> (15,8%), natomiast obszary wiejskie obejmują 84,2% powierzchni całego WrOF, a ich powierzchnia jest równa 2 398,96 km</w:t>
      </w:r>
      <w:r w:rsidRPr="00800D30">
        <w:rPr>
          <w:rFonts w:cstheme="minorHAnsi"/>
          <w:sz w:val="24"/>
          <w:szCs w:val="24"/>
          <w:vertAlign w:val="superscript"/>
        </w:rPr>
        <w:t>2</w:t>
      </w:r>
      <w:r w:rsidRPr="00800D30">
        <w:rPr>
          <w:rFonts w:cstheme="minorHAnsi"/>
          <w:sz w:val="24"/>
          <w:szCs w:val="24"/>
        </w:rPr>
        <w:t xml:space="preserve">. </w:t>
      </w:r>
    </w:p>
    <w:p w:rsidR="00800D30" w:rsidRDefault="000178B1" w:rsidP="00800D30">
      <w:pPr>
        <w:spacing w:after="0"/>
        <w:jc w:val="left"/>
        <w:rPr>
          <w:rFonts w:cstheme="minorHAnsi"/>
          <w:sz w:val="24"/>
          <w:szCs w:val="24"/>
        </w:rPr>
      </w:pPr>
      <w:r w:rsidRPr="00800D30">
        <w:rPr>
          <w:rFonts w:cstheme="minorHAnsi"/>
          <w:sz w:val="24"/>
          <w:szCs w:val="24"/>
        </w:rPr>
        <w:t xml:space="preserve">WrOF położony jest w </w:t>
      </w:r>
      <w:proofErr w:type="spellStart"/>
      <w:r w:rsidRPr="00800D30">
        <w:rPr>
          <w:rFonts w:cstheme="minorHAnsi"/>
          <w:sz w:val="24"/>
          <w:szCs w:val="24"/>
        </w:rPr>
        <w:t>mezoregionach</w:t>
      </w:r>
      <w:proofErr w:type="spellEnd"/>
      <w:r w:rsidRPr="00800D30">
        <w:rPr>
          <w:rFonts w:cstheme="minorHAnsi"/>
          <w:sz w:val="24"/>
          <w:szCs w:val="24"/>
        </w:rPr>
        <w:t>: Równina Wrocławska, Równina Oleśnicka, Wzgórza Trzebnickie, Kotlina Żmigrodzka, Masyw Ślęży i Pradolina W</w:t>
      </w:r>
      <w:r w:rsidR="00180408">
        <w:rPr>
          <w:rFonts w:cstheme="minorHAnsi"/>
          <w:sz w:val="24"/>
          <w:szCs w:val="24"/>
        </w:rPr>
        <w:t>rocławska. Obszar ten wchodzi w </w:t>
      </w:r>
      <w:r w:rsidRPr="00800D30">
        <w:rPr>
          <w:rFonts w:cstheme="minorHAnsi"/>
          <w:sz w:val="24"/>
          <w:szCs w:val="24"/>
        </w:rPr>
        <w:t>skład makroregionów: Niziny Śląskiej, Przedgórza Sudeckiego oraz Wału Trzebnickiego. Urozmaicenie rzeźby terenu obserwuje się w południowo-zachodniej części, na terenie Sobótki, gdzie wznosi się Masyw Ślęży, który jest najwyższym wzniesieniem Przedgórza Sudeckiego.</w:t>
      </w:r>
    </w:p>
    <w:p w:rsidR="00CF66EC" w:rsidRDefault="00CF66EC" w:rsidP="00800D30">
      <w:pPr>
        <w:pStyle w:val="Nagwek2"/>
      </w:pPr>
      <w:bookmarkStart w:id="32" w:name="_Toc143673205"/>
      <w:r w:rsidRPr="00800D30">
        <w:t>II</w:t>
      </w:r>
      <w:r w:rsidR="004F6876" w:rsidRPr="00800D30">
        <w:t>.</w:t>
      </w:r>
      <w:r w:rsidRPr="00800D30">
        <w:t>2 Mobilność</w:t>
      </w:r>
      <w:bookmarkEnd w:id="32"/>
    </w:p>
    <w:p w:rsidR="00800D30" w:rsidRPr="00800D30" w:rsidRDefault="00800D30" w:rsidP="00800D30">
      <w:pPr>
        <w:spacing w:after="0"/>
        <w:jc w:val="left"/>
        <w:rPr>
          <w:rFonts w:cstheme="minorHAnsi"/>
          <w:sz w:val="24"/>
          <w:szCs w:val="24"/>
        </w:rPr>
      </w:pPr>
      <w:r w:rsidRPr="00800D30">
        <w:rPr>
          <w:rFonts w:cstheme="minorHAnsi"/>
          <w:sz w:val="24"/>
          <w:szCs w:val="24"/>
        </w:rPr>
        <w:t xml:space="preserve">Dostępność spójnej sieci komunikacyjnej, zapewniającej zrównoważoną mobilność, jest jednym z czynników wpływających na rozwój społeczno-gospodarczy obszaru ZIT,  przyczyniając się do rozwoju i wzmacniania powiązań między gminami. Poniżej, na schemacie, przedstawiono dostępność komunikacyjną terytorium WrOF uwzględniając główne ciągi komunikacyjne, linie kolejowe oraz obecność portu lotniczego. Nadmienić należy, że pomimo  dostępności komunikacyjnej obszaru  </w:t>
      </w:r>
      <w:r w:rsidRPr="00800D30">
        <w:rPr>
          <w:rFonts w:cstheme="minorHAnsi"/>
          <w:sz w:val="24"/>
          <w:szCs w:val="24"/>
        </w:rPr>
        <w:br/>
        <w:t>(z uwagi na obecność wielu systemów transportu: drogowego, kolejowego, tramwajowego,  lotniczego i rowerowego)nadal występuje problem niedostatecznego poziomu skomunikowania wewnątrz gmin WrOF.</w:t>
      </w:r>
    </w:p>
    <w:p w:rsidR="00800D30" w:rsidRPr="00800D30" w:rsidRDefault="00800D30" w:rsidP="00800D30"/>
    <w:p w:rsidR="000178B1" w:rsidRDefault="000178B1" w:rsidP="00180408">
      <w:pPr>
        <w:pStyle w:val="nadWrOF"/>
      </w:pPr>
      <w:bookmarkStart w:id="33" w:name="_Toc121148882"/>
      <w:bookmarkStart w:id="34" w:name="_Toc130466210"/>
      <w:bookmarkStart w:id="35" w:name="_Toc143606993"/>
      <w:r>
        <w:t xml:space="preserve">Mapa </w:t>
      </w:r>
      <w:r w:rsidR="00C73793">
        <w:rPr>
          <w:noProof/>
        </w:rPr>
        <w:fldChar w:fldCharType="begin"/>
      </w:r>
      <w:r w:rsidR="00E82203">
        <w:rPr>
          <w:noProof/>
        </w:rPr>
        <w:instrText xml:space="preserve"> SEQ Mapa \* ARABIC </w:instrText>
      </w:r>
      <w:r w:rsidR="00C73793">
        <w:rPr>
          <w:noProof/>
        </w:rPr>
        <w:fldChar w:fldCharType="separate"/>
      </w:r>
      <w:r w:rsidR="00C96A96">
        <w:rPr>
          <w:noProof/>
        </w:rPr>
        <w:t>4</w:t>
      </w:r>
      <w:r w:rsidR="00C73793">
        <w:rPr>
          <w:noProof/>
        </w:rPr>
        <w:fldChar w:fldCharType="end"/>
      </w:r>
      <w:r>
        <w:t xml:space="preserve"> Wewnętrzna i zewnętrzna dostępność komunikacyjna oraz planowane inwestycje celu publicznego</w:t>
      </w:r>
      <w:bookmarkEnd w:id="33"/>
      <w:bookmarkEnd w:id="34"/>
      <w:bookmarkEnd w:id="35"/>
    </w:p>
    <w:p w:rsidR="000178B1" w:rsidRPr="00A02854" w:rsidRDefault="0077224A" w:rsidP="000178B1">
      <w:pPr>
        <w:pStyle w:val="PODWrof"/>
      </w:pPr>
      <w:r>
        <w:rPr>
          <w:rFonts w:asciiTheme="minorHAnsi" w:hAnsiTheme="minorHAnsi" w:cstheme="minorHAnsi"/>
          <w:noProof/>
          <w:lang w:eastAsia="pl-PL"/>
        </w:rPr>
        <w:drawing>
          <wp:inline distT="0" distB="0" distL="0" distR="0" wp14:anchorId="5136CFEC" wp14:editId="3ED3839A">
            <wp:extent cx="5753100" cy="4400550"/>
            <wp:effectExtent l="0" t="0" r="0" b="0"/>
            <wp:docPr id="1" name="Obraz 19" descr="Wewnętrzna i zewnętrzna dostępność komunikacyjna oraz planowane inwestycje celu publicznego" title="Wewnętrzna i zewnętrzna dostępność komunikacyjna oraz planowane inwestycje celu publi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rOF_komunikacja (1)"/>
                    <pic:cNvPicPr>
                      <a:picLocks noChangeAspect="1" noChangeArrowheads="1"/>
                    </pic:cNvPicPr>
                  </pic:nvPicPr>
                  <pic:blipFill>
                    <a:blip r:embed="rId19" cstate="print"/>
                    <a:srcRect/>
                    <a:stretch>
                      <a:fillRect/>
                    </a:stretch>
                  </pic:blipFill>
                  <pic:spPr bwMode="auto">
                    <a:xfrm>
                      <a:off x="0" y="0"/>
                      <a:ext cx="5753100" cy="4400550"/>
                    </a:xfrm>
                    <a:prstGeom prst="rect">
                      <a:avLst/>
                    </a:prstGeom>
                    <a:noFill/>
                    <a:ln w="9525">
                      <a:noFill/>
                      <a:miter lim="800000"/>
                      <a:headEnd/>
                      <a:tailEnd/>
                    </a:ln>
                  </pic:spPr>
                </pic:pic>
              </a:graphicData>
            </a:graphic>
          </wp:inline>
        </w:drawing>
      </w:r>
      <w:r w:rsidR="00C55A8D">
        <w:br/>
      </w:r>
      <w:r w:rsidR="000178B1" w:rsidRPr="00A02854">
        <w:t>Źródło: opracowanie własne na podstawie Planu zagospodarowania przestrzen</w:t>
      </w:r>
      <w:r w:rsidR="00C244C1" w:rsidRPr="00A02854">
        <w:t>nego województwa dolno</w:t>
      </w:r>
      <w:r w:rsidR="00326417">
        <w:t xml:space="preserve">śląskiego [Stan na: 31.12.2021] z uwzględnieniem aktualizacji statusu zakończonej inwestycji dot. DW 342. </w:t>
      </w:r>
    </w:p>
    <w:p w:rsidR="00CF66EC" w:rsidRPr="00800D30" w:rsidRDefault="00C301C4" w:rsidP="00800D30">
      <w:pPr>
        <w:spacing w:before="240" w:after="0"/>
        <w:jc w:val="left"/>
        <w:rPr>
          <w:rFonts w:cstheme="minorHAnsi"/>
          <w:b/>
          <w:color w:val="000000" w:themeColor="text1"/>
          <w:sz w:val="24"/>
        </w:rPr>
      </w:pPr>
      <w:r w:rsidRPr="00800D30">
        <w:rPr>
          <w:rFonts w:cstheme="minorHAnsi"/>
          <w:b/>
          <w:color w:val="000000" w:themeColor="text1"/>
          <w:sz w:val="24"/>
        </w:rPr>
        <w:t>Sieć drogowa</w:t>
      </w:r>
    </w:p>
    <w:p w:rsidR="00CF66EC" w:rsidRPr="00800D30" w:rsidRDefault="00CF66EC" w:rsidP="00800D30">
      <w:pPr>
        <w:jc w:val="left"/>
        <w:rPr>
          <w:rFonts w:cstheme="minorHAnsi"/>
          <w:sz w:val="24"/>
        </w:rPr>
      </w:pPr>
      <w:r w:rsidRPr="00800D30">
        <w:rPr>
          <w:rFonts w:cstheme="minorHAnsi"/>
          <w:sz w:val="24"/>
        </w:rPr>
        <w:t>Przez terytorium WrOF przebiegają cztery drogi będące elementami tras włączonych w europejską sieć dróg: autostrada A4 i A8 (stanowi Autostradową Obwodnicę Wrocławia) oraz drogi ekspresowe S8</w:t>
      </w:r>
      <w:r w:rsidRPr="00800D30">
        <w:rPr>
          <w:rStyle w:val="Odwoanieprzypisudolnego"/>
          <w:rFonts w:cstheme="minorHAnsi"/>
          <w:sz w:val="24"/>
        </w:rPr>
        <w:footnoteReference w:id="6"/>
      </w:r>
      <w:r w:rsidRPr="00800D30">
        <w:rPr>
          <w:rFonts w:cstheme="minorHAnsi"/>
          <w:sz w:val="24"/>
        </w:rPr>
        <w:t xml:space="preserve"> i S5</w:t>
      </w:r>
      <w:r w:rsidRPr="00800D30">
        <w:rPr>
          <w:rStyle w:val="Odwoanieprzypisudolnego"/>
          <w:rFonts w:cstheme="minorHAnsi"/>
          <w:sz w:val="24"/>
        </w:rPr>
        <w:footnoteReference w:id="7"/>
      </w:r>
      <w:r w:rsidRPr="00800D30">
        <w:rPr>
          <w:rFonts w:cstheme="minorHAnsi"/>
          <w:sz w:val="24"/>
        </w:rPr>
        <w:t>. Uzupełnieniem europejskiej sieci drogowej są drogi krajowe,  wojewódzkie, powiatowe i gminne. Łączna długość dróg krajowych, w tym również autostrad i dróg ekspresowych na obszarze gmin ZIT WrOF, wynosi niecałe 299 km. Analizując kwestie związane z siecią dróg można zauważyć</w:t>
      </w:r>
      <w:r w:rsidR="00D9388D" w:rsidRPr="00800D30">
        <w:rPr>
          <w:rFonts w:cstheme="minorHAnsi"/>
          <w:sz w:val="24"/>
        </w:rPr>
        <w:t>,</w:t>
      </w:r>
      <w:r w:rsidR="005D10A3" w:rsidRPr="00800D30">
        <w:rPr>
          <w:rFonts w:cstheme="minorHAnsi"/>
          <w:sz w:val="24"/>
        </w:rPr>
        <w:t xml:space="preserve"> </w:t>
      </w:r>
      <w:r w:rsidR="000178B1" w:rsidRPr="00800D30">
        <w:rPr>
          <w:rFonts w:cstheme="minorHAnsi"/>
          <w:sz w:val="24"/>
        </w:rPr>
        <w:t>że 11 gmin współtworzących obszar funkcjonalny ma połączenie z autostradą lub drogą ekspresową (Dobroszyce, Długołęka, Kąty Wrocławskie, Kobierzyce, Oleśnica (miasto), Oleśnica (gmina wiejska), Oława (gmina wiejska), Trzebnica, Wisznia Mała, Wrocław, Żórawina). Tylko przez cztery gminy (Czernica, Jelcz</w:t>
      </w:r>
      <w:r w:rsidR="00B103B8" w:rsidRPr="00800D30">
        <w:rPr>
          <w:rFonts w:cstheme="minorHAnsi"/>
          <w:sz w:val="24"/>
        </w:rPr>
        <w:br/>
      </w:r>
      <w:r w:rsidR="000178B1" w:rsidRPr="00800D30">
        <w:rPr>
          <w:rFonts w:cstheme="minorHAnsi"/>
          <w:sz w:val="24"/>
        </w:rPr>
        <w:t>-Laskowice, Oborniki Śląskie i Zawonia) nie przebiegają drogi krajowe, ekspresowe lub autostrady, natomiast Sobótka jest jedyną gminą, na terenie której nie przebiega żadna droga wojewódzka. Przedstawione dane świadczą o stosunkowo wysokim poziomie dostępności i rozwiniętej infrastrukturze drogowej WrOF.</w:t>
      </w:r>
      <w:r w:rsidR="005D10A3" w:rsidRPr="00800D30">
        <w:rPr>
          <w:rFonts w:cstheme="minorHAnsi"/>
          <w:sz w:val="24"/>
        </w:rPr>
        <w:t xml:space="preserve"> </w:t>
      </w:r>
      <w:r w:rsidRPr="00800D30">
        <w:rPr>
          <w:rFonts w:cstheme="minorHAnsi"/>
          <w:sz w:val="24"/>
        </w:rPr>
        <w:t>Problemami, któr</w:t>
      </w:r>
      <w:r w:rsidR="006757DF" w:rsidRPr="00800D30">
        <w:rPr>
          <w:rFonts w:cstheme="minorHAnsi"/>
          <w:sz w:val="24"/>
        </w:rPr>
        <w:t>e</w:t>
      </w:r>
      <w:r w:rsidRPr="00800D30">
        <w:rPr>
          <w:rFonts w:cstheme="minorHAnsi"/>
          <w:sz w:val="24"/>
        </w:rPr>
        <w:t xml:space="preserve"> występują na obszarze (mimo ponoszonych nakładów na infrastrukturę drogową) są: miejscowa</w:t>
      </w:r>
      <w:r w:rsidR="005D10A3" w:rsidRPr="00800D30">
        <w:rPr>
          <w:rFonts w:cstheme="minorHAnsi"/>
          <w:sz w:val="24"/>
        </w:rPr>
        <w:t xml:space="preserve"> </w:t>
      </w:r>
      <w:r w:rsidRPr="00800D30">
        <w:rPr>
          <w:rFonts w:cstheme="minorHAnsi"/>
          <w:sz w:val="24"/>
        </w:rPr>
        <w:t>degradacją nawierzchni,  wąskie, często pozbawione pobocza drogi, brak dróg dojazdowych do stacji i przystanków kolejowych, widoczny szczególnie na terenach wiejski</w:t>
      </w:r>
      <w:r w:rsidR="00E554C1" w:rsidRPr="00800D30">
        <w:rPr>
          <w:rFonts w:cstheme="minorHAnsi"/>
          <w:sz w:val="24"/>
        </w:rPr>
        <w:t xml:space="preserve">ch </w:t>
      </w:r>
      <w:r w:rsidRPr="00800D30">
        <w:rPr>
          <w:rFonts w:cstheme="minorHAnsi"/>
          <w:sz w:val="24"/>
        </w:rPr>
        <w:t>oraz występowanie odcinków dróg o dużym natężeniu ruchu samochodowego,</w:t>
      </w:r>
      <w:r w:rsidR="00607657" w:rsidRPr="00800D30">
        <w:rPr>
          <w:rFonts w:cstheme="minorHAnsi"/>
          <w:sz w:val="24"/>
        </w:rPr>
        <w:t xml:space="preserve"> przede wszystkim w </w:t>
      </w:r>
      <w:r w:rsidRPr="00800D30">
        <w:rPr>
          <w:rFonts w:cstheme="minorHAnsi"/>
          <w:sz w:val="24"/>
        </w:rPr>
        <w:t xml:space="preserve">centrach miast i gmin, w sąsiedztwie obiektów użyteczności publicznej oraz na trasach wjazdowych do Wrocławia. Wszystkie te problemy stanowią niebezpieczeństwo szczególnie dla niechronionych uczestników ruchu, wpływają negatywnie na tabor i realizację przewozów transportem publicznym oraz przyczyniają się do powstania </w:t>
      </w:r>
      <w:r w:rsidR="00E8722F" w:rsidRPr="00800D30">
        <w:rPr>
          <w:color w:val="000000"/>
          <w:sz w:val="24"/>
        </w:rPr>
        <w:t>niskiej emisji i </w:t>
      </w:r>
      <w:r w:rsidRPr="00800D30">
        <w:rPr>
          <w:color w:val="000000"/>
          <w:sz w:val="24"/>
        </w:rPr>
        <w:t xml:space="preserve">zanieczyszczeń powietrza. </w:t>
      </w:r>
      <w:r w:rsidRPr="00800D30">
        <w:rPr>
          <w:rFonts w:cstheme="minorHAnsi"/>
          <w:sz w:val="24"/>
        </w:rPr>
        <w:t>Uniemożliwiają równie</w:t>
      </w:r>
      <w:r w:rsidR="00180408">
        <w:rPr>
          <w:rFonts w:cstheme="minorHAnsi"/>
          <w:sz w:val="24"/>
        </w:rPr>
        <w:t>ż odbywanie podróży łączonych z </w:t>
      </w:r>
      <w:r w:rsidRPr="00800D30">
        <w:rPr>
          <w:rFonts w:cstheme="minorHAnsi"/>
          <w:sz w:val="24"/>
        </w:rPr>
        <w:t xml:space="preserve">wykorzystaniem </w:t>
      </w:r>
      <w:r w:rsidR="00D9388D" w:rsidRPr="00800D30">
        <w:rPr>
          <w:rFonts w:cstheme="minorHAnsi"/>
          <w:sz w:val="24"/>
        </w:rPr>
        <w:t xml:space="preserve">np. </w:t>
      </w:r>
      <w:r w:rsidRPr="00800D30">
        <w:rPr>
          <w:rFonts w:cstheme="minorHAnsi"/>
          <w:sz w:val="24"/>
        </w:rPr>
        <w:t xml:space="preserve">transportu kolejowego, autobusowego, rowerowego. Dlatego konieczne jest </w:t>
      </w:r>
      <w:r w:rsidR="00E554C1" w:rsidRPr="00800D30">
        <w:rPr>
          <w:rFonts w:cstheme="minorHAnsi"/>
          <w:sz w:val="24"/>
        </w:rPr>
        <w:t>podjęcie</w:t>
      </w:r>
      <w:r w:rsidRPr="00800D30">
        <w:rPr>
          <w:rFonts w:cstheme="minorHAnsi"/>
          <w:sz w:val="24"/>
        </w:rPr>
        <w:t xml:space="preserve"> zintegrowanych działań w zakresie </w:t>
      </w:r>
      <w:r w:rsidR="009C6627" w:rsidRPr="00800D30">
        <w:rPr>
          <w:rFonts w:cstheme="minorHAnsi"/>
          <w:sz w:val="24"/>
        </w:rPr>
        <w:t xml:space="preserve">poprawy jakości i </w:t>
      </w:r>
      <w:r w:rsidRPr="00800D30">
        <w:rPr>
          <w:rFonts w:cstheme="minorHAnsi"/>
          <w:sz w:val="24"/>
        </w:rPr>
        <w:t>rozwoju sieci komunikacyjnej obszaru</w:t>
      </w:r>
      <w:r w:rsidR="009C6627" w:rsidRPr="00800D30">
        <w:rPr>
          <w:rFonts w:cstheme="minorHAnsi"/>
          <w:sz w:val="24"/>
        </w:rPr>
        <w:t>.</w:t>
      </w:r>
    </w:p>
    <w:p w:rsidR="006B7A3C" w:rsidRDefault="000178B1" w:rsidP="002F7A05">
      <w:pPr>
        <w:pStyle w:val="nadWrOF"/>
      </w:pPr>
      <w:bookmarkStart w:id="36" w:name="_Toc130466211"/>
      <w:bookmarkStart w:id="37" w:name="_Toc143606994"/>
      <w:r w:rsidRPr="00E613ED">
        <w:t xml:space="preserve">Mapa </w:t>
      </w:r>
      <w:r w:rsidR="00C73793">
        <w:fldChar w:fldCharType="begin"/>
      </w:r>
      <w:r w:rsidR="00E82203">
        <w:instrText xml:space="preserve"> SEQ Mapa \* ARABIC </w:instrText>
      </w:r>
      <w:r w:rsidR="00C73793">
        <w:fldChar w:fldCharType="separate"/>
      </w:r>
      <w:r w:rsidR="00C96A96">
        <w:rPr>
          <w:noProof/>
        </w:rPr>
        <w:t>5</w:t>
      </w:r>
      <w:r w:rsidR="00C73793">
        <w:fldChar w:fldCharType="end"/>
      </w:r>
      <w:r w:rsidRPr="00E613ED">
        <w:t xml:space="preserve"> Postulowane</w:t>
      </w:r>
      <w:r w:rsidR="00E8722F">
        <w:t xml:space="preserve"> </w:t>
      </w:r>
      <w:r w:rsidRPr="00E613ED">
        <w:t>w Planie zagospodaro</w:t>
      </w:r>
      <w:r w:rsidR="00750A76">
        <w:t>wania przestrzennego woj.</w:t>
      </w:r>
      <w:r w:rsidRPr="00E613ED">
        <w:t xml:space="preserve"> dolnośląskiego inwestycje komunikacyjne</w:t>
      </w:r>
      <w:bookmarkEnd w:id="36"/>
      <w:bookmarkEnd w:id="37"/>
    </w:p>
    <w:p w:rsidR="006B7A3C" w:rsidRDefault="006B7A3C" w:rsidP="00AB54CB">
      <w:pPr>
        <w:pStyle w:val="nadWrOF"/>
        <w:spacing w:before="0"/>
      </w:pPr>
      <w:r>
        <w:rPr>
          <w:noProof/>
          <w:lang w:eastAsia="pl-PL"/>
        </w:rPr>
        <w:drawing>
          <wp:inline distT="0" distB="0" distL="0" distR="0" wp14:anchorId="536C7B58" wp14:editId="03C4B4FE">
            <wp:extent cx="5753100" cy="4400550"/>
            <wp:effectExtent l="0" t="0" r="0" b="0"/>
            <wp:docPr id="3" name="Obraz 22" descr="Postulowane w Planie zagospodarowania przestrzennego woj. dolnośląskiego inwestycje komunikacyjne" title="Postulowane w Planie zagospodarowania przestrzennego woj. dolnośląskiego inwestycje komunikacyj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rOF_komunikacja_postulaty"/>
                    <pic:cNvPicPr>
                      <a:picLocks noChangeAspect="1" noChangeArrowheads="1"/>
                    </pic:cNvPicPr>
                  </pic:nvPicPr>
                  <pic:blipFill>
                    <a:blip r:embed="rId20" cstate="print"/>
                    <a:srcRect/>
                    <a:stretch>
                      <a:fillRect/>
                    </a:stretch>
                  </pic:blipFill>
                  <pic:spPr bwMode="auto">
                    <a:xfrm>
                      <a:off x="0" y="0"/>
                      <a:ext cx="5753100" cy="4400550"/>
                    </a:xfrm>
                    <a:prstGeom prst="rect">
                      <a:avLst/>
                    </a:prstGeom>
                    <a:noFill/>
                    <a:ln w="9525">
                      <a:noFill/>
                      <a:miter lim="800000"/>
                      <a:headEnd/>
                      <a:tailEnd/>
                    </a:ln>
                  </pic:spPr>
                </pic:pic>
              </a:graphicData>
            </a:graphic>
          </wp:inline>
        </w:drawing>
      </w:r>
    </w:p>
    <w:p w:rsidR="000178B1" w:rsidRPr="00E613ED" w:rsidRDefault="000178B1" w:rsidP="00800D30">
      <w:pPr>
        <w:pStyle w:val="nadWrOF"/>
      </w:pPr>
      <w:r w:rsidRPr="00E613ED">
        <w:t>Źródło: opracowanie własne na podstawie uchwały nr XIX/482/20 Sejmiku Województwa Dolnośląskiego z dnia 16 czerwca 2020 r</w:t>
      </w:r>
      <w:r w:rsidR="00B5036C">
        <w:t>.</w:t>
      </w:r>
      <w:r w:rsidR="00E8722F">
        <w:t xml:space="preserve"> </w:t>
      </w:r>
      <w:r w:rsidR="00B03815">
        <w:t xml:space="preserve">W zakresie KDP mapa jest zgodna z  danymi z sierpnia 2022r.  - </w:t>
      </w:r>
      <w:r w:rsidR="00B03815" w:rsidRPr="005A1A96">
        <w:t>Centralny Port Komunikacyjny wskazał  wybrany wariant inwestorski https://www.cpk.pl/pl/aktualnosci-2/nowa-linia-kolejowa-lodz-sieradz-wroclaw-cpk-przedstawia-wariant-inwestorski</w:t>
      </w:r>
    </w:p>
    <w:p w:rsidR="00A47A14" w:rsidRPr="00800D30" w:rsidRDefault="00C301C4" w:rsidP="00800D30">
      <w:pPr>
        <w:spacing w:before="240" w:after="0"/>
        <w:jc w:val="left"/>
        <w:rPr>
          <w:rFonts w:cstheme="minorHAnsi"/>
          <w:b/>
          <w:color w:val="000000" w:themeColor="text1"/>
          <w:sz w:val="24"/>
        </w:rPr>
      </w:pPr>
      <w:r w:rsidRPr="00800D30">
        <w:rPr>
          <w:rFonts w:cstheme="minorHAnsi"/>
          <w:b/>
          <w:color w:val="000000" w:themeColor="text1"/>
          <w:sz w:val="24"/>
        </w:rPr>
        <w:t>Sieć kolejowa</w:t>
      </w:r>
    </w:p>
    <w:p w:rsidR="0077224A" w:rsidRPr="00800D30" w:rsidRDefault="00B76684" w:rsidP="00800D30">
      <w:pPr>
        <w:jc w:val="left"/>
        <w:rPr>
          <w:rFonts w:cstheme="minorHAnsi"/>
          <w:color w:val="000000" w:themeColor="text1"/>
          <w:sz w:val="24"/>
        </w:rPr>
      </w:pPr>
      <w:r w:rsidRPr="00800D30">
        <w:rPr>
          <w:rFonts w:cstheme="minorHAnsi"/>
          <w:color w:val="000000" w:themeColor="text1"/>
          <w:sz w:val="24"/>
        </w:rPr>
        <w:t>Sieć połączeń kolejowych na terenie WrOF stanowią linie rangi międzynarod</w:t>
      </w:r>
      <w:r w:rsidR="00800D30">
        <w:rPr>
          <w:rFonts w:cstheme="minorHAnsi"/>
          <w:color w:val="000000" w:themeColor="text1"/>
          <w:sz w:val="24"/>
        </w:rPr>
        <w:t xml:space="preserve">owej, państwowej </w:t>
      </w:r>
      <w:r w:rsidRPr="00800D30">
        <w:rPr>
          <w:rFonts w:cstheme="minorHAnsi"/>
          <w:color w:val="000000" w:themeColor="text1"/>
          <w:sz w:val="24"/>
        </w:rPr>
        <w:t>i lokalnej. Największa liczba linii kolejowych przebiega przez Wrocław (12 linii), Siechnic</w:t>
      </w:r>
      <w:r w:rsidR="001B4A09" w:rsidRPr="00800D30">
        <w:rPr>
          <w:rFonts w:cstheme="minorHAnsi"/>
          <w:color w:val="000000" w:themeColor="text1"/>
          <w:sz w:val="24"/>
        </w:rPr>
        <w:t>e</w:t>
      </w:r>
      <w:r w:rsidRPr="00800D30">
        <w:rPr>
          <w:rFonts w:cstheme="minorHAnsi"/>
          <w:color w:val="000000" w:themeColor="text1"/>
          <w:sz w:val="24"/>
        </w:rPr>
        <w:t xml:space="preserve"> (4 linie), Oleśnic</w:t>
      </w:r>
      <w:r w:rsidR="001B4A09" w:rsidRPr="00800D30">
        <w:rPr>
          <w:rFonts w:cstheme="minorHAnsi"/>
          <w:color w:val="000000" w:themeColor="text1"/>
          <w:sz w:val="24"/>
        </w:rPr>
        <w:t>ę</w:t>
      </w:r>
      <w:r w:rsidRPr="00800D30">
        <w:rPr>
          <w:rFonts w:cstheme="minorHAnsi"/>
          <w:color w:val="000000" w:themeColor="text1"/>
          <w:sz w:val="24"/>
        </w:rPr>
        <w:t xml:space="preserve"> (gmina miejska i wiejska – 3 linie łącznie), pozostałe gminy posiadają dwie lub jedną linie kolejową. Wyjątek stanowi Zawonia, na terenie której nie ma infrastruktury kolejowej. Przez teren WrOF przebiegają następujące linie kolejowe: 132, 143, 181, 271, 273, 274, 275, 276, 277, 281, 285, 292, 326 i 349, z czego większość z nich (wyjątek stanowią linie o numerach: 181 i 281) rozpoczyna się lub kończy we Wrocławiu oraz wchodzi w skład Wrocławskiego Węzła Kolejowego. Wrocławski Węzeł Kolejow</w:t>
      </w:r>
      <w:r w:rsidR="00180408">
        <w:rPr>
          <w:rFonts w:cstheme="minorHAnsi"/>
          <w:color w:val="000000" w:themeColor="text1"/>
          <w:sz w:val="24"/>
        </w:rPr>
        <w:t>y jest punktem, w </w:t>
      </w:r>
      <w:r w:rsidRPr="00800D30">
        <w:rPr>
          <w:rFonts w:cstheme="minorHAnsi"/>
          <w:color w:val="000000" w:themeColor="text1"/>
          <w:sz w:val="24"/>
        </w:rPr>
        <w:t xml:space="preserve">którym skupiają się linie kolejowe z kierunku m.in. Kobierzyc, Legnicy, Głogowa, Oleśnicy czy Opola. Ponadto linie kolejowe nr 132, 271, 273, 275, 276 i 277 przebiegające przez WrOF wchodzą w skład Transeuropejskiej Sieci Transportowej (TEN-T), która poza liniami kolejowymi obejmuje również szlaki drogowe, lotnicze, morskie i rzeczne, jak również porty (morskie, lotnicze, śródlądowe) oraz terminale drogowo-kolejowe. Rozwijanie sieci TEN-T przyczyni się do wzrostu gospodarczego regionu oraz zwiększenia spójności terytorialnej, również w ujęciu europejskim. </w:t>
      </w:r>
      <w:r w:rsidR="0077224A" w:rsidRPr="00800D30">
        <w:rPr>
          <w:rFonts w:cstheme="minorHAnsi"/>
          <w:color w:val="000000" w:themeColor="text1"/>
          <w:sz w:val="24"/>
        </w:rPr>
        <w:t>Dla obszaru WrOF niezwykle istotne są wdrażane plany związane z powstaniem kolei dużych prędkości.  Centralny Port Komunikacyjny planuje wprowadzenie KDP jako część swojego projektu "igrek", który ma na celu poprawę połączeń kolejowych na terenie całego kraju. Nowa linia kolejowa łącząca Łódź, Sieradz i Wrocław pozwoli pociągom osiągać prędkości aż do 350 km/h. Wynika to z oczekiwanej zmiany części ruchu pasażerskiego z samochodów na bardziej ekologiczny transport kolejowy (głównie na trasie Wrocław – Warszawa, gdzie obecnie ruch odbywa się głównie przez drogę S8 – A1 –A2 ze względu na konkurencyjny czas przejazdu drogowego</w:t>
      </w:r>
      <w:r w:rsidR="00B103B8" w:rsidRPr="00800D30">
        <w:rPr>
          <w:rFonts w:cstheme="minorHAnsi"/>
          <w:color w:val="000000" w:themeColor="text1"/>
          <w:sz w:val="24"/>
        </w:rPr>
        <w:t xml:space="preserve"> w porównaniu do kolejowego), a </w:t>
      </w:r>
      <w:r w:rsidR="0077224A" w:rsidRPr="00800D30">
        <w:rPr>
          <w:rFonts w:cstheme="minorHAnsi"/>
          <w:color w:val="000000" w:themeColor="text1"/>
          <w:sz w:val="24"/>
        </w:rPr>
        <w:t>także z przewidywanego przeniesienia znacznej części transportu to</w:t>
      </w:r>
      <w:r w:rsidR="00320A03">
        <w:rPr>
          <w:rFonts w:cstheme="minorHAnsi"/>
          <w:color w:val="000000" w:themeColor="text1"/>
          <w:sz w:val="24"/>
        </w:rPr>
        <w:t>warowego z </w:t>
      </w:r>
      <w:r w:rsidR="00B103B8" w:rsidRPr="00800D30">
        <w:rPr>
          <w:rFonts w:cstheme="minorHAnsi"/>
          <w:color w:val="000000" w:themeColor="text1"/>
          <w:sz w:val="24"/>
        </w:rPr>
        <w:t>samochodów na </w:t>
      </w:r>
      <w:r w:rsidR="0077224A" w:rsidRPr="00800D30">
        <w:rPr>
          <w:rFonts w:cstheme="minorHAnsi"/>
          <w:color w:val="000000" w:themeColor="text1"/>
          <w:sz w:val="24"/>
        </w:rPr>
        <w:t>koleje. W tym kontekście, linia kolejowa nr 86 powinna umożli</w:t>
      </w:r>
      <w:r w:rsidR="00B103B8" w:rsidRPr="00800D30">
        <w:rPr>
          <w:rFonts w:cstheme="minorHAnsi"/>
          <w:color w:val="000000" w:themeColor="text1"/>
          <w:sz w:val="24"/>
        </w:rPr>
        <w:t>wić przewóz towarów pociągami z </w:t>
      </w:r>
      <w:r w:rsidR="0077224A" w:rsidRPr="00800D30">
        <w:rPr>
          <w:rFonts w:cstheme="minorHAnsi"/>
          <w:color w:val="000000" w:themeColor="text1"/>
          <w:sz w:val="24"/>
        </w:rPr>
        <w:t>większą prędkością niż dotychczas.</w:t>
      </w:r>
    </w:p>
    <w:p w:rsidR="00C17F87" w:rsidRPr="00800D30" w:rsidRDefault="00C17F87" w:rsidP="00800D30">
      <w:pPr>
        <w:spacing w:after="0"/>
        <w:jc w:val="left"/>
        <w:rPr>
          <w:rFonts w:cstheme="minorHAnsi"/>
          <w:b/>
          <w:color w:val="000000" w:themeColor="text1"/>
          <w:sz w:val="24"/>
        </w:rPr>
      </w:pPr>
      <w:r w:rsidRPr="00800D30">
        <w:rPr>
          <w:rFonts w:cstheme="minorHAnsi"/>
          <w:b/>
          <w:color w:val="000000" w:themeColor="text1"/>
          <w:sz w:val="24"/>
        </w:rPr>
        <w:t>Infrastruktura przesiadkowa i parkingowa</w:t>
      </w:r>
    </w:p>
    <w:p w:rsidR="00A47A14" w:rsidRPr="00800D30" w:rsidRDefault="00B76684" w:rsidP="00800D30">
      <w:pPr>
        <w:pStyle w:val="wyrsynt"/>
        <w:spacing w:before="0"/>
        <w:jc w:val="left"/>
        <w:rPr>
          <w:color w:val="000000" w:themeColor="text1"/>
          <w:sz w:val="24"/>
        </w:rPr>
      </w:pPr>
      <w:r w:rsidRPr="00800D30">
        <w:rPr>
          <w:b w:val="0"/>
          <w:color w:val="000000" w:themeColor="text1"/>
          <w:sz w:val="24"/>
        </w:rPr>
        <w:t>Ważnym elementem związanym z dostępnością komunikacyjną jest infrastruktura przesiadkowa i parkingowa. Stacje kolejowe i przystanki osobowe należą do podstawowych elementów infrastruktury kolejowej w ruchu pasażerskim. Na terenie gmin WrOF znajduje się łącznie 80 punktów wykorzystywanych w prowadzeniu ruchu pasażerskiego, w tym 28 stacji kolejowych oraz 52 przystanki osobowe</w:t>
      </w:r>
      <w:r w:rsidRPr="00800D30">
        <w:rPr>
          <w:b w:val="0"/>
          <w:color w:val="000000" w:themeColor="text1"/>
          <w:sz w:val="24"/>
          <w:vertAlign w:val="superscript"/>
        </w:rPr>
        <w:footnoteReference w:id="8"/>
      </w:r>
      <w:r w:rsidRPr="00800D30">
        <w:rPr>
          <w:b w:val="0"/>
          <w:color w:val="000000" w:themeColor="text1"/>
          <w:sz w:val="24"/>
        </w:rPr>
        <w:t>.</w:t>
      </w:r>
      <w:r w:rsidR="009C6627" w:rsidRPr="00800D30">
        <w:rPr>
          <w:b w:val="0"/>
          <w:color w:val="000000" w:themeColor="text1"/>
          <w:sz w:val="24"/>
        </w:rPr>
        <w:t>Rozwój obszaru powinien opierać się na rozwoju system</w:t>
      </w:r>
      <w:r w:rsidR="00607657" w:rsidRPr="00800D30">
        <w:rPr>
          <w:b w:val="0"/>
          <w:color w:val="000000" w:themeColor="text1"/>
          <w:sz w:val="24"/>
        </w:rPr>
        <w:t>u szynowego i jego integracji z </w:t>
      </w:r>
      <w:r w:rsidR="009C6627" w:rsidRPr="00800D30">
        <w:rPr>
          <w:b w:val="0"/>
          <w:color w:val="000000" w:themeColor="text1"/>
          <w:sz w:val="24"/>
        </w:rPr>
        <w:t xml:space="preserve">pozostałymi systemami transportowymi. </w:t>
      </w:r>
      <w:r w:rsidR="000178B1" w:rsidRPr="00800D30">
        <w:rPr>
          <w:b w:val="0"/>
          <w:color w:val="000000" w:themeColor="text1"/>
          <w:sz w:val="24"/>
        </w:rPr>
        <w:t>Zintegrowany rozwój systemu komunikacyjnego ściśle związany jest</w:t>
      </w:r>
      <w:r w:rsidR="00BD447D" w:rsidRPr="00800D30">
        <w:rPr>
          <w:b w:val="0"/>
          <w:color w:val="000000" w:themeColor="text1"/>
          <w:sz w:val="24"/>
        </w:rPr>
        <w:t xml:space="preserve"> także</w:t>
      </w:r>
      <w:r w:rsidR="000178B1" w:rsidRPr="00800D30">
        <w:rPr>
          <w:b w:val="0"/>
          <w:color w:val="000000" w:themeColor="text1"/>
          <w:sz w:val="24"/>
        </w:rPr>
        <w:t xml:space="preserve"> z występowaniem na obszarze parkingów Park&amp;Ride oraz Bike&amp;Ride. W połączeniu z funkcjonującymi centrami przesiadkowymi umożliwiają one łączenie podróży realizowanych środkami transportu indywidualnego (samochód, rower) z komunikacją zbiorową</w:t>
      </w:r>
      <w:r w:rsidR="000178B1" w:rsidRPr="00800D30">
        <w:rPr>
          <w:color w:val="000000" w:themeColor="text1"/>
          <w:sz w:val="24"/>
        </w:rPr>
        <w:t>.</w:t>
      </w:r>
    </w:p>
    <w:p w:rsidR="000178B1" w:rsidRPr="00B27A13" w:rsidRDefault="005B6A34" w:rsidP="005B6A34">
      <w:pPr>
        <w:pStyle w:val="nadWrOF"/>
      </w:pPr>
      <w:bookmarkStart w:id="38" w:name="_Toc125960040"/>
      <w:bookmarkStart w:id="39" w:name="_Toc143606959"/>
      <w:r>
        <w:t xml:space="preserve">Tabela </w:t>
      </w:r>
      <w:r w:rsidR="00C73793">
        <w:rPr>
          <w:noProof/>
        </w:rPr>
        <w:fldChar w:fldCharType="begin"/>
      </w:r>
      <w:r w:rsidR="00E82203">
        <w:rPr>
          <w:noProof/>
        </w:rPr>
        <w:instrText xml:space="preserve"> SEQ Tabela \* ARABIC </w:instrText>
      </w:r>
      <w:r w:rsidR="00C73793">
        <w:rPr>
          <w:noProof/>
        </w:rPr>
        <w:fldChar w:fldCharType="separate"/>
      </w:r>
      <w:r w:rsidR="00C96A96">
        <w:rPr>
          <w:noProof/>
        </w:rPr>
        <w:t>2</w:t>
      </w:r>
      <w:r w:rsidR="00C73793">
        <w:rPr>
          <w:noProof/>
        </w:rPr>
        <w:fldChar w:fldCharType="end"/>
      </w:r>
      <w:r w:rsidR="00702D7A">
        <w:rPr>
          <w:noProof/>
        </w:rPr>
        <w:t xml:space="preserve"> </w:t>
      </w:r>
      <w:r w:rsidR="000178B1" w:rsidRPr="00B27A13">
        <w:t>Nasycenie gmin WrOF miejscami postojowymi Park&amp;Ride oraz Bike&amp;Ride</w:t>
      </w:r>
      <w:bookmarkEnd w:id="38"/>
      <w:bookmarkEnd w:id="39"/>
    </w:p>
    <w:tbl>
      <w:tblPr>
        <w:tblW w:w="501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Nasycenie gmin WrOF miejscami postojowymi Park&amp;Ride oraz Bike&amp;Ride"/>
        <w:tblDescription w:val="Nasycenie gmin WrOF miejscami postojowymi Park&amp;Ride oraz Bike&amp;Ride"/>
      </w:tblPr>
      <w:tblGrid>
        <w:gridCol w:w="2569"/>
        <w:gridCol w:w="1565"/>
        <w:gridCol w:w="1563"/>
        <w:gridCol w:w="1694"/>
        <w:gridCol w:w="1698"/>
      </w:tblGrid>
      <w:tr w:rsidR="00800D30" w:rsidRPr="00800D30" w:rsidTr="00800D30">
        <w:trPr>
          <w:trHeight w:val="20"/>
          <w:tblHeader/>
        </w:trPr>
        <w:tc>
          <w:tcPr>
            <w:tcW w:w="1413" w:type="pct"/>
            <w:vMerge w:val="restart"/>
            <w:shd w:val="clear" w:color="auto" w:fill="auto"/>
            <w:noWrap/>
            <w:vAlign w:val="center"/>
          </w:tcPr>
          <w:p w:rsidR="00800D30" w:rsidRPr="00800D30" w:rsidRDefault="00800D30" w:rsidP="00800D30">
            <w:pPr>
              <w:spacing w:after="0" w:line="240" w:lineRule="auto"/>
              <w:jc w:val="left"/>
              <w:rPr>
                <w:rFonts w:eastAsia="Times New Roman" w:cstheme="minorHAnsi"/>
                <w:lang w:eastAsia="pl-PL"/>
              </w:rPr>
            </w:pPr>
            <w:r w:rsidRPr="00800D30">
              <w:rPr>
                <w:rFonts w:eastAsia="Times New Roman" w:cstheme="minorHAnsi"/>
                <w:lang w:eastAsia="pl-PL"/>
              </w:rPr>
              <w:t>Gmina</w:t>
            </w:r>
          </w:p>
        </w:tc>
        <w:tc>
          <w:tcPr>
            <w:tcW w:w="861" w:type="pct"/>
            <w:shd w:val="clear" w:color="auto" w:fill="auto"/>
            <w:vAlign w:val="center"/>
          </w:tcPr>
          <w:p w:rsidR="00800D30" w:rsidRPr="00800D30" w:rsidRDefault="00800D30" w:rsidP="00800D30">
            <w:pPr>
              <w:tabs>
                <w:tab w:val="left" w:pos="2070"/>
                <w:tab w:val="center" w:pos="3459"/>
              </w:tabs>
              <w:spacing w:after="0" w:line="240" w:lineRule="auto"/>
              <w:jc w:val="left"/>
              <w:rPr>
                <w:rFonts w:eastAsia="Times New Roman" w:cstheme="minorHAnsi"/>
                <w:lang w:eastAsia="pl-PL"/>
              </w:rPr>
            </w:pPr>
            <w:r w:rsidRPr="00800D30">
              <w:rPr>
                <w:rFonts w:eastAsia="Times New Roman" w:cstheme="minorHAnsi"/>
                <w:lang w:eastAsia="pl-PL"/>
              </w:rPr>
              <w:t>Rodzaj infrastruktury</w:t>
            </w:r>
          </w:p>
        </w:tc>
        <w:tc>
          <w:tcPr>
            <w:tcW w:w="860" w:type="pct"/>
            <w:shd w:val="clear" w:color="auto" w:fill="auto"/>
            <w:vAlign w:val="center"/>
          </w:tcPr>
          <w:p w:rsidR="00800D30" w:rsidRPr="00800D30" w:rsidRDefault="00800D30" w:rsidP="00800D30">
            <w:pPr>
              <w:tabs>
                <w:tab w:val="left" w:pos="2070"/>
                <w:tab w:val="center" w:pos="3459"/>
              </w:tabs>
              <w:spacing w:after="0" w:line="240" w:lineRule="auto"/>
              <w:jc w:val="left"/>
              <w:rPr>
                <w:rFonts w:eastAsia="Times New Roman" w:cstheme="minorHAnsi"/>
                <w:lang w:eastAsia="pl-PL"/>
              </w:rPr>
            </w:pPr>
            <w:r w:rsidRPr="00800D30">
              <w:rPr>
                <w:rFonts w:eastAsia="Times New Roman" w:cstheme="minorHAnsi"/>
                <w:lang w:eastAsia="pl-PL"/>
              </w:rPr>
              <w:t>Rodzaj infrastruktury</w:t>
            </w:r>
          </w:p>
        </w:tc>
        <w:tc>
          <w:tcPr>
            <w:tcW w:w="932" w:type="pct"/>
            <w:shd w:val="clear" w:color="auto" w:fill="auto"/>
            <w:vAlign w:val="center"/>
          </w:tcPr>
          <w:p w:rsidR="00800D30" w:rsidRPr="00800D30" w:rsidRDefault="00800D30" w:rsidP="00800D30">
            <w:pPr>
              <w:tabs>
                <w:tab w:val="left" w:pos="2070"/>
                <w:tab w:val="center" w:pos="3459"/>
              </w:tabs>
              <w:spacing w:after="0" w:line="240" w:lineRule="auto"/>
              <w:jc w:val="left"/>
              <w:rPr>
                <w:rFonts w:eastAsia="Times New Roman" w:cstheme="minorHAnsi"/>
                <w:lang w:eastAsia="pl-PL"/>
              </w:rPr>
            </w:pPr>
            <w:r w:rsidRPr="00800D30">
              <w:rPr>
                <w:rFonts w:eastAsia="Times New Roman" w:cstheme="minorHAnsi"/>
                <w:lang w:eastAsia="pl-PL"/>
              </w:rPr>
              <w:t>Rodzaj infrastruktury</w:t>
            </w:r>
          </w:p>
        </w:tc>
        <w:tc>
          <w:tcPr>
            <w:tcW w:w="934" w:type="pct"/>
            <w:shd w:val="clear" w:color="auto" w:fill="auto"/>
            <w:vAlign w:val="center"/>
          </w:tcPr>
          <w:p w:rsidR="00800D30" w:rsidRPr="00800D30" w:rsidRDefault="00800D30" w:rsidP="00800D30">
            <w:pPr>
              <w:tabs>
                <w:tab w:val="left" w:pos="2070"/>
                <w:tab w:val="center" w:pos="3459"/>
              </w:tabs>
              <w:spacing w:after="0" w:line="240" w:lineRule="auto"/>
              <w:jc w:val="left"/>
              <w:rPr>
                <w:rFonts w:eastAsia="Times New Roman" w:cstheme="minorHAnsi"/>
                <w:lang w:eastAsia="pl-PL"/>
              </w:rPr>
            </w:pPr>
            <w:r w:rsidRPr="00800D30">
              <w:rPr>
                <w:rFonts w:eastAsia="Times New Roman" w:cstheme="minorHAnsi"/>
                <w:lang w:eastAsia="pl-PL"/>
              </w:rPr>
              <w:t>Rodzaj infrastruktury</w:t>
            </w:r>
          </w:p>
        </w:tc>
      </w:tr>
      <w:tr w:rsidR="00800D30" w:rsidRPr="00800D30" w:rsidTr="00800D30">
        <w:trPr>
          <w:trHeight w:val="20"/>
          <w:tblHeader/>
        </w:trPr>
        <w:tc>
          <w:tcPr>
            <w:tcW w:w="1413" w:type="pct"/>
            <w:vMerge/>
            <w:shd w:val="clear" w:color="auto" w:fill="auto"/>
            <w:noWrap/>
            <w:vAlign w:val="center"/>
          </w:tcPr>
          <w:p w:rsidR="00800D30" w:rsidRPr="00800D30" w:rsidRDefault="00800D30" w:rsidP="00800D30">
            <w:pPr>
              <w:spacing w:after="0" w:line="240" w:lineRule="auto"/>
              <w:jc w:val="left"/>
              <w:rPr>
                <w:rFonts w:eastAsia="Times New Roman" w:cstheme="minorHAnsi"/>
                <w:lang w:eastAsia="pl-PL"/>
              </w:rPr>
            </w:pPr>
          </w:p>
        </w:tc>
        <w:tc>
          <w:tcPr>
            <w:tcW w:w="861" w:type="pct"/>
            <w:shd w:val="clear" w:color="auto" w:fill="auto"/>
            <w:vAlign w:val="center"/>
          </w:tcPr>
          <w:p w:rsidR="00800D30" w:rsidRPr="00800D30" w:rsidRDefault="00800D30" w:rsidP="00800D30">
            <w:pPr>
              <w:spacing w:after="0" w:line="240" w:lineRule="auto"/>
              <w:jc w:val="left"/>
              <w:rPr>
                <w:rFonts w:eastAsia="Times New Roman" w:cstheme="minorHAnsi"/>
                <w:lang w:eastAsia="pl-PL"/>
              </w:rPr>
            </w:pPr>
            <w:r w:rsidRPr="00800D30">
              <w:rPr>
                <w:rFonts w:eastAsia="Times New Roman" w:cstheme="minorHAnsi"/>
                <w:lang w:eastAsia="pl-PL"/>
              </w:rPr>
              <w:t>Park&amp;Ride</w:t>
            </w:r>
          </w:p>
        </w:tc>
        <w:tc>
          <w:tcPr>
            <w:tcW w:w="860" w:type="pct"/>
            <w:shd w:val="clear" w:color="auto" w:fill="auto"/>
            <w:vAlign w:val="center"/>
          </w:tcPr>
          <w:p w:rsidR="00800D30" w:rsidRPr="00800D30" w:rsidRDefault="00800D30" w:rsidP="00800D30">
            <w:pPr>
              <w:spacing w:after="0" w:line="240" w:lineRule="auto"/>
              <w:jc w:val="left"/>
              <w:rPr>
                <w:rFonts w:eastAsia="Times New Roman" w:cstheme="minorHAnsi"/>
                <w:lang w:eastAsia="pl-PL"/>
              </w:rPr>
            </w:pPr>
            <w:r w:rsidRPr="00800D30">
              <w:rPr>
                <w:rFonts w:eastAsia="Times New Roman" w:cstheme="minorHAnsi"/>
                <w:lang w:eastAsia="pl-PL"/>
              </w:rPr>
              <w:t>Park&amp;Ride</w:t>
            </w:r>
          </w:p>
        </w:tc>
        <w:tc>
          <w:tcPr>
            <w:tcW w:w="932" w:type="pct"/>
            <w:shd w:val="clear" w:color="auto" w:fill="auto"/>
            <w:vAlign w:val="center"/>
          </w:tcPr>
          <w:p w:rsidR="00800D30" w:rsidRPr="00800D30" w:rsidRDefault="00800D30" w:rsidP="00800D30">
            <w:pPr>
              <w:spacing w:after="0" w:line="240" w:lineRule="auto"/>
              <w:jc w:val="left"/>
              <w:rPr>
                <w:rFonts w:eastAsia="Times New Roman" w:cstheme="minorHAnsi"/>
                <w:lang w:eastAsia="pl-PL"/>
              </w:rPr>
            </w:pPr>
            <w:r w:rsidRPr="00800D30">
              <w:rPr>
                <w:rFonts w:eastAsia="Times New Roman" w:cstheme="minorHAnsi"/>
                <w:lang w:eastAsia="pl-PL"/>
              </w:rPr>
              <w:t>Bike&amp;Ride</w:t>
            </w:r>
          </w:p>
        </w:tc>
        <w:tc>
          <w:tcPr>
            <w:tcW w:w="934" w:type="pct"/>
            <w:shd w:val="clear" w:color="auto" w:fill="auto"/>
            <w:vAlign w:val="center"/>
          </w:tcPr>
          <w:p w:rsidR="00800D30" w:rsidRPr="00800D30" w:rsidRDefault="00800D30" w:rsidP="00800D30">
            <w:pPr>
              <w:spacing w:after="0" w:line="240" w:lineRule="auto"/>
              <w:jc w:val="left"/>
              <w:rPr>
                <w:rFonts w:eastAsia="Times New Roman" w:cstheme="minorHAnsi"/>
                <w:lang w:eastAsia="pl-PL"/>
              </w:rPr>
            </w:pPr>
            <w:r w:rsidRPr="00800D30">
              <w:rPr>
                <w:rFonts w:eastAsia="Times New Roman" w:cstheme="minorHAnsi"/>
                <w:lang w:eastAsia="pl-PL"/>
              </w:rPr>
              <w:t>Bike&amp;Ride</w:t>
            </w:r>
          </w:p>
        </w:tc>
      </w:tr>
      <w:tr w:rsidR="000178B1" w:rsidRPr="00800D30" w:rsidTr="00800D30">
        <w:trPr>
          <w:trHeight w:val="20"/>
          <w:tblHeader/>
        </w:trPr>
        <w:tc>
          <w:tcPr>
            <w:tcW w:w="1413" w:type="pct"/>
            <w:vMerge/>
            <w:shd w:val="clear" w:color="auto" w:fill="auto"/>
            <w:noWrap/>
            <w:vAlign w:val="center"/>
            <w:hideMark/>
          </w:tcPr>
          <w:p w:rsidR="000178B1" w:rsidRPr="00800D30" w:rsidRDefault="000178B1" w:rsidP="00800D30">
            <w:pPr>
              <w:spacing w:after="0" w:line="240" w:lineRule="auto"/>
              <w:jc w:val="left"/>
              <w:rPr>
                <w:rFonts w:eastAsia="Times New Roman" w:cstheme="minorHAnsi"/>
                <w:lang w:eastAsia="pl-PL"/>
              </w:rPr>
            </w:pPr>
          </w:p>
        </w:tc>
        <w:tc>
          <w:tcPr>
            <w:tcW w:w="861" w:type="pct"/>
            <w:shd w:val="clear" w:color="auto" w:fill="auto"/>
            <w:noWrap/>
            <w:vAlign w:val="center"/>
            <w:hideMark/>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Liczba parkingów</w:t>
            </w:r>
          </w:p>
        </w:tc>
        <w:tc>
          <w:tcPr>
            <w:tcW w:w="860" w:type="pct"/>
            <w:shd w:val="clear" w:color="auto" w:fill="auto"/>
            <w:noWrap/>
            <w:vAlign w:val="center"/>
            <w:hideMark/>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Liczba miejsc postojowych</w:t>
            </w:r>
          </w:p>
        </w:tc>
        <w:tc>
          <w:tcPr>
            <w:tcW w:w="932" w:type="pct"/>
            <w:shd w:val="clear" w:color="auto" w:fill="auto"/>
            <w:noWrap/>
            <w:vAlign w:val="center"/>
            <w:hideMark/>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Liczba parkingów</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Liczba miejsc postojowych</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Czernica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4</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90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3</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90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Długołęka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Dobroszyce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Jelcz-Laskowice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59</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40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Kąty Wrocławskie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130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30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Kobierzyce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22</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Miękinia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4</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144</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Oborniki Śląskie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3</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115</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Oleśnica (miasto)</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4</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195</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4</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60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Oleśni</w:t>
            </w:r>
            <w:r w:rsidR="00AB54CB" w:rsidRPr="00800D30">
              <w:rPr>
                <w:rFonts w:eastAsia="Times New Roman" w:cstheme="minorHAnsi"/>
                <w:lang w:eastAsia="pl-PL"/>
              </w:rPr>
              <w:t xml:space="preserve">ca </w:t>
            </w:r>
            <w:r w:rsidRPr="00800D30">
              <w:rPr>
                <w:rFonts w:eastAsia="Times New Roman" w:cstheme="minorHAnsi"/>
                <w:lang w:eastAsia="pl-PL"/>
              </w:rPr>
              <w:t>(gmina wiejska)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Oława (miasto)</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108</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130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Oława (gmina wiejska)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Siechnice</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159</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102</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Sobótka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Trzebnica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3</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79</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3</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51</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Wisznia Mała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Wrocław</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27</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2566</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28</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928</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Zawonia</w:t>
            </w:r>
          </w:p>
        </w:tc>
        <w:tc>
          <w:tcPr>
            <w:tcW w:w="861"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860"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2"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c>
          <w:tcPr>
            <w:tcW w:w="934" w:type="pct"/>
            <w:shd w:val="clear" w:color="auto" w:fill="auto"/>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0</w:t>
            </w:r>
          </w:p>
        </w:tc>
      </w:tr>
      <w:tr w:rsidR="000178B1" w:rsidRPr="00800D30" w:rsidTr="00800D30">
        <w:trPr>
          <w:trHeight w:val="227"/>
        </w:trPr>
        <w:tc>
          <w:tcPr>
            <w:tcW w:w="1413" w:type="pct"/>
            <w:shd w:val="clear" w:color="auto" w:fill="auto"/>
            <w:noWrap/>
            <w:vAlign w:val="center"/>
          </w:tcPr>
          <w:p w:rsidR="000178B1" w:rsidRPr="00800D30" w:rsidRDefault="000178B1" w:rsidP="00800D30">
            <w:pPr>
              <w:spacing w:after="0" w:line="240" w:lineRule="auto"/>
              <w:jc w:val="left"/>
              <w:rPr>
                <w:rFonts w:eastAsia="Times New Roman" w:cstheme="minorHAnsi"/>
                <w:lang w:eastAsia="pl-PL"/>
              </w:rPr>
            </w:pPr>
            <w:r w:rsidRPr="00800D30">
              <w:rPr>
                <w:rFonts w:eastAsia="Times New Roman" w:cstheme="minorHAnsi"/>
                <w:lang w:eastAsia="pl-PL"/>
              </w:rPr>
              <w:t>Żórawina</w:t>
            </w:r>
          </w:p>
        </w:tc>
        <w:tc>
          <w:tcPr>
            <w:tcW w:w="861" w:type="pct"/>
            <w:shd w:val="clear" w:color="auto" w:fill="auto"/>
            <w:noWrap/>
            <w:vAlign w:val="center"/>
          </w:tcPr>
          <w:p w:rsidR="000178B1" w:rsidRPr="00800D30" w:rsidRDefault="00A31ECC"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860" w:type="pct"/>
            <w:shd w:val="clear" w:color="auto" w:fill="auto"/>
            <w:noWrap/>
            <w:vAlign w:val="center"/>
          </w:tcPr>
          <w:p w:rsidR="000178B1" w:rsidRPr="00800D30" w:rsidRDefault="00A31ECC" w:rsidP="00800D30">
            <w:pPr>
              <w:spacing w:after="0" w:line="240" w:lineRule="auto"/>
              <w:jc w:val="left"/>
              <w:rPr>
                <w:rFonts w:eastAsia="Times New Roman" w:cstheme="minorHAnsi"/>
                <w:lang w:eastAsia="pl-PL"/>
              </w:rPr>
            </w:pPr>
            <w:r w:rsidRPr="00800D30">
              <w:rPr>
                <w:rFonts w:eastAsia="Times New Roman" w:cstheme="minorHAnsi"/>
                <w:lang w:eastAsia="pl-PL"/>
              </w:rPr>
              <w:t>15</w:t>
            </w:r>
          </w:p>
        </w:tc>
        <w:tc>
          <w:tcPr>
            <w:tcW w:w="932" w:type="pct"/>
            <w:shd w:val="clear" w:color="auto" w:fill="auto"/>
            <w:noWrap/>
            <w:vAlign w:val="center"/>
          </w:tcPr>
          <w:p w:rsidR="000178B1" w:rsidRPr="00800D30" w:rsidRDefault="00A31ECC" w:rsidP="00800D30">
            <w:pPr>
              <w:spacing w:after="0" w:line="240" w:lineRule="auto"/>
              <w:jc w:val="left"/>
              <w:rPr>
                <w:rFonts w:eastAsia="Times New Roman" w:cstheme="minorHAnsi"/>
                <w:lang w:eastAsia="pl-PL"/>
              </w:rPr>
            </w:pPr>
            <w:r w:rsidRPr="00800D30">
              <w:rPr>
                <w:rFonts w:eastAsia="Times New Roman" w:cstheme="minorHAnsi"/>
                <w:lang w:eastAsia="pl-PL"/>
              </w:rPr>
              <w:t>1</w:t>
            </w:r>
          </w:p>
        </w:tc>
        <w:tc>
          <w:tcPr>
            <w:tcW w:w="934" w:type="pct"/>
            <w:shd w:val="clear" w:color="auto" w:fill="auto"/>
            <w:vAlign w:val="center"/>
          </w:tcPr>
          <w:p w:rsidR="000178B1" w:rsidRPr="00800D30" w:rsidRDefault="00A31ECC" w:rsidP="00800D30">
            <w:pPr>
              <w:spacing w:after="0" w:line="240" w:lineRule="auto"/>
              <w:jc w:val="left"/>
              <w:rPr>
                <w:rFonts w:eastAsia="Times New Roman" w:cstheme="minorHAnsi"/>
                <w:lang w:eastAsia="pl-PL"/>
              </w:rPr>
            </w:pPr>
            <w:r w:rsidRPr="00800D30">
              <w:rPr>
                <w:rFonts w:eastAsia="Times New Roman" w:cstheme="minorHAnsi"/>
                <w:lang w:eastAsia="pl-PL"/>
              </w:rPr>
              <w:t>12</w:t>
            </w:r>
          </w:p>
        </w:tc>
      </w:tr>
    </w:tbl>
    <w:p w:rsidR="000178B1" w:rsidRPr="00B27A13" w:rsidRDefault="000178B1" w:rsidP="000178B1">
      <w:pPr>
        <w:pStyle w:val="PODWrof"/>
      </w:pPr>
      <w:r w:rsidRPr="00B27A13">
        <w:t xml:space="preserve">Źródło: </w:t>
      </w:r>
      <w:r w:rsidRPr="00753F6A">
        <w:t>opracowanie własne na podstawie danych udostępnionych przez gminy</w:t>
      </w:r>
      <w:r w:rsidR="009424DC">
        <w:t xml:space="preserve"> [stan na 31.12.2022]</w:t>
      </w:r>
    </w:p>
    <w:p w:rsidR="008B5689" w:rsidRPr="00800D30" w:rsidRDefault="00BD447D" w:rsidP="00800D30">
      <w:pPr>
        <w:jc w:val="left"/>
        <w:rPr>
          <w:rFonts w:cstheme="minorHAnsi"/>
          <w:sz w:val="24"/>
          <w:szCs w:val="24"/>
        </w:rPr>
      </w:pPr>
      <w:r w:rsidRPr="00800D30">
        <w:rPr>
          <w:rFonts w:cstheme="minorHAnsi"/>
          <w:sz w:val="24"/>
          <w:szCs w:val="24"/>
        </w:rPr>
        <w:t xml:space="preserve">System parkingów P&amp;R, B&amp;R, węzłów i centrów </w:t>
      </w:r>
      <w:r w:rsidR="008B5689" w:rsidRPr="00800D30">
        <w:rPr>
          <w:rFonts w:cstheme="minorHAnsi"/>
          <w:sz w:val="24"/>
          <w:szCs w:val="24"/>
        </w:rPr>
        <w:t xml:space="preserve"> przesiadkowych ma zachęcać do korzystania z </w:t>
      </w:r>
      <w:r w:rsidRPr="00800D30">
        <w:rPr>
          <w:rFonts w:cstheme="minorHAnsi"/>
          <w:sz w:val="24"/>
          <w:szCs w:val="24"/>
        </w:rPr>
        <w:t>transportu zbiorowego</w:t>
      </w:r>
      <w:r w:rsidR="008B5689" w:rsidRPr="00800D30">
        <w:rPr>
          <w:rFonts w:cstheme="minorHAnsi"/>
          <w:sz w:val="24"/>
          <w:szCs w:val="24"/>
        </w:rPr>
        <w:t>, co przełoży się na ograniczenie ruchu samochodowego oraz zmniejszenie nadmiernej emisji zanieczyszczeń do atmosfery. Jednym ze zidentyfikowanych</w:t>
      </w:r>
      <w:r w:rsidR="00AA395D" w:rsidRPr="00800D30">
        <w:rPr>
          <w:rFonts w:cstheme="minorHAnsi"/>
          <w:sz w:val="24"/>
          <w:szCs w:val="24"/>
        </w:rPr>
        <w:t xml:space="preserve"> </w:t>
      </w:r>
      <w:r w:rsidR="008B5689" w:rsidRPr="00800D30">
        <w:rPr>
          <w:rFonts w:cstheme="minorHAnsi"/>
          <w:sz w:val="24"/>
          <w:szCs w:val="24"/>
        </w:rPr>
        <w:t>wyzwań komunikacyjnych obszaru ZIT jest zmniejszenie codziennej, samochodowej migra</w:t>
      </w:r>
      <w:r w:rsidRPr="00800D30">
        <w:rPr>
          <w:rFonts w:cstheme="minorHAnsi"/>
          <w:sz w:val="24"/>
          <w:szCs w:val="24"/>
        </w:rPr>
        <w:t>cj</w:t>
      </w:r>
      <w:r w:rsidR="008B5689" w:rsidRPr="00800D30">
        <w:rPr>
          <w:rFonts w:cstheme="minorHAnsi"/>
          <w:sz w:val="24"/>
          <w:szCs w:val="24"/>
        </w:rPr>
        <w:t>i mieszkańców gmin ościennych do Wrocławia w godzinach porannych i pop</w:t>
      </w:r>
      <w:r w:rsidR="000F308F" w:rsidRPr="00800D30">
        <w:rPr>
          <w:rFonts w:cstheme="minorHAnsi"/>
          <w:sz w:val="24"/>
          <w:szCs w:val="24"/>
        </w:rPr>
        <w:t>o</w:t>
      </w:r>
      <w:r w:rsidR="008B5689" w:rsidRPr="00800D30">
        <w:rPr>
          <w:rFonts w:cstheme="minorHAnsi"/>
          <w:sz w:val="24"/>
          <w:szCs w:val="24"/>
        </w:rPr>
        <w:t xml:space="preserve">łudniowych  związana z dojazdem do i z pracy i placówek edukacyjnych. </w:t>
      </w:r>
      <w:r w:rsidR="00825BF1" w:rsidRPr="00800D30">
        <w:rPr>
          <w:rFonts w:cstheme="minorHAnsi"/>
          <w:sz w:val="24"/>
          <w:szCs w:val="24"/>
        </w:rPr>
        <w:t xml:space="preserve">Ponadto, </w:t>
      </w:r>
      <w:r w:rsidR="007B0621" w:rsidRPr="00800D30">
        <w:rPr>
          <w:rFonts w:cstheme="minorHAnsi"/>
          <w:sz w:val="24"/>
          <w:szCs w:val="24"/>
        </w:rPr>
        <w:t>wzrost znaczenia</w:t>
      </w:r>
      <w:r w:rsidR="00E8722F" w:rsidRPr="00800D30">
        <w:rPr>
          <w:rFonts w:cstheme="minorHAnsi"/>
          <w:sz w:val="24"/>
          <w:szCs w:val="24"/>
        </w:rPr>
        <w:t xml:space="preserve"> </w:t>
      </w:r>
      <w:r w:rsidR="00825BF1" w:rsidRPr="00800D30">
        <w:rPr>
          <w:rFonts w:cstheme="minorHAnsi"/>
          <w:sz w:val="24"/>
          <w:szCs w:val="24"/>
        </w:rPr>
        <w:t>podróży wykonywanych pieszo, rowerem, czy też urządzeniami transportu osobistego (UTO), przekłada się  na ciągły rozwój i doskonalenie infrastruktury</w:t>
      </w:r>
      <w:r w:rsidR="00E8722F" w:rsidRPr="00800D30">
        <w:rPr>
          <w:rFonts w:cstheme="minorHAnsi"/>
          <w:sz w:val="24"/>
          <w:szCs w:val="24"/>
        </w:rPr>
        <w:t xml:space="preserve"> </w:t>
      </w:r>
      <w:r w:rsidR="00825BF1" w:rsidRPr="00800D30">
        <w:rPr>
          <w:rFonts w:cstheme="minorHAnsi"/>
          <w:sz w:val="24"/>
          <w:szCs w:val="24"/>
        </w:rPr>
        <w:t xml:space="preserve">związanej z tymi środkami transportu.  </w:t>
      </w:r>
      <w:r w:rsidR="008B5689" w:rsidRPr="00800D30">
        <w:rPr>
          <w:rFonts w:cstheme="minorHAnsi"/>
          <w:sz w:val="24"/>
          <w:szCs w:val="24"/>
        </w:rPr>
        <w:t xml:space="preserve"> Mając na uwadze powyższe</w:t>
      </w:r>
      <w:r w:rsidR="004A2018" w:rsidRPr="00800D30">
        <w:rPr>
          <w:rFonts w:cstheme="minorHAnsi"/>
          <w:sz w:val="24"/>
          <w:szCs w:val="24"/>
        </w:rPr>
        <w:t>,</w:t>
      </w:r>
      <w:r w:rsidR="008B5689" w:rsidRPr="00800D30">
        <w:rPr>
          <w:rFonts w:cstheme="minorHAnsi"/>
          <w:sz w:val="24"/>
          <w:szCs w:val="24"/>
        </w:rPr>
        <w:t xml:space="preserve"> kluczowe </w:t>
      </w:r>
      <w:r w:rsidRPr="00800D30">
        <w:rPr>
          <w:rFonts w:cstheme="minorHAnsi"/>
          <w:sz w:val="24"/>
          <w:szCs w:val="24"/>
        </w:rPr>
        <w:t xml:space="preserve">dla </w:t>
      </w:r>
      <w:r w:rsidR="00A47A14" w:rsidRPr="00800D30">
        <w:rPr>
          <w:rFonts w:cstheme="minorHAnsi"/>
          <w:sz w:val="24"/>
          <w:szCs w:val="24"/>
        </w:rPr>
        <w:t>WrOF</w:t>
      </w:r>
      <w:r w:rsidR="008B5689" w:rsidRPr="00800D30">
        <w:rPr>
          <w:rFonts w:cstheme="minorHAnsi"/>
          <w:sz w:val="24"/>
          <w:szCs w:val="24"/>
        </w:rPr>
        <w:t xml:space="preserve"> jest zwiększenie liczby miejsc B&amp;R oraz P&amp;R oraz budowa i rozbudowa</w:t>
      </w:r>
      <w:r w:rsidR="00E8722F" w:rsidRPr="00800D30">
        <w:rPr>
          <w:rFonts w:cstheme="minorHAnsi"/>
          <w:sz w:val="24"/>
          <w:szCs w:val="24"/>
        </w:rPr>
        <w:t xml:space="preserve"> </w:t>
      </w:r>
      <w:r w:rsidRPr="00800D30">
        <w:rPr>
          <w:rFonts w:cstheme="minorHAnsi"/>
          <w:sz w:val="24"/>
          <w:szCs w:val="24"/>
        </w:rPr>
        <w:t>centrów/węzłów przesiadkowych. Kierunek ten jest zgodny</w:t>
      </w:r>
      <w:r w:rsidR="00E8722F" w:rsidRPr="00800D30">
        <w:rPr>
          <w:rFonts w:cstheme="minorHAnsi"/>
          <w:sz w:val="24"/>
          <w:szCs w:val="24"/>
        </w:rPr>
        <w:t xml:space="preserve"> </w:t>
      </w:r>
      <w:r w:rsidR="008B5689" w:rsidRPr="00800D30">
        <w:rPr>
          <w:rFonts w:cstheme="minorHAnsi"/>
          <w:sz w:val="24"/>
          <w:szCs w:val="24"/>
        </w:rPr>
        <w:t>z  </w:t>
      </w:r>
      <w:r w:rsidR="00DA27C5" w:rsidRPr="00800D30">
        <w:rPr>
          <w:rFonts w:cstheme="minorHAnsi"/>
          <w:sz w:val="24"/>
          <w:szCs w:val="24"/>
        </w:rPr>
        <w:t>r</w:t>
      </w:r>
      <w:r w:rsidR="008B5689" w:rsidRPr="00800D30">
        <w:rPr>
          <w:rFonts w:cstheme="minorHAnsi"/>
          <w:sz w:val="24"/>
          <w:szCs w:val="24"/>
        </w:rPr>
        <w:t xml:space="preserve">ekomendacjami </w:t>
      </w:r>
      <w:r w:rsidR="000F308F" w:rsidRPr="00800D30">
        <w:rPr>
          <w:rFonts w:cstheme="minorHAnsi"/>
          <w:sz w:val="24"/>
          <w:szCs w:val="24"/>
        </w:rPr>
        <w:t xml:space="preserve">zawartymi w </w:t>
      </w:r>
      <w:r w:rsidR="008B5689" w:rsidRPr="00800D30">
        <w:rPr>
          <w:rFonts w:cstheme="minorHAnsi"/>
          <w:sz w:val="24"/>
          <w:szCs w:val="24"/>
        </w:rPr>
        <w:t>Plan</w:t>
      </w:r>
      <w:r w:rsidR="00BC3424" w:rsidRPr="00800D30">
        <w:rPr>
          <w:rFonts w:cstheme="minorHAnsi"/>
          <w:sz w:val="24"/>
          <w:szCs w:val="24"/>
        </w:rPr>
        <w:t>ie</w:t>
      </w:r>
      <w:r w:rsidR="008B5689" w:rsidRPr="00800D30">
        <w:rPr>
          <w:rFonts w:cstheme="minorHAnsi"/>
          <w:sz w:val="24"/>
          <w:szCs w:val="24"/>
        </w:rPr>
        <w:t xml:space="preserve"> Zrównoważonej Mobilności dla M</w:t>
      </w:r>
      <w:r w:rsidR="00DA27C5" w:rsidRPr="00800D30">
        <w:rPr>
          <w:rFonts w:cstheme="minorHAnsi"/>
          <w:sz w:val="24"/>
          <w:szCs w:val="24"/>
        </w:rPr>
        <w:t>iejskiego Obszaru Funkcjonalnego Wrocławia (PZM MOFW)</w:t>
      </w:r>
      <w:r w:rsidR="008B5689" w:rsidRPr="00800D30">
        <w:rPr>
          <w:rFonts w:cstheme="minorHAnsi"/>
          <w:sz w:val="24"/>
          <w:szCs w:val="24"/>
        </w:rPr>
        <w:t>.</w:t>
      </w:r>
    </w:p>
    <w:p w:rsidR="00180408" w:rsidRDefault="00180408" w:rsidP="00800D30">
      <w:pPr>
        <w:spacing w:after="0"/>
        <w:jc w:val="left"/>
        <w:rPr>
          <w:rFonts w:cstheme="minorHAnsi"/>
          <w:b/>
          <w:color w:val="276E8B"/>
          <w:sz w:val="24"/>
          <w:szCs w:val="24"/>
        </w:rPr>
      </w:pPr>
      <w:r>
        <w:rPr>
          <w:rFonts w:cstheme="minorHAnsi"/>
          <w:b/>
          <w:color w:val="276E8B"/>
          <w:sz w:val="24"/>
          <w:szCs w:val="24"/>
        </w:rPr>
        <w:br w:type="page"/>
      </w:r>
    </w:p>
    <w:p w:rsidR="000178B1" w:rsidRPr="00180408" w:rsidRDefault="00B76684" w:rsidP="00800D30">
      <w:pPr>
        <w:spacing w:after="0"/>
        <w:jc w:val="left"/>
        <w:rPr>
          <w:rFonts w:cstheme="minorHAnsi"/>
          <w:b/>
          <w:color w:val="000000" w:themeColor="text1"/>
          <w:sz w:val="24"/>
          <w:szCs w:val="24"/>
        </w:rPr>
      </w:pPr>
      <w:r w:rsidRPr="00180408">
        <w:rPr>
          <w:rFonts w:cstheme="minorHAnsi"/>
          <w:b/>
          <w:color w:val="000000" w:themeColor="text1"/>
          <w:sz w:val="24"/>
          <w:szCs w:val="24"/>
        </w:rPr>
        <w:t>Cyfryzacja transportu</w:t>
      </w:r>
    </w:p>
    <w:p w:rsidR="008B5689" w:rsidRPr="00A47A14" w:rsidRDefault="008B5689" w:rsidP="00800D30">
      <w:pPr>
        <w:jc w:val="left"/>
      </w:pPr>
      <w:r w:rsidRPr="00800D30">
        <w:rPr>
          <w:sz w:val="24"/>
          <w:szCs w:val="24"/>
        </w:rPr>
        <w:t xml:space="preserve">Kolejnym aspektem związanym z rozwojem i integracją systemu transportu zbiorowego jest wykorzystanie </w:t>
      </w:r>
      <w:r w:rsidR="00A47A14" w:rsidRPr="00800D30">
        <w:rPr>
          <w:sz w:val="24"/>
          <w:szCs w:val="24"/>
        </w:rPr>
        <w:t xml:space="preserve">nowoczesnych narzędzi cyfrowych </w:t>
      </w:r>
      <w:r w:rsidRPr="00800D30">
        <w:rPr>
          <w:sz w:val="24"/>
          <w:szCs w:val="24"/>
        </w:rPr>
        <w:t xml:space="preserve">do m.in.  sterowania ruchem, zarządzania komunikacją zbiorową oraz </w:t>
      </w:r>
      <w:proofErr w:type="spellStart"/>
      <w:r w:rsidRPr="00800D30">
        <w:rPr>
          <w:sz w:val="24"/>
          <w:szCs w:val="24"/>
        </w:rPr>
        <w:t>uspójnienia</w:t>
      </w:r>
      <w:proofErr w:type="spellEnd"/>
      <w:r w:rsidRPr="00800D30">
        <w:rPr>
          <w:sz w:val="24"/>
          <w:szCs w:val="24"/>
        </w:rPr>
        <w:t xml:space="preserve"> systemu opłat za przejazd komunikacją publiczną (m.in. inteligentne systemy transportowe, jednolity system opłat, aplikacje do planowania podróży, monitoring i pomiary ruchu). Implementacja systemów zarządzania ruchem zoptymalizuje wykorzystanie sieci transportowych, jednocześnie przyczyniając się do zwiększenia poziomu bezpieczeństwa wszystkich uczestników ruchu, a stworzenie jednolitego i zintegrowanego systemu informacji pasażerskiej poprawi komfort podróży. Cyfryzacja pozwoli zoptymalizować poziom wykorzystania transportu publicznego oraz pomoże w identyfikacji obszarów problemowych</w:t>
      </w:r>
      <w:r w:rsidR="002F3FDC" w:rsidRPr="00800D30">
        <w:rPr>
          <w:sz w:val="24"/>
          <w:szCs w:val="24"/>
        </w:rPr>
        <w:t xml:space="preserve"> i </w:t>
      </w:r>
      <w:r w:rsidRPr="00800D30">
        <w:rPr>
          <w:sz w:val="24"/>
          <w:szCs w:val="24"/>
        </w:rPr>
        <w:t>preferencji mieszkańców, co przełoży się na sprawne zarządzanie ruchem. W kontekście rozwoju Inteligentnego Systemu Transportowe</w:t>
      </w:r>
      <w:r w:rsidR="00A47A14" w:rsidRPr="00800D30">
        <w:rPr>
          <w:sz w:val="24"/>
          <w:szCs w:val="24"/>
        </w:rPr>
        <w:t xml:space="preserve">go </w:t>
      </w:r>
      <w:r w:rsidR="005D3BF1" w:rsidRPr="00800D30">
        <w:rPr>
          <w:sz w:val="24"/>
          <w:szCs w:val="24"/>
        </w:rPr>
        <w:t>(ITS</w:t>
      </w:r>
      <w:r w:rsidR="004A2018" w:rsidRPr="00800D30">
        <w:rPr>
          <w:sz w:val="24"/>
          <w:szCs w:val="24"/>
        </w:rPr>
        <w:t xml:space="preserve">) </w:t>
      </w:r>
      <w:r w:rsidR="005D3BF1" w:rsidRPr="00800D30">
        <w:rPr>
          <w:sz w:val="24"/>
          <w:szCs w:val="24"/>
        </w:rPr>
        <w:t xml:space="preserve">należy m.in. </w:t>
      </w:r>
      <w:r w:rsidR="00A47A14" w:rsidRPr="00800D30">
        <w:rPr>
          <w:sz w:val="24"/>
          <w:szCs w:val="24"/>
        </w:rPr>
        <w:t xml:space="preserve">dążyć do agregacji i </w:t>
      </w:r>
      <w:r w:rsidRPr="00800D30">
        <w:rPr>
          <w:sz w:val="24"/>
          <w:szCs w:val="24"/>
        </w:rPr>
        <w:t>wykorzystania danych z systemów prowadzonych prz</w:t>
      </w:r>
      <w:r w:rsidR="00A47A14" w:rsidRPr="00800D30">
        <w:rPr>
          <w:sz w:val="24"/>
          <w:szCs w:val="24"/>
        </w:rPr>
        <w:t xml:space="preserve">ez interesariuszy zewnętrznych </w:t>
      </w:r>
      <w:r w:rsidRPr="00800D30">
        <w:rPr>
          <w:sz w:val="24"/>
          <w:szCs w:val="24"/>
        </w:rPr>
        <w:t>(np. Krajowy System Zarządzania Ruchem)</w:t>
      </w:r>
      <w:r w:rsidRPr="00800D30">
        <w:rPr>
          <w:rStyle w:val="Odwoanieprzypisudolnego"/>
          <w:sz w:val="24"/>
          <w:szCs w:val="24"/>
        </w:rPr>
        <w:footnoteReference w:id="9"/>
      </w:r>
      <w:r w:rsidRPr="00800D30">
        <w:rPr>
          <w:sz w:val="24"/>
          <w:szCs w:val="24"/>
        </w:rPr>
        <w:t>.</w:t>
      </w:r>
    </w:p>
    <w:p w:rsidR="00A47A14" w:rsidRPr="00800D30" w:rsidRDefault="000178B1" w:rsidP="00800D30">
      <w:pPr>
        <w:spacing w:before="240" w:after="0"/>
        <w:jc w:val="left"/>
        <w:rPr>
          <w:rFonts w:cstheme="minorHAnsi"/>
          <w:b/>
          <w:color w:val="000000" w:themeColor="text1"/>
          <w:sz w:val="36"/>
          <w:szCs w:val="32"/>
        </w:rPr>
      </w:pPr>
      <w:r w:rsidRPr="00800D30">
        <w:rPr>
          <w:rFonts w:cstheme="minorHAnsi"/>
          <w:b/>
          <w:color w:val="000000" w:themeColor="text1"/>
          <w:sz w:val="36"/>
          <w:szCs w:val="32"/>
        </w:rPr>
        <w:t xml:space="preserve">Transport </w:t>
      </w:r>
      <w:r w:rsidR="00C17F87" w:rsidRPr="00800D30">
        <w:rPr>
          <w:rFonts w:cstheme="minorHAnsi"/>
          <w:b/>
          <w:color w:val="000000" w:themeColor="text1"/>
          <w:sz w:val="36"/>
          <w:szCs w:val="32"/>
        </w:rPr>
        <w:t xml:space="preserve">zbiorowy </w:t>
      </w:r>
    </w:p>
    <w:p w:rsidR="00A47A14" w:rsidRPr="00800D30" w:rsidRDefault="004E738A" w:rsidP="00800D30">
      <w:pPr>
        <w:spacing w:after="0"/>
        <w:jc w:val="left"/>
        <w:rPr>
          <w:rFonts w:cstheme="minorHAnsi"/>
          <w:b/>
          <w:color w:val="000000" w:themeColor="text1"/>
          <w:sz w:val="24"/>
        </w:rPr>
      </w:pPr>
      <w:r w:rsidRPr="00800D30">
        <w:rPr>
          <w:rFonts w:cstheme="minorHAnsi"/>
          <w:b/>
          <w:color w:val="000000" w:themeColor="text1"/>
          <w:sz w:val="24"/>
        </w:rPr>
        <w:t xml:space="preserve">Komunikacja szynowa </w:t>
      </w:r>
    </w:p>
    <w:p w:rsidR="007D07F9" w:rsidRPr="00800D30" w:rsidRDefault="000178B1" w:rsidP="00800D30">
      <w:pPr>
        <w:jc w:val="left"/>
        <w:rPr>
          <w:rFonts w:cstheme="minorHAnsi"/>
          <w:b/>
          <w:color w:val="000000" w:themeColor="text1"/>
          <w:sz w:val="24"/>
        </w:rPr>
      </w:pPr>
      <w:r w:rsidRPr="00800D30">
        <w:rPr>
          <w:color w:val="000000" w:themeColor="text1"/>
          <w:sz w:val="24"/>
        </w:rPr>
        <w:t>Dostępność oferty transportu kolejowego w poszczególnych gminach WrOF jest zróżnicowana. Największa liczba połączeń do Wrocławia jest</w:t>
      </w:r>
      <w:r w:rsidR="00180408">
        <w:rPr>
          <w:color w:val="000000" w:themeColor="text1"/>
          <w:sz w:val="24"/>
        </w:rPr>
        <w:t xml:space="preserve"> z Oławy (miasto) – 47 kursów w </w:t>
      </w:r>
      <w:r w:rsidRPr="00800D30">
        <w:rPr>
          <w:color w:val="000000" w:themeColor="text1"/>
          <w:sz w:val="24"/>
        </w:rPr>
        <w:t>dni robocze, najniższa natomiast z Oleśnicy (gmina wiejska) – 4 kursy w dni robocze. Najkrótsz</w:t>
      </w:r>
      <w:r w:rsidR="00800D30">
        <w:rPr>
          <w:color w:val="000000" w:themeColor="text1"/>
          <w:sz w:val="24"/>
        </w:rPr>
        <w:t xml:space="preserve">y czas przejazdu </w:t>
      </w:r>
      <w:r w:rsidRPr="00800D30">
        <w:rPr>
          <w:color w:val="000000" w:themeColor="text1"/>
          <w:sz w:val="24"/>
        </w:rPr>
        <w:t xml:space="preserve">z poszczególnych gmin do rdzenia obszaru, waha się od 11 minut (Siechnice) do 52 minut (Sobótka). </w:t>
      </w:r>
      <w:r w:rsidRPr="00800D30">
        <w:rPr>
          <w:color w:val="000000" w:themeColor="text1"/>
          <w:sz w:val="24"/>
        </w:rPr>
        <w:br/>
        <w:t xml:space="preserve">W czerwcu 2022 roku otwarto (przywrócono) połączenie </w:t>
      </w:r>
      <w:r w:rsidR="00180408">
        <w:rPr>
          <w:color w:val="000000" w:themeColor="text1"/>
          <w:sz w:val="24"/>
        </w:rPr>
        <w:t>kolejowe z gminami Kobierzyce i </w:t>
      </w:r>
      <w:r w:rsidRPr="00800D30">
        <w:rPr>
          <w:color w:val="000000" w:themeColor="text1"/>
          <w:sz w:val="24"/>
        </w:rPr>
        <w:t>Sobótka</w:t>
      </w:r>
      <w:r w:rsidR="003F4EF9" w:rsidRPr="00800D30">
        <w:rPr>
          <w:color w:val="000000" w:themeColor="text1"/>
          <w:sz w:val="24"/>
        </w:rPr>
        <w:t>,</w:t>
      </w:r>
      <w:r w:rsidRPr="00800D30">
        <w:rPr>
          <w:color w:val="000000" w:themeColor="text1"/>
          <w:sz w:val="24"/>
        </w:rPr>
        <w:t xml:space="preserve"> oferując kilkanaście połączeń dziennie. Transport kolejowy na obszarze WrOF charakteryzuje także zróżnicowanie ze względu </w:t>
      </w:r>
      <w:r w:rsidR="00016FF2" w:rsidRPr="00800D30">
        <w:rPr>
          <w:color w:val="000000" w:themeColor="text1"/>
          <w:sz w:val="24"/>
        </w:rPr>
        <w:t xml:space="preserve">na </w:t>
      </w:r>
      <w:r w:rsidRPr="00800D30">
        <w:rPr>
          <w:color w:val="000000" w:themeColor="text1"/>
          <w:sz w:val="24"/>
        </w:rPr>
        <w:t>atr</w:t>
      </w:r>
      <w:r w:rsidR="00180408">
        <w:rPr>
          <w:color w:val="000000" w:themeColor="text1"/>
          <w:sz w:val="24"/>
        </w:rPr>
        <w:t>akcyjność oferty przewozowej. W </w:t>
      </w:r>
      <w:r w:rsidRPr="00800D30">
        <w:rPr>
          <w:color w:val="000000" w:themeColor="text1"/>
          <w:sz w:val="24"/>
        </w:rPr>
        <w:t>gminach, w których połączeń kolejowych jest dużo</w:t>
      </w:r>
      <w:r w:rsidR="003E6306" w:rsidRPr="00800D30">
        <w:rPr>
          <w:color w:val="000000" w:themeColor="text1"/>
          <w:sz w:val="24"/>
        </w:rPr>
        <w:t xml:space="preserve">, </w:t>
      </w:r>
      <w:r w:rsidRPr="00800D30">
        <w:rPr>
          <w:color w:val="000000" w:themeColor="text1"/>
          <w:sz w:val="24"/>
        </w:rPr>
        <w:t xml:space="preserve">godziny odjazdów są dostosowane do potrzeb </w:t>
      </w:r>
      <w:r w:rsidR="008B5689" w:rsidRPr="00800D30">
        <w:rPr>
          <w:color w:val="000000" w:themeColor="text1"/>
          <w:sz w:val="24"/>
        </w:rPr>
        <w:t>mieszkańców</w:t>
      </w:r>
      <w:r w:rsidR="003E6306" w:rsidRPr="00800D30">
        <w:rPr>
          <w:color w:val="000000" w:themeColor="text1"/>
          <w:sz w:val="24"/>
        </w:rPr>
        <w:t xml:space="preserve"> oraz</w:t>
      </w:r>
      <w:r w:rsidR="008B5689" w:rsidRPr="00800D30">
        <w:rPr>
          <w:color w:val="000000" w:themeColor="text1"/>
          <w:sz w:val="24"/>
        </w:rPr>
        <w:t xml:space="preserve"> czas przejazdu  trasy jest krótszy niż samochodem</w:t>
      </w:r>
      <w:r w:rsidR="003E6306" w:rsidRPr="00800D30">
        <w:rPr>
          <w:color w:val="000000" w:themeColor="text1"/>
          <w:sz w:val="24"/>
        </w:rPr>
        <w:t>,</w:t>
      </w:r>
      <w:r w:rsidR="008B5689" w:rsidRPr="00800D30">
        <w:rPr>
          <w:color w:val="000000" w:themeColor="text1"/>
          <w:sz w:val="24"/>
        </w:rPr>
        <w:t xml:space="preserve">  transport kolejowy jest chętnie wybierany przez pasażerów. </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Komunikacja zbiorowa we WrOF obejmuje także przewozy tramwajowe</w:t>
      </w:r>
      <w:r w:rsidR="002F7E6E" w:rsidRPr="00800D30">
        <w:rPr>
          <w:rFonts w:cstheme="minorHAnsi"/>
          <w:color w:val="000000" w:themeColor="text1"/>
          <w:sz w:val="24"/>
        </w:rPr>
        <w:t>,</w:t>
      </w:r>
      <w:r w:rsidRPr="00800D30">
        <w:rPr>
          <w:rFonts w:cstheme="minorHAnsi"/>
          <w:color w:val="000000" w:themeColor="text1"/>
          <w:sz w:val="24"/>
        </w:rPr>
        <w:t xml:space="preserve"> realizowane </w:t>
      </w:r>
      <w:r w:rsidR="00AA395D" w:rsidRPr="00800D30">
        <w:rPr>
          <w:rFonts w:cstheme="minorHAnsi"/>
          <w:color w:val="000000" w:themeColor="text1"/>
          <w:sz w:val="24"/>
        </w:rPr>
        <w:t>jedynie we </w:t>
      </w:r>
      <w:r w:rsidR="00857429" w:rsidRPr="00800D30">
        <w:rPr>
          <w:rFonts w:cstheme="minorHAnsi"/>
          <w:color w:val="000000" w:themeColor="text1"/>
          <w:sz w:val="24"/>
        </w:rPr>
        <w:t xml:space="preserve">Wrocławiu, </w:t>
      </w:r>
      <w:r w:rsidRPr="00800D30">
        <w:rPr>
          <w:rFonts w:cstheme="minorHAnsi"/>
          <w:color w:val="000000" w:themeColor="text1"/>
          <w:sz w:val="24"/>
        </w:rPr>
        <w:t>przez Miejskie Przedsiębiorstwo Komunikacyjne Sp. z o.o. we Wrocławiu</w:t>
      </w:r>
      <w:r w:rsidR="005662C2" w:rsidRPr="00800D30">
        <w:rPr>
          <w:rFonts w:cstheme="minorHAnsi"/>
          <w:color w:val="000000" w:themeColor="text1"/>
          <w:sz w:val="24"/>
        </w:rPr>
        <w:t xml:space="preserve"> (MPK Wrocław)</w:t>
      </w:r>
      <w:r w:rsidRPr="00800D30">
        <w:rPr>
          <w:rFonts w:cstheme="minorHAnsi"/>
          <w:color w:val="000000" w:themeColor="text1"/>
          <w:sz w:val="24"/>
        </w:rPr>
        <w:t>. Sieć tramwajową tworzą 23 linie komunikacyjne. M</w:t>
      </w:r>
      <w:r w:rsidR="00287BC8" w:rsidRPr="00800D30">
        <w:rPr>
          <w:rFonts w:cstheme="minorHAnsi"/>
          <w:color w:val="000000" w:themeColor="text1"/>
          <w:sz w:val="24"/>
        </w:rPr>
        <w:t>PK Wrocław</w:t>
      </w:r>
      <w:r w:rsidRPr="00800D30">
        <w:rPr>
          <w:rFonts w:cstheme="minorHAnsi"/>
          <w:color w:val="000000" w:themeColor="text1"/>
          <w:sz w:val="24"/>
        </w:rPr>
        <w:t xml:space="preserve"> dysponuje łącznie 336 wagonami (240 tramwajami). Aktualnie trwa proces modernizacji infrastruktury szynowej</w:t>
      </w:r>
      <w:r w:rsidR="00E03177" w:rsidRPr="00800D30">
        <w:rPr>
          <w:rFonts w:cstheme="minorHAnsi"/>
          <w:color w:val="000000" w:themeColor="text1"/>
          <w:sz w:val="24"/>
        </w:rPr>
        <w:t xml:space="preserve"> zwany </w:t>
      </w:r>
      <w:proofErr w:type="spellStart"/>
      <w:r w:rsidR="00E03177" w:rsidRPr="00800D30">
        <w:rPr>
          <w:rFonts w:cstheme="minorHAnsi"/>
          <w:color w:val="000000" w:themeColor="text1"/>
          <w:sz w:val="24"/>
        </w:rPr>
        <w:t>TORYwolucją</w:t>
      </w:r>
      <w:proofErr w:type="spellEnd"/>
      <w:r w:rsidRPr="00800D30">
        <w:rPr>
          <w:rStyle w:val="Odwoanieprzypisudolnego"/>
          <w:rFonts w:cstheme="minorHAnsi"/>
          <w:color w:val="000000" w:themeColor="text1"/>
          <w:sz w:val="24"/>
        </w:rPr>
        <w:footnoteReference w:id="10"/>
      </w:r>
      <w:r w:rsidRPr="00800D30">
        <w:rPr>
          <w:rFonts w:cstheme="minorHAnsi"/>
          <w:color w:val="000000" w:themeColor="text1"/>
          <w:sz w:val="24"/>
        </w:rPr>
        <w:t>.</w:t>
      </w:r>
    </w:p>
    <w:p w:rsidR="00794B7D" w:rsidRPr="00800D30" w:rsidRDefault="00794B7D" w:rsidP="00800D30">
      <w:pPr>
        <w:jc w:val="left"/>
        <w:rPr>
          <w:rFonts w:cstheme="minorHAnsi"/>
          <w:color w:val="000000" w:themeColor="text1"/>
          <w:sz w:val="24"/>
        </w:rPr>
      </w:pPr>
      <w:r w:rsidRPr="00800D30">
        <w:rPr>
          <w:rFonts w:cstheme="minorHAnsi"/>
          <w:color w:val="000000" w:themeColor="text1"/>
          <w:sz w:val="24"/>
        </w:rPr>
        <w:t>Obecnie system komunikacji tramwajowej we Wrocławiu cechuje się dwoma kluczowymi elementami. Po pierwsze, centrum miasta i większość peryferyjnych dzielnic są efe</w:t>
      </w:r>
      <w:r w:rsidR="00F258FA" w:rsidRPr="00800D30">
        <w:rPr>
          <w:rFonts w:cstheme="minorHAnsi"/>
          <w:color w:val="000000" w:themeColor="text1"/>
          <w:sz w:val="24"/>
        </w:rPr>
        <w:t>ktywnie połączone przez gęstą i </w:t>
      </w:r>
      <w:r w:rsidRPr="00800D30">
        <w:rPr>
          <w:rFonts w:cstheme="minorHAnsi"/>
          <w:color w:val="000000" w:themeColor="text1"/>
          <w:sz w:val="24"/>
        </w:rPr>
        <w:t>dobrze rozbudowaną sieć tramwajową. Po drugie, pomimo braku pętli tramwajowych na obrzeżach miasta, istnieje potencjał do stworzenia centrów przesiadkowych d</w:t>
      </w:r>
      <w:r w:rsidR="00F258FA" w:rsidRPr="00800D30">
        <w:rPr>
          <w:rFonts w:cstheme="minorHAnsi"/>
          <w:color w:val="000000" w:themeColor="text1"/>
          <w:sz w:val="24"/>
        </w:rPr>
        <w:t>la komunikacji podmiejskiej. Te </w:t>
      </w:r>
      <w:r w:rsidRPr="00800D30">
        <w:rPr>
          <w:rFonts w:cstheme="minorHAnsi"/>
          <w:color w:val="000000" w:themeColor="text1"/>
          <w:sz w:val="24"/>
        </w:rPr>
        <w:t>centra przesiadkowe mogłyby służyć do integracji różnych form transportu publicznego, w tym tramwajowego.</w:t>
      </w:r>
      <w:r w:rsidR="00AA395D" w:rsidRPr="00800D30">
        <w:rPr>
          <w:rFonts w:cstheme="minorHAnsi"/>
          <w:color w:val="000000" w:themeColor="text1"/>
          <w:sz w:val="24"/>
        </w:rPr>
        <w:t xml:space="preserve"> </w:t>
      </w:r>
      <w:r w:rsidR="00975A4B" w:rsidRPr="00800D30">
        <w:rPr>
          <w:rFonts w:cstheme="minorHAnsi"/>
          <w:color w:val="000000" w:themeColor="text1"/>
          <w:sz w:val="24"/>
        </w:rPr>
        <w:t>W ramach nowego planu inwestycyjnego</w:t>
      </w:r>
      <w:r w:rsidR="00923A4E" w:rsidRPr="00800D30">
        <w:rPr>
          <w:rFonts w:cstheme="minorHAnsi"/>
          <w:color w:val="000000" w:themeColor="text1"/>
          <w:sz w:val="24"/>
        </w:rPr>
        <w:t xml:space="preserve"> pn.</w:t>
      </w:r>
      <w:r w:rsidR="00975A4B" w:rsidRPr="00800D30">
        <w:rPr>
          <w:rFonts w:cstheme="minorHAnsi"/>
          <w:color w:val="000000" w:themeColor="text1"/>
          <w:sz w:val="24"/>
        </w:rPr>
        <w:t xml:space="preserve"> Wrocławski Program Tramwajowy</w:t>
      </w:r>
      <w:r w:rsidR="00180408">
        <w:rPr>
          <w:rFonts w:cstheme="minorHAnsi"/>
          <w:color w:val="000000" w:themeColor="text1"/>
          <w:sz w:val="24"/>
        </w:rPr>
        <w:t xml:space="preserve"> 2.0, planowane są inwestycje w </w:t>
      </w:r>
      <w:r w:rsidR="00975A4B" w:rsidRPr="00800D30">
        <w:rPr>
          <w:rFonts w:cstheme="minorHAnsi"/>
          <w:color w:val="000000" w:themeColor="text1"/>
          <w:sz w:val="24"/>
        </w:rPr>
        <w:t>zakresie nowych tras tramwajowych. Zrealizowanie Pl</w:t>
      </w:r>
      <w:r w:rsidR="00180408">
        <w:rPr>
          <w:rFonts w:cstheme="minorHAnsi"/>
          <w:color w:val="000000" w:themeColor="text1"/>
          <w:sz w:val="24"/>
        </w:rPr>
        <w:t>anu  wydłuży sieć tramwajową, a </w:t>
      </w:r>
      <w:r w:rsidR="00975A4B" w:rsidRPr="00800D30">
        <w:rPr>
          <w:rFonts w:cstheme="minorHAnsi"/>
          <w:color w:val="000000" w:themeColor="text1"/>
          <w:sz w:val="24"/>
        </w:rPr>
        <w:t>mieszkańcy osiedli zyskają dostępność do kolejnych przystanków, co stanowić będzie dla nich  nową ofertą podróżowania transportem zbiorowym.</w:t>
      </w:r>
      <w:r w:rsidR="00975A4B" w:rsidRPr="00800D30">
        <w:rPr>
          <w:rStyle w:val="Odwoanieprzypisudolnego"/>
          <w:rFonts w:cstheme="minorHAnsi"/>
          <w:color w:val="000000" w:themeColor="text1"/>
          <w:sz w:val="24"/>
        </w:rPr>
        <w:footnoteReference w:id="11"/>
      </w:r>
    </w:p>
    <w:p w:rsidR="00C301C4" w:rsidRPr="00800D30" w:rsidRDefault="004E738A" w:rsidP="00800D30">
      <w:pPr>
        <w:spacing w:before="240" w:after="0"/>
        <w:jc w:val="left"/>
        <w:rPr>
          <w:rFonts w:cstheme="minorHAnsi"/>
          <w:b/>
          <w:color w:val="000000" w:themeColor="text1"/>
          <w:sz w:val="24"/>
        </w:rPr>
      </w:pPr>
      <w:r w:rsidRPr="00800D30">
        <w:rPr>
          <w:rFonts w:cstheme="minorHAnsi"/>
          <w:b/>
          <w:color w:val="000000" w:themeColor="text1"/>
          <w:sz w:val="24"/>
        </w:rPr>
        <w:t xml:space="preserve">Komunikacja kołowa </w:t>
      </w:r>
    </w:p>
    <w:p w:rsidR="00FA04D6" w:rsidRPr="00800D30" w:rsidRDefault="00831754" w:rsidP="00800D30">
      <w:pPr>
        <w:jc w:val="left"/>
        <w:rPr>
          <w:color w:val="000000" w:themeColor="text1"/>
          <w:sz w:val="24"/>
        </w:rPr>
      </w:pPr>
      <w:r w:rsidRPr="00800D30">
        <w:rPr>
          <w:color w:val="000000" w:themeColor="text1"/>
          <w:sz w:val="24"/>
        </w:rPr>
        <w:t>Kolejnym analizowanym obszarem był transport autobusowy.</w:t>
      </w:r>
      <w:r w:rsidR="00AA395D" w:rsidRPr="00800D30">
        <w:rPr>
          <w:color w:val="000000" w:themeColor="text1"/>
          <w:sz w:val="24"/>
        </w:rPr>
        <w:t xml:space="preserve"> </w:t>
      </w:r>
      <w:r w:rsidRPr="00800D30">
        <w:rPr>
          <w:color w:val="000000" w:themeColor="text1"/>
          <w:sz w:val="24"/>
        </w:rPr>
        <w:t xml:space="preserve">Najmniejszą </w:t>
      </w:r>
      <w:r w:rsidR="00FA04D6" w:rsidRPr="00800D30">
        <w:rPr>
          <w:color w:val="000000" w:themeColor="text1"/>
          <w:sz w:val="24"/>
        </w:rPr>
        <w:t xml:space="preserve">dostępnością, rozumianą jako liczba połączeń autobusowych charakteryzują się </w:t>
      </w:r>
      <w:r w:rsidR="001224FF" w:rsidRPr="00800D30">
        <w:rPr>
          <w:color w:val="000000" w:themeColor="text1"/>
          <w:sz w:val="24"/>
        </w:rPr>
        <w:t xml:space="preserve">gminy: </w:t>
      </w:r>
      <w:r w:rsidR="00180408">
        <w:rPr>
          <w:color w:val="000000" w:themeColor="text1"/>
          <w:sz w:val="24"/>
        </w:rPr>
        <w:t>Oborniki Śląskie i </w:t>
      </w:r>
      <w:r w:rsidR="00FA04D6" w:rsidRPr="00800D30">
        <w:rPr>
          <w:color w:val="000000" w:themeColor="text1"/>
          <w:sz w:val="24"/>
        </w:rPr>
        <w:t>Zawonia. Liczba kursów organizowanych na ich obszarze zarówno w dni szkolne, jak i w dni robocze wolne od nauki szkolnej wynosiła mniej niż 25. Ponadto we wskazanych gminach oraz w</w:t>
      </w:r>
      <w:r w:rsidR="001224FF" w:rsidRPr="00800D30">
        <w:rPr>
          <w:color w:val="000000" w:themeColor="text1"/>
          <w:sz w:val="24"/>
        </w:rPr>
        <w:t xml:space="preserve"> gminie</w:t>
      </w:r>
      <w:r w:rsidR="00FA04D6" w:rsidRPr="00800D30">
        <w:rPr>
          <w:color w:val="000000" w:themeColor="text1"/>
          <w:sz w:val="24"/>
        </w:rPr>
        <w:t xml:space="preserve"> Dobroszyc</w:t>
      </w:r>
      <w:r w:rsidR="001224FF" w:rsidRPr="00800D30">
        <w:rPr>
          <w:color w:val="000000" w:themeColor="text1"/>
          <w:sz w:val="24"/>
        </w:rPr>
        <w:t>e</w:t>
      </w:r>
      <w:r w:rsidR="00AA395D" w:rsidRPr="00800D30">
        <w:rPr>
          <w:color w:val="000000" w:themeColor="text1"/>
          <w:sz w:val="24"/>
        </w:rPr>
        <w:t xml:space="preserve"> w </w:t>
      </w:r>
      <w:r w:rsidR="00FA04D6" w:rsidRPr="00800D30">
        <w:rPr>
          <w:color w:val="000000" w:themeColor="text1"/>
          <w:sz w:val="24"/>
        </w:rPr>
        <w:t xml:space="preserve">weekendy nie kursują żadne autobusy. </w:t>
      </w:r>
      <w:r w:rsidR="00FA04D6" w:rsidRPr="00800D30">
        <w:rPr>
          <w:rFonts w:cstheme="minorHAnsi"/>
          <w:color w:val="000000" w:themeColor="text1"/>
          <w:sz w:val="24"/>
        </w:rPr>
        <w:t xml:space="preserve">W wielu gminach liczba </w:t>
      </w:r>
      <w:r w:rsidR="00AA395D" w:rsidRPr="00800D30">
        <w:rPr>
          <w:rFonts w:cstheme="minorHAnsi"/>
          <w:color w:val="000000" w:themeColor="text1"/>
          <w:sz w:val="24"/>
        </w:rPr>
        <w:t>kursów jest niewielka, przez co </w:t>
      </w:r>
      <w:r w:rsidR="00FA04D6" w:rsidRPr="00800D30">
        <w:rPr>
          <w:rFonts w:cstheme="minorHAnsi"/>
          <w:color w:val="000000" w:themeColor="text1"/>
          <w:sz w:val="24"/>
        </w:rPr>
        <w:t>oferta przewozowa staje się nieatrakcyjna. Bardzo mała liczba lini</w:t>
      </w:r>
      <w:r w:rsidR="00AA395D" w:rsidRPr="00800D30">
        <w:rPr>
          <w:rFonts w:cstheme="minorHAnsi"/>
          <w:color w:val="000000" w:themeColor="text1"/>
          <w:sz w:val="24"/>
        </w:rPr>
        <w:t>i komunikacyjnych kursujących w </w:t>
      </w:r>
      <w:r w:rsidR="00FA04D6" w:rsidRPr="00800D30">
        <w:rPr>
          <w:rFonts w:cstheme="minorHAnsi"/>
          <w:color w:val="000000" w:themeColor="text1"/>
          <w:sz w:val="24"/>
        </w:rPr>
        <w:t>obrębie gminy połączona z niską częstotliwością kursowania i niedostosowanymi godzinami odjazdów uniemożliwia dojazd do miejsc pracy</w:t>
      </w:r>
      <w:r w:rsidR="005659C6" w:rsidRPr="00800D30">
        <w:rPr>
          <w:rFonts w:cstheme="minorHAnsi"/>
          <w:color w:val="000000" w:themeColor="text1"/>
          <w:sz w:val="24"/>
        </w:rPr>
        <w:t>,</w:t>
      </w:r>
      <w:r w:rsidR="00FA04D6" w:rsidRPr="00800D30">
        <w:rPr>
          <w:rFonts w:cstheme="minorHAnsi"/>
          <w:color w:val="000000" w:themeColor="text1"/>
          <w:sz w:val="24"/>
        </w:rPr>
        <w:t xml:space="preserve"> nauki, urzędów gmin, ośrodków zdrowia, placówek handlowych, innych punktów wymiany pasażerów (np. stacji kolejowych).</w:t>
      </w:r>
    </w:p>
    <w:p w:rsidR="00FA04D6" w:rsidRPr="00800D30" w:rsidRDefault="000178B1" w:rsidP="00800D30">
      <w:pPr>
        <w:jc w:val="left"/>
        <w:rPr>
          <w:color w:val="000000" w:themeColor="text1"/>
          <w:sz w:val="24"/>
        </w:rPr>
      </w:pPr>
      <w:r w:rsidRPr="00800D30">
        <w:rPr>
          <w:rFonts w:cstheme="minorHAnsi"/>
          <w:color w:val="000000" w:themeColor="text1"/>
          <w:sz w:val="24"/>
        </w:rPr>
        <w:t>Z uwagi na intensywny rozwój urbanistyczny, w tym procesy suburbanizacji, kluczowy jest rozwój komunikacji zbiorowej, w szczególności na obszarach wiejskich, a także dostosowanie godzin kursowania i częstotliwości do potrzeb oraz oczekiwań mieszkańców. Główny rodzaj transportu zbiorowego na obszarze WrOF powinny tworzyć połączenia szynowe, tzn. kolejowe oraz dodatkowo na terenie Wrocławia tramwajowe. Zgodnie z możliwościami inwestycyjnymi, linie komunikacyjne tramwajowe we Wrocławiu powinny być wydłużone do granic miasta. Ze względu m.in. na aspekty środowiskowe, komunikacja autobusowa powinna stanowić uzupełnienie linii komunikacji szynowej, czyli docierać do tych miejsc, gdzie transport szynowy dotrzeć już nie może. W gminach, w których brak jest transportu szynowego, to transport autobusowy powinien być głównym środkiem transportu</w:t>
      </w:r>
      <w:r w:rsidRPr="00800D30">
        <w:rPr>
          <w:rStyle w:val="Odwoanieprzypisudolnego"/>
          <w:rFonts w:cstheme="minorHAnsi"/>
          <w:color w:val="000000" w:themeColor="text1"/>
          <w:sz w:val="24"/>
        </w:rPr>
        <w:footnoteReference w:id="12"/>
      </w:r>
      <w:r w:rsidRPr="00800D30">
        <w:rPr>
          <w:rFonts w:cstheme="minorHAnsi"/>
          <w:color w:val="000000" w:themeColor="text1"/>
          <w:sz w:val="24"/>
        </w:rPr>
        <w:t>.</w:t>
      </w:r>
      <w:r w:rsidR="00FA04D6" w:rsidRPr="00800D30">
        <w:rPr>
          <w:color w:val="000000" w:themeColor="text1"/>
          <w:sz w:val="24"/>
        </w:rPr>
        <w:t xml:space="preserve"> Zoptymalizowanie siatk</w:t>
      </w:r>
      <w:r w:rsidR="00923A4E" w:rsidRPr="00800D30">
        <w:rPr>
          <w:color w:val="000000" w:themeColor="text1"/>
          <w:sz w:val="24"/>
        </w:rPr>
        <w:t>i połączeń transportu szynowego</w:t>
      </w:r>
      <w:r w:rsidR="00FA04D6" w:rsidRPr="00800D30">
        <w:rPr>
          <w:color w:val="000000" w:themeColor="text1"/>
          <w:sz w:val="24"/>
        </w:rPr>
        <w:t xml:space="preserve"> i autobusowego</w:t>
      </w:r>
      <w:r w:rsidR="00923A4E" w:rsidRPr="00800D30">
        <w:rPr>
          <w:color w:val="000000" w:themeColor="text1"/>
          <w:sz w:val="24"/>
        </w:rPr>
        <w:t>,</w:t>
      </w:r>
      <w:r w:rsidR="00FA04D6" w:rsidRPr="00800D30">
        <w:rPr>
          <w:color w:val="000000" w:themeColor="text1"/>
          <w:sz w:val="24"/>
        </w:rPr>
        <w:t xml:space="preserve"> przełożenie jej na </w:t>
      </w:r>
      <w:r w:rsidR="00331AC9" w:rsidRPr="00800D30">
        <w:rPr>
          <w:color w:val="000000" w:themeColor="text1"/>
          <w:sz w:val="24"/>
        </w:rPr>
        <w:t xml:space="preserve">zintegrowany </w:t>
      </w:r>
      <w:r w:rsidR="00FA04D6" w:rsidRPr="00800D30">
        <w:rPr>
          <w:color w:val="000000" w:themeColor="text1"/>
          <w:sz w:val="24"/>
        </w:rPr>
        <w:t>schemat komunikacji jest jednym z ważnych ki</w:t>
      </w:r>
      <w:r w:rsidR="00AA395D" w:rsidRPr="00800D30">
        <w:rPr>
          <w:color w:val="000000" w:themeColor="text1"/>
          <w:sz w:val="24"/>
        </w:rPr>
        <w:t>erunków działań na obszarze ZIT</w:t>
      </w:r>
      <w:r w:rsidR="00FA04D6" w:rsidRPr="00800D30">
        <w:rPr>
          <w:color w:val="000000" w:themeColor="text1"/>
          <w:sz w:val="24"/>
        </w:rPr>
        <w:t xml:space="preserve">.  </w:t>
      </w:r>
    </w:p>
    <w:p w:rsidR="008E70A9" w:rsidRPr="00800D30" w:rsidRDefault="008E70A9" w:rsidP="00800D30">
      <w:pPr>
        <w:spacing w:before="240" w:after="0"/>
        <w:jc w:val="left"/>
        <w:rPr>
          <w:rFonts w:cstheme="minorHAnsi"/>
          <w:b/>
          <w:color w:val="000000" w:themeColor="text1"/>
          <w:sz w:val="24"/>
        </w:rPr>
      </w:pPr>
      <w:r w:rsidRPr="00800D30">
        <w:rPr>
          <w:rFonts w:cstheme="minorHAnsi"/>
          <w:b/>
          <w:color w:val="000000" w:themeColor="text1"/>
          <w:sz w:val="24"/>
        </w:rPr>
        <w:t xml:space="preserve">Transport lotniczy </w:t>
      </w:r>
    </w:p>
    <w:p w:rsidR="008E70A9" w:rsidRPr="00800D30" w:rsidRDefault="008E70A9" w:rsidP="00800D30">
      <w:pPr>
        <w:jc w:val="left"/>
        <w:rPr>
          <w:color w:val="000000" w:themeColor="text1"/>
          <w:sz w:val="24"/>
        </w:rPr>
      </w:pPr>
      <w:r w:rsidRPr="00800D30">
        <w:rPr>
          <w:rFonts w:cs="Calibri"/>
          <w:color w:val="000000" w:themeColor="text1"/>
          <w:sz w:val="24"/>
        </w:rPr>
        <w:t xml:space="preserve">Wpływ na dostępność zewnętrzną obszaru ma obecność międzynarodowego portu lotniczego (Port </w:t>
      </w:r>
      <w:r w:rsidR="00E6548D" w:rsidRPr="00800D30">
        <w:rPr>
          <w:rFonts w:cs="Calibri"/>
          <w:color w:val="000000" w:themeColor="text1"/>
          <w:sz w:val="24"/>
        </w:rPr>
        <w:t>L</w:t>
      </w:r>
      <w:r w:rsidRPr="00800D30">
        <w:rPr>
          <w:rFonts w:cs="Calibri"/>
          <w:color w:val="000000" w:themeColor="text1"/>
          <w:sz w:val="24"/>
        </w:rPr>
        <w:t>otniczy Wrocław S.A.). Znajduje się on w południowo-zachodniej części Wrocławia. Dojazd do lotniska możliwy jest dzięki Auto</w:t>
      </w:r>
      <w:r w:rsidR="00180408">
        <w:rPr>
          <w:rFonts w:cs="Calibri"/>
          <w:color w:val="000000" w:themeColor="text1"/>
          <w:sz w:val="24"/>
        </w:rPr>
        <w:t>stradowej Obwodnicy Wrocławia w </w:t>
      </w:r>
      <w:r w:rsidRPr="00800D30">
        <w:rPr>
          <w:rFonts w:cs="Calibri"/>
          <w:color w:val="000000" w:themeColor="text1"/>
          <w:sz w:val="24"/>
        </w:rPr>
        <w:t>ciągu drogi A8, która posiada połączenie z drogami S5</w:t>
      </w:r>
      <w:r w:rsidRPr="00800D30">
        <w:rPr>
          <w:rStyle w:val="Odwoanieprzypisudolnego"/>
          <w:rFonts w:cs="Calibri"/>
          <w:color w:val="000000" w:themeColor="text1"/>
          <w:sz w:val="24"/>
        </w:rPr>
        <w:footnoteReference w:id="13"/>
      </w:r>
      <w:r w:rsidR="00E6548D" w:rsidRPr="00800D30">
        <w:rPr>
          <w:rFonts w:cs="Calibri"/>
          <w:color w:val="000000" w:themeColor="text1"/>
          <w:sz w:val="24"/>
        </w:rPr>
        <w:t xml:space="preserve">, </w:t>
      </w:r>
      <w:r w:rsidRPr="00800D30">
        <w:rPr>
          <w:rFonts w:cs="Calibri"/>
          <w:color w:val="000000" w:themeColor="text1"/>
          <w:sz w:val="24"/>
        </w:rPr>
        <w:t>S8</w:t>
      </w:r>
      <w:r w:rsidRPr="00800D30">
        <w:rPr>
          <w:rStyle w:val="Odwoanieprzypisudolnego"/>
          <w:rFonts w:cs="Calibri"/>
          <w:color w:val="000000" w:themeColor="text1"/>
          <w:sz w:val="24"/>
        </w:rPr>
        <w:footnoteReference w:id="14"/>
      </w:r>
      <w:r w:rsidRPr="00800D30">
        <w:rPr>
          <w:rFonts w:cs="Calibri"/>
          <w:color w:val="000000" w:themeColor="text1"/>
          <w:sz w:val="24"/>
        </w:rPr>
        <w:t>, autostradą A4 oraz DK8. Ponadto dotarcie do portu lotniczego możliwe jest również przy wykorzystaniu autobusów komunikacji miejskiej, które obsługiwane są przez Miejskie Przedsiębiorstwo Komunikacji we Wrocławiu Sp. z o.o. Obecność lotniska stanowi istotny zasób i potencjał dla WrOF oraz wpływa na wzmocnienie jego rangi w strukturze osadniczej kraju.</w:t>
      </w:r>
    </w:p>
    <w:p w:rsidR="000178B1" w:rsidRPr="00800D30" w:rsidRDefault="000178B1" w:rsidP="00800D30">
      <w:pPr>
        <w:spacing w:before="240" w:after="0"/>
        <w:jc w:val="left"/>
        <w:rPr>
          <w:rFonts w:cstheme="minorHAnsi"/>
          <w:b/>
          <w:color w:val="000000" w:themeColor="text1"/>
          <w:sz w:val="24"/>
        </w:rPr>
      </w:pPr>
      <w:r w:rsidRPr="00800D30">
        <w:rPr>
          <w:rFonts w:cstheme="minorHAnsi"/>
          <w:b/>
          <w:color w:val="000000" w:themeColor="text1"/>
          <w:sz w:val="24"/>
        </w:rPr>
        <w:t>Transport wodny</w:t>
      </w:r>
    </w:p>
    <w:p w:rsidR="00522D0C" w:rsidRPr="00800D30" w:rsidRDefault="000178B1" w:rsidP="00800D30">
      <w:pPr>
        <w:jc w:val="left"/>
        <w:rPr>
          <w:color w:val="000000" w:themeColor="text1"/>
          <w:sz w:val="24"/>
        </w:rPr>
      </w:pPr>
      <w:r w:rsidRPr="00800D30">
        <w:rPr>
          <w:color w:val="000000" w:themeColor="text1"/>
          <w:sz w:val="24"/>
        </w:rPr>
        <w:t xml:space="preserve">Elementem wodnej sieci transportowej we WrOF jest Odrzańska Droga Wodna, będąca śródlądowym szlakiem żeglugowym. W jej granicach, na terenie Wrocławia, w obrębie Wrocławskiego Węzła Wodnego, przebiegają trzy drogi wodne: Wrocławski Szlak Główny, Miejska Droga Wodna </w:t>
      </w:r>
      <w:r w:rsidRPr="00800D30">
        <w:rPr>
          <w:color w:val="000000" w:themeColor="text1"/>
          <w:sz w:val="24"/>
        </w:rPr>
        <w:br/>
        <w:t>i Mieszczańska Droga Wodna. Wrocławski Węzeł Wodny jest systemem dróg wodnych, który tworzą sztuczne kanały, dopływy Odry oraz budowle i urządzenia hydrotechniczne. Jest największym w Polsce i jednym z największych w Europie systemem dróg wodnych. Drogi wodne na obszarze WrOF wchodzą w skład Europejskiej Drogi Wodnej E–30 łączącej Morze Bałtyckie w Świnoujściu z Dunajem</w:t>
      </w:r>
      <w:r w:rsidRPr="00800D30">
        <w:rPr>
          <w:color w:val="000000" w:themeColor="text1"/>
          <w:sz w:val="24"/>
        </w:rPr>
        <w:br/>
        <w:t xml:space="preserve">w Bratysławie. Wśród znaczących przedsięwzięć wskazuje się utworzenie korytarza wodnego </w:t>
      </w:r>
      <w:r w:rsidRPr="00800D30">
        <w:rPr>
          <w:color w:val="000000" w:themeColor="text1"/>
          <w:sz w:val="24"/>
        </w:rPr>
        <w:br/>
        <w:t xml:space="preserve">o długości około 550 km łączącego Odrę, Dunaj i Łabę, przebiegającego przez Polskę, Czechy, Słowację i Austrię. Rzeka Odra we Wrocławiu pełni różne funkcje </w:t>
      </w:r>
      <w:r w:rsidR="00FA04D6" w:rsidRPr="00800D30">
        <w:rPr>
          <w:color w:val="000000" w:themeColor="text1"/>
          <w:sz w:val="24"/>
        </w:rPr>
        <w:t>m.in.</w:t>
      </w:r>
      <w:r w:rsidRPr="00800D30">
        <w:rPr>
          <w:color w:val="000000" w:themeColor="text1"/>
          <w:sz w:val="24"/>
        </w:rPr>
        <w:t xml:space="preserve"> transportową</w:t>
      </w:r>
      <w:r w:rsidR="00FA04D6" w:rsidRPr="00800D30">
        <w:rPr>
          <w:color w:val="000000" w:themeColor="text1"/>
          <w:sz w:val="24"/>
        </w:rPr>
        <w:t xml:space="preserve"> i</w:t>
      </w:r>
      <w:r w:rsidR="00180408">
        <w:rPr>
          <w:color w:val="000000" w:themeColor="text1"/>
          <w:sz w:val="24"/>
        </w:rPr>
        <w:t> </w:t>
      </w:r>
      <w:r w:rsidRPr="00800D30">
        <w:rPr>
          <w:color w:val="000000" w:themeColor="text1"/>
          <w:sz w:val="24"/>
        </w:rPr>
        <w:t xml:space="preserve">rekreacyjną . </w:t>
      </w:r>
      <w:r w:rsidR="00607657" w:rsidRPr="00800D30">
        <w:rPr>
          <w:color w:val="000000" w:themeColor="text1"/>
          <w:sz w:val="24"/>
        </w:rPr>
        <w:t>Obecnie w </w:t>
      </w:r>
      <w:r w:rsidR="00FA04D6" w:rsidRPr="00800D30">
        <w:rPr>
          <w:color w:val="000000" w:themeColor="text1"/>
          <w:sz w:val="24"/>
        </w:rPr>
        <w:t xml:space="preserve">fazie koncepcyjnej jest </w:t>
      </w:r>
      <w:r w:rsidR="00E554C1" w:rsidRPr="00800D30">
        <w:rPr>
          <w:color w:val="000000" w:themeColor="text1"/>
          <w:sz w:val="24"/>
        </w:rPr>
        <w:t>uru</w:t>
      </w:r>
      <w:r w:rsidR="00FA04D6" w:rsidRPr="00800D30">
        <w:rPr>
          <w:color w:val="000000" w:themeColor="text1"/>
          <w:sz w:val="24"/>
        </w:rPr>
        <w:t>chomienie na Odrze tramwaju wodnego na terenie Wrocławia, z opcją przedłużenia do sąsiednich gmin. Rozbudowa Odrzańskiej Drogi Wodnej stanowi istotny potencjał rozwojowy dla obszaru</w:t>
      </w:r>
      <w:r w:rsidR="00A47A14" w:rsidRPr="00800D30">
        <w:rPr>
          <w:color w:val="000000" w:themeColor="text1"/>
          <w:sz w:val="24"/>
        </w:rPr>
        <w:t xml:space="preserve"> ZIT</w:t>
      </w:r>
      <w:r w:rsidR="00256121" w:rsidRPr="00800D30">
        <w:rPr>
          <w:color w:val="000000" w:themeColor="text1"/>
          <w:sz w:val="24"/>
        </w:rPr>
        <w:t>.</w:t>
      </w:r>
    </w:p>
    <w:p w:rsidR="000178B1" w:rsidRPr="00800D30" w:rsidRDefault="000178B1" w:rsidP="00800D30">
      <w:pPr>
        <w:spacing w:before="240" w:after="0"/>
        <w:jc w:val="left"/>
        <w:rPr>
          <w:rFonts w:cstheme="minorHAnsi"/>
          <w:b/>
          <w:color w:val="000000" w:themeColor="text1"/>
          <w:sz w:val="24"/>
        </w:rPr>
      </w:pPr>
      <w:r w:rsidRPr="00800D30">
        <w:rPr>
          <w:rFonts w:cstheme="minorHAnsi"/>
          <w:b/>
          <w:color w:val="000000" w:themeColor="text1"/>
          <w:sz w:val="24"/>
        </w:rPr>
        <w:t>Transport rowerowy</w:t>
      </w:r>
    </w:p>
    <w:p w:rsidR="00FA04D6" w:rsidRPr="00800D30" w:rsidRDefault="000178B1" w:rsidP="00800D30">
      <w:pPr>
        <w:jc w:val="left"/>
        <w:rPr>
          <w:color w:val="000000" w:themeColor="text1"/>
          <w:sz w:val="24"/>
        </w:rPr>
      </w:pPr>
      <w:r w:rsidRPr="00800D30">
        <w:rPr>
          <w:color w:val="000000" w:themeColor="text1"/>
          <w:sz w:val="24"/>
        </w:rPr>
        <w:t>Transport rowerowy na obszarze WrOF pełni funkcję komunikacyjną, związaną z przejazdami realizowanymi m.in. do miejsc pracy lub placówek oświaty oraz rekreacyjną, która obejmuje przejazdy w celach turystycznych. Długość dróg rowerowych</w:t>
      </w:r>
      <w:r w:rsidRPr="00800D30">
        <w:rPr>
          <w:rStyle w:val="Odwoanieprzypisudolnego"/>
          <w:rFonts w:cstheme="minorHAnsi"/>
          <w:color w:val="000000" w:themeColor="text1"/>
          <w:sz w:val="24"/>
        </w:rPr>
        <w:footnoteReference w:id="15"/>
      </w:r>
      <w:r w:rsidRPr="00800D30">
        <w:rPr>
          <w:color w:val="000000" w:themeColor="text1"/>
          <w:sz w:val="24"/>
        </w:rPr>
        <w:t xml:space="preserve">  na terenie WrO</w:t>
      </w:r>
      <w:r w:rsidR="00E554C1" w:rsidRPr="00800D30">
        <w:rPr>
          <w:color w:val="000000" w:themeColor="text1"/>
          <w:sz w:val="24"/>
        </w:rPr>
        <w:t xml:space="preserve">F w 2021 r. wynosiła 417,7 km. </w:t>
      </w:r>
      <w:r w:rsidRPr="00800D30">
        <w:rPr>
          <w:color w:val="000000" w:themeColor="text1"/>
          <w:sz w:val="24"/>
        </w:rPr>
        <w:t>W</w:t>
      </w:r>
      <w:r w:rsidR="00607657" w:rsidRPr="00800D30">
        <w:rPr>
          <w:color w:val="000000" w:themeColor="text1"/>
          <w:sz w:val="24"/>
        </w:rPr>
        <w:t> </w:t>
      </w:r>
      <w:r w:rsidRPr="00800D30">
        <w:rPr>
          <w:color w:val="000000" w:themeColor="text1"/>
          <w:sz w:val="24"/>
        </w:rPr>
        <w:t>porównaniu do 2017 r. (319,9 km) odnotowano wzrost o blisko 31%. Drogi rowerowe nie występują na terenie gmin: Dobroszyce, Oława</w:t>
      </w:r>
      <w:r w:rsidR="00180408">
        <w:rPr>
          <w:color w:val="000000" w:themeColor="text1"/>
          <w:sz w:val="24"/>
        </w:rPr>
        <w:t xml:space="preserve"> (gmina wiejska) i </w:t>
      </w:r>
      <w:r w:rsidRPr="00800D30">
        <w:rPr>
          <w:color w:val="000000" w:themeColor="text1"/>
          <w:sz w:val="24"/>
        </w:rPr>
        <w:t>Zawonia. Najdłuższą sieć dróg rowerowych (ponad 280 km</w:t>
      </w:r>
      <w:r w:rsidR="00FA04D6" w:rsidRPr="00800D30">
        <w:rPr>
          <w:color w:val="000000" w:themeColor="text1"/>
          <w:sz w:val="24"/>
        </w:rPr>
        <w:t>)</w:t>
      </w:r>
      <w:r w:rsidRPr="00800D30">
        <w:rPr>
          <w:color w:val="000000" w:themeColor="text1"/>
          <w:sz w:val="24"/>
        </w:rPr>
        <w:t xml:space="preserve"> wybudowano we Wrocławiu. Spośród pozostałych gmin w obszarze funkcjonalnym najbardziej rozwinięta sieć dróg rowerowych znajduje się w: Oleśnicy (miasto – 26,9km), Siechnicach (17,2 km), Trzebnicy (16,4 km), Oławie (miasto</w:t>
      </w:r>
      <w:r w:rsidR="00AA395D" w:rsidRPr="00800D30">
        <w:rPr>
          <w:color w:val="000000" w:themeColor="text1"/>
          <w:sz w:val="24"/>
        </w:rPr>
        <w:t xml:space="preserve"> – 13,4 km</w:t>
      </w:r>
      <w:r w:rsidRPr="00800D30">
        <w:rPr>
          <w:color w:val="000000" w:themeColor="text1"/>
          <w:sz w:val="24"/>
        </w:rPr>
        <w:t xml:space="preserve">) oraz Kobierzycach </w:t>
      </w:r>
      <w:r w:rsidR="00E554C1" w:rsidRPr="00800D30">
        <w:rPr>
          <w:color w:val="000000" w:themeColor="text1"/>
          <w:sz w:val="24"/>
        </w:rPr>
        <w:t>(10,8</w:t>
      </w:r>
      <w:r w:rsidR="00AA395D" w:rsidRPr="00800D30">
        <w:rPr>
          <w:color w:val="000000" w:themeColor="text1"/>
          <w:sz w:val="24"/>
        </w:rPr>
        <w:t xml:space="preserve"> </w:t>
      </w:r>
      <w:r w:rsidR="00E554C1" w:rsidRPr="00800D30">
        <w:rPr>
          <w:color w:val="000000" w:themeColor="text1"/>
          <w:sz w:val="24"/>
        </w:rPr>
        <w:t xml:space="preserve">km). Średnia długość dróg </w:t>
      </w:r>
      <w:r w:rsidRPr="00800D30">
        <w:rPr>
          <w:color w:val="000000" w:themeColor="text1"/>
          <w:sz w:val="24"/>
        </w:rPr>
        <w:t>we WrOF na 100 km</w:t>
      </w:r>
      <w:r w:rsidRPr="00800D30">
        <w:rPr>
          <w:color w:val="000000" w:themeColor="text1"/>
          <w:sz w:val="24"/>
          <w:vertAlign w:val="superscript"/>
        </w:rPr>
        <w:t>2</w:t>
      </w:r>
      <w:r w:rsidRPr="00800D30">
        <w:rPr>
          <w:color w:val="000000" w:themeColor="text1"/>
          <w:sz w:val="24"/>
        </w:rPr>
        <w:t xml:space="preserve"> w 2021 r. wynos</w:t>
      </w:r>
      <w:r w:rsidR="00AA395D" w:rsidRPr="00800D30">
        <w:rPr>
          <w:color w:val="000000" w:themeColor="text1"/>
          <w:sz w:val="24"/>
        </w:rPr>
        <w:t>iła 14,7 km (o 3,5 więcej niż w </w:t>
      </w:r>
      <w:r w:rsidRPr="00800D30">
        <w:rPr>
          <w:color w:val="000000" w:themeColor="text1"/>
          <w:sz w:val="24"/>
        </w:rPr>
        <w:t>2017 r.).</w:t>
      </w:r>
    </w:p>
    <w:p w:rsidR="00FA04D6" w:rsidRPr="00800D30" w:rsidRDefault="00FA04D6" w:rsidP="00800D30">
      <w:pPr>
        <w:jc w:val="left"/>
        <w:rPr>
          <w:color w:val="000000" w:themeColor="text1"/>
          <w:sz w:val="24"/>
        </w:rPr>
      </w:pPr>
      <w:r w:rsidRPr="00800D30">
        <w:rPr>
          <w:color w:val="000000" w:themeColor="text1"/>
          <w:sz w:val="24"/>
        </w:rPr>
        <w:t>Analiza systemu infrastruktury row</w:t>
      </w:r>
      <w:r w:rsidR="006367DC" w:rsidRPr="00800D30">
        <w:rPr>
          <w:color w:val="000000" w:themeColor="text1"/>
          <w:sz w:val="24"/>
        </w:rPr>
        <w:t>e</w:t>
      </w:r>
      <w:r w:rsidRPr="00800D30">
        <w:rPr>
          <w:color w:val="000000" w:themeColor="text1"/>
          <w:sz w:val="24"/>
        </w:rPr>
        <w:t xml:space="preserve">rowej wykazała </w:t>
      </w:r>
      <w:r w:rsidR="006367DC" w:rsidRPr="00800D30">
        <w:rPr>
          <w:color w:val="000000" w:themeColor="text1"/>
          <w:sz w:val="24"/>
        </w:rPr>
        <w:t xml:space="preserve">m.in. </w:t>
      </w:r>
      <w:r w:rsidRPr="00800D30">
        <w:rPr>
          <w:color w:val="000000" w:themeColor="text1"/>
          <w:sz w:val="24"/>
        </w:rPr>
        <w:t>k</w:t>
      </w:r>
      <w:r w:rsidR="000178B1" w:rsidRPr="00800D30">
        <w:rPr>
          <w:color w:val="000000" w:themeColor="text1"/>
          <w:sz w:val="24"/>
        </w:rPr>
        <w:t xml:space="preserve">onieczność </w:t>
      </w:r>
      <w:r w:rsidR="006367DC" w:rsidRPr="00800D30">
        <w:rPr>
          <w:color w:val="000000" w:themeColor="text1"/>
          <w:sz w:val="24"/>
        </w:rPr>
        <w:t xml:space="preserve">kontynuacji </w:t>
      </w:r>
      <w:r w:rsidR="00FE7D81" w:rsidRPr="00800D30">
        <w:rPr>
          <w:color w:val="000000" w:themeColor="text1"/>
          <w:sz w:val="24"/>
        </w:rPr>
        <w:t>rozwoju</w:t>
      </w:r>
      <w:r w:rsidR="00AA395D" w:rsidRPr="00800D30">
        <w:rPr>
          <w:color w:val="000000" w:themeColor="text1"/>
          <w:sz w:val="24"/>
        </w:rPr>
        <w:t xml:space="preserve"> </w:t>
      </w:r>
      <w:r w:rsidR="000178B1" w:rsidRPr="00800D30">
        <w:rPr>
          <w:color w:val="000000" w:themeColor="text1"/>
          <w:sz w:val="24"/>
        </w:rPr>
        <w:t>ciągów pieszo-rowerowych</w:t>
      </w:r>
      <w:r w:rsidRPr="00800D30">
        <w:rPr>
          <w:color w:val="000000" w:themeColor="text1"/>
          <w:sz w:val="24"/>
        </w:rPr>
        <w:t xml:space="preserve"> oraz dróg i tras dla rowerów</w:t>
      </w:r>
      <w:r w:rsidR="00AA395D" w:rsidRPr="00800D30">
        <w:rPr>
          <w:color w:val="000000" w:themeColor="text1"/>
          <w:sz w:val="24"/>
        </w:rPr>
        <w:t xml:space="preserve"> </w:t>
      </w:r>
      <w:r w:rsidR="006450AD" w:rsidRPr="00800D30">
        <w:rPr>
          <w:color w:val="000000" w:themeColor="text1"/>
          <w:sz w:val="24"/>
        </w:rPr>
        <w:t xml:space="preserve">wraz z </w:t>
      </w:r>
      <w:r w:rsidR="00447650" w:rsidRPr="00800D30">
        <w:rPr>
          <w:color w:val="000000" w:themeColor="text1"/>
          <w:sz w:val="24"/>
        </w:rPr>
        <w:t>niezbędną infrastrukturą</w:t>
      </w:r>
      <w:r w:rsidR="00607657" w:rsidRPr="00800D30">
        <w:rPr>
          <w:color w:val="000000" w:themeColor="text1"/>
          <w:sz w:val="24"/>
        </w:rPr>
        <w:t xml:space="preserve"> np. parkingami, w </w:t>
      </w:r>
      <w:r w:rsidR="006450AD" w:rsidRPr="00800D30">
        <w:rPr>
          <w:color w:val="000000" w:themeColor="text1"/>
          <w:sz w:val="24"/>
        </w:rPr>
        <w:t>tym  B&amp;R.</w:t>
      </w:r>
      <w:r w:rsidR="000178B1" w:rsidRPr="00800D30">
        <w:rPr>
          <w:color w:val="000000" w:themeColor="text1"/>
          <w:sz w:val="24"/>
        </w:rPr>
        <w:t xml:space="preserve"> Rozwój </w:t>
      </w:r>
      <w:r w:rsidR="006367DC" w:rsidRPr="00800D30">
        <w:rPr>
          <w:color w:val="000000" w:themeColor="text1"/>
          <w:sz w:val="24"/>
        </w:rPr>
        <w:t xml:space="preserve">ciągów pieszo-rowerowych </w:t>
      </w:r>
      <w:r w:rsidR="000178B1" w:rsidRPr="00800D30">
        <w:rPr>
          <w:color w:val="000000" w:themeColor="text1"/>
          <w:sz w:val="24"/>
        </w:rPr>
        <w:t>jest konieczny z uwagi na występowaniu we WrOF wielu odcinków dróg o jednoczesnym wzmożonym ruchu pieszych i</w:t>
      </w:r>
      <w:r w:rsidR="00180408">
        <w:rPr>
          <w:color w:val="000000" w:themeColor="text1"/>
          <w:sz w:val="24"/>
        </w:rPr>
        <w:t> </w:t>
      </w:r>
      <w:r w:rsidR="000178B1" w:rsidRPr="00800D30">
        <w:rPr>
          <w:color w:val="000000" w:themeColor="text1"/>
          <w:sz w:val="24"/>
        </w:rPr>
        <w:t>rowerzystów, a warunki przestrzenne uniemożliwiają wybudowa</w:t>
      </w:r>
      <w:r w:rsidR="00AA395D" w:rsidRPr="00800D30">
        <w:rPr>
          <w:color w:val="000000" w:themeColor="text1"/>
          <w:sz w:val="24"/>
        </w:rPr>
        <w:t>nie wydzielonej drogi rowerowej</w:t>
      </w:r>
      <w:r w:rsidRPr="00800D30">
        <w:rPr>
          <w:color w:val="000000" w:themeColor="text1"/>
          <w:sz w:val="24"/>
        </w:rPr>
        <w:t>.</w:t>
      </w:r>
    </w:p>
    <w:p w:rsidR="000178B1" w:rsidRPr="00800D30" w:rsidRDefault="006367DC" w:rsidP="00800D30">
      <w:pPr>
        <w:jc w:val="left"/>
        <w:rPr>
          <w:color w:val="000000" w:themeColor="text1"/>
          <w:sz w:val="24"/>
        </w:rPr>
      </w:pPr>
      <w:r w:rsidRPr="00800D30">
        <w:rPr>
          <w:color w:val="000000" w:themeColor="text1"/>
          <w:sz w:val="24"/>
        </w:rPr>
        <w:t>K</w:t>
      </w:r>
      <w:r w:rsidR="00447650" w:rsidRPr="00800D30">
        <w:rPr>
          <w:color w:val="000000" w:themeColor="text1"/>
          <w:sz w:val="24"/>
        </w:rPr>
        <w:t>o</w:t>
      </w:r>
      <w:r w:rsidRPr="00800D30">
        <w:rPr>
          <w:color w:val="000000" w:themeColor="text1"/>
          <w:sz w:val="24"/>
        </w:rPr>
        <w:t xml:space="preserve">lejnym aspektem </w:t>
      </w:r>
      <w:r w:rsidR="00D806C8" w:rsidRPr="00800D30">
        <w:rPr>
          <w:color w:val="000000" w:themeColor="text1"/>
          <w:sz w:val="24"/>
        </w:rPr>
        <w:t>jest</w:t>
      </w:r>
      <w:r w:rsidR="00AA395D" w:rsidRPr="00800D30">
        <w:rPr>
          <w:color w:val="000000" w:themeColor="text1"/>
          <w:sz w:val="24"/>
        </w:rPr>
        <w:t xml:space="preserve"> </w:t>
      </w:r>
      <w:r w:rsidR="000178B1" w:rsidRPr="00800D30">
        <w:rPr>
          <w:color w:val="000000" w:themeColor="text1"/>
          <w:sz w:val="24"/>
        </w:rPr>
        <w:t>brak spójności istniejącej infrastruktury, niezadowalający stan nawierzchni oraz niskie poczucie bezpieczeństwa rowerzystów, będące wynikiem m.in. przecinania tras rowerowych przez główne szlaki komunikacyj</w:t>
      </w:r>
      <w:r w:rsidR="00607657" w:rsidRPr="00800D30">
        <w:rPr>
          <w:color w:val="000000" w:themeColor="text1"/>
          <w:sz w:val="24"/>
        </w:rPr>
        <w:t xml:space="preserve">ne i konieczność włączania się </w:t>
      </w:r>
      <w:r w:rsidR="000178B1" w:rsidRPr="00800D30">
        <w:rPr>
          <w:color w:val="000000" w:themeColor="text1"/>
          <w:sz w:val="24"/>
        </w:rPr>
        <w:t xml:space="preserve">do ruchu ogólnego. </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 xml:space="preserve">Na transport rowerowy składają się również systemy rowerów publicznych, które we WrOF działają na terenie Wrocławia oraz w Oleśnicy (miasto) i obsługiwane są dzięki aplikacji mobilnej. Wrocławski system uwzględnia osoby ze szczególnymi potrzebami, które mają do dyspozycji rowery elektryczne oraz rowery typu </w:t>
      </w:r>
      <w:proofErr w:type="spellStart"/>
      <w:r w:rsidRPr="00800D30">
        <w:rPr>
          <w:rFonts w:cstheme="minorHAnsi"/>
          <w:color w:val="000000" w:themeColor="text1"/>
          <w:sz w:val="24"/>
        </w:rPr>
        <w:t>handbike</w:t>
      </w:r>
      <w:proofErr w:type="spellEnd"/>
      <w:r w:rsidR="00BA7CF9" w:rsidRPr="00800D30">
        <w:rPr>
          <w:rFonts w:cstheme="minorHAnsi"/>
          <w:color w:val="000000" w:themeColor="text1"/>
          <w:sz w:val="24"/>
        </w:rPr>
        <w:t xml:space="preserve">. </w:t>
      </w:r>
      <w:r w:rsidRPr="00800D30">
        <w:rPr>
          <w:rFonts w:cstheme="minorHAnsi"/>
          <w:color w:val="000000" w:themeColor="text1"/>
          <w:sz w:val="24"/>
        </w:rPr>
        <w:t>W 2022 roku zakończyła się procedura wyboru operatora Wrocławskiego Roweru Miejskiego</w:t>
      </w:r>
      <w:r w:rsidR="00E554C1" w:rsidRPr="00800D30">
        <w:rPr>
          <w:rFonts w:cstheme="minorHAnsi"/>
          <w:color w:val="000000" w:themeColor="text1"/>
          <w:sz w:val="24"/>
        </w:rPr>
        <w:t xml:space="preserve">. </w:t>
      </w:r>
      <w:r w:rsidR="000E5450" w:rsidRPr="00800D30">
        <w:rPr>
          <w:rFonts w:cstheme="minorHAnsi"/>
          <w:color w:val="000000" w:themeColor="text1"/>
          <w:sz w:val="24"/>
        </w:rPr>
        <w:t>System ruszył 1 marca 2023</w:t>
      </w:r>
      <w:r w:rsidR="004C5C27" w:rsidRPr="00800D30">
        <w:rPr>
          <w:rFonts w:cstheme="minorHAnsi"/>
          <w:color w:val="000000" w:themeColor="text1"/>
          <w:sz w:val="24"/>
        </w:rPr>
        <w:t xml:space="preserve">, </w:t>
      </w:r>
      <w:r w:rsidR="007B5904" w:rsidRPr="00800D30">
        <w:rPr>
          <w:rFonts w:cstheme="minorHAnsi"/>
          <w:color w:val="000000" w:themeColor="text1"/>
          <w:sz w:val="24"/>
        </w:rPr>
        <w:t xml:space="preserve">dostępnych </w:t>
      </w:r>
      <w:r w:rsidR="00526EE9" w:rsidRPr="00800D30">
        <w:rPr>
          <w:rFonts w:cstheme="minorHAnsi"/>
          <w:color w:val="000000" w:themeColor="text1"/>
          <w:sz w:val="24"/>
        </w:rPr>
        <w:t xml:space="preserve">jest </w:t>
      </w:r>
      <w:r w:rsidR="007B5904" w:rsidRPr="00800D30">
        <w:rPr>
          <w:rFonts w:cstheme="minorHAnsi"/>
          <w:color w:val="000000" w:themeColor="text1"/>
          <w:sz w:val="24"/>
        </w:rPr>
        <w:t xml:space="preserve"> 230 stacji, 2300 standardowych rowerów, 100 elektrycznych i 34 niestandardowe (cargo, dziecięce, tandemy i </w:t>
      </w:r>
      <w:proofErr w:type="spellStart"/>
      <w:r w:rsidR="007B5904" w:rsidRPr="00800D30">
        <w:rPr>
          <w:rFonts w:cstheme="minorHAnsi"/>
          <w:color w:val="000000" w:themeColor="text1"/>
          <w:sz w:val="24"/>
        </w:rPr>
        <w:t>handbike</w:t>
      </w:r>
      <w:proofErr w:type="spellEnd"/>
      <w:r w:rsidR="007B5904" w:rsidRPr="00800D30">
        <w:rPr>
          <w:rFonts w:cstheme="minorHAnsi"/>
          <w:color w:val="000000" w:themeColor="text1"/>
          <w:sz w:val="24"/>
        </w:rPr>
        <w:t>)</w:t>
      </w:r>
      <w:r w:rsidR="00D25246" w:rsidRPr="00800D30">
        <w:rPr>
          <w:rFonts w:cstheme="minorHAnsi"/>
          <w:color w:val="000000" w:themeColor="text1"/>
          <w:sz w:val="24"/>
        </w:rPr>
        <w:t>.</w:t>
      </w:r>
      <w:r w:rsidR="00AA395D" w:rsidRPr="00800D30">
        <w:rPr>
          <w:rFonts w:cstheme="minorHAnsi"/>
          <w:color w:val="000000" w:themeColor="text1"/>
          <w:sz w:val="24"/>
        </w:rPr>
        <w:t xml:space="preserve"> </w:t>
      </w:r>
      <w:r w:rsidR="00180408">
        <w:rPr>
          <w:rFonts w:cstheme="minorHAnsi"/>
          <w:color w:val="000000" w:themeColor="text1"/>
          <w:sz w:val="24"/>
        </w:rPr>
        <w:t>System będzie działał w zimie a </w:t>
      </w:r>
      <w:r w:rsidR="000E5450" w:rsidRPr="00800D30">
        <w:rPr>
          <w:rFonts w:cstheme="minorHAnsi"/>
          <w:color w:val="000000" w:themeColor="text1"/>
          <w:sz w:val="24"/>
        </w:rPr>
        <w:t>rowery będą jeździć do 30.11.2024</w:t>
      </w:r>
      <w:r w:rsidR="00AA395D" w:rsidRPr="00800D30">
        <w:rPr>
          <w:rFonts w:cstheme="minorHAnsi"/>
          <w:color w:val="000000" w:themeColor="text1"/>
          <w:sz w:val="24"/>
        </w:rPr>
        <w:t xml:space="preserve"> </w:t>
      </w:r>
      <w:r w:rsidR="007B5904" w:rsidRPr="00800D30">
        <w:rPr>
          <w:rFonts w:cstheme="minorHAnsi"/>
          <w:color w:val="000000" w:themeColor="text1"/>
          <w:sz w:val="24"/>
        </w:rPr>
        <w:t xml:space="preserve">r. </w:t>
      </w:r>
    </w:p>
    <w:p w:rsidR="00D806C8" w:rsidRPr="00800D30" w:rsidRDefault="00D806C8" w:rsidP="00800D30">
      <w:pPr>
        <w:jc w:val="left"/>
        <w:rPr>
          <w:color w:val="000000" w:themeColor="text1"/>
          <w:sz w:val="24"/>
        </w:rPr>
      </w:pPr>
      <w:r w:rsidRPr="00800D30">
        <w:rPr>
          <w:color w:val="000000" w:themeColor="text1"/>
          <w:sz w:val="24"/>
        </w:rPr>
        <w:t>Rozwój sieci</w:t>
      </w:r>
      <w:r w:rsidR="00AA395D" w:rsidRPr="00800D30">
        <w:rPr>
          <w:color w:val="000000" w:themeColor="text1"/>
          <w:sz w:val="24"/>
        </w:rPr>
        <w:t xml:space="preserve"> dróg rowerowych, ciągów pieszo</w:t>
      </w:r>
      <w:r w:rsidRPr="00800D30">
        <w:rPr>
          <w:color w:val="000000" w:themeColor="text1"/>
          <w:sz w:val="24"/>
        </w:rPr>
        <w:t>–rowerowych, ścieżek rowerowych</w:t>
      </w:r>
      <w:r w:rsidR="00D56A0B" w:rsidRPr="00800D30">
        <w:rPr>
          <w:color w:val="000000" w:themeColor="text1"/>
          <w:sz w:val="24"/>
        </w:rPr>
        <w:t xml:space="preserve">, </w:t>
      </w:r>
      <w:r w:rsidRPr="00800D30">
        <w:rPr>
          <w:color w:val="000000" w:themeColor="text1"/>
          <w:sz w:val="24"/>
        </w:rPr>
        <w:t xml:space="preserve">systemów rowerów publicznych </w:t>
      </w:r>
      <w:r w:rsidR="0024043E" w:rsidRPr="00800D30">
        <w:rPr>
          <w:color w:val="000000" w:themeColor="text1"/>
          <w:sz w:val="24"/>
        </w:rPr>
        <w:t>wraz z niezbędną</w:t>
      </w:r>
      <w:r w:rsidR="00D56A0B" w:rsidRPr="00800D30">
        <w:rPr>
          <w:color w:val="000000" w:themeColor="text1"/>
          <w:sz w:val="24"/>
        </w:rPr>
        <w:t xml:space="preserve"> infrastrukturą </w:t>
      </w:r>
      <w:r w:rsidRPr="00800D30">
        <w:rPr>
          <w:color w:val="000000" w:themeColor="text1"/>
          <w:sz w:val="24"/>
        </w:rPr>
        <w:t xml:space="preserve">pozwoli na wzmocnienie i rozwój powiązań funkcjonalnych </w:t>
      </w:r>
      <w:r w:rsidR="00D25246" w:rsidRPr="00800D30">
        <w:rPr>
          <w:color w:val="000000" w:themeColor="text1"/>
          <w:sz w:val="24"/>
        </w:rPr>
        <w:t>oraz</w:t>
      </w:r>
      <w:r w:rsidRPr="00800D30">
        <w:rPr>
          <w:color w:val="000000" w:themeColor="text1"/>
          <w:sz w:val="24"/>
        </w:rPr>
        <w:t xml:space="preserve"> integracji przestrzennej obszaru.</w:t>
      </w:r>
    </w:p>
    <w:p w:rsidR="000178B1" w:rsidRPr="00800D30" w:rsidRDefault="000178B1" w:rsidP="00800D30">
      <w:pPr>
        <w:spacing w:before="240" w:after="0"/>
        <w:jc w:val="left"/>
        <w:rPr>
          <w:rFonts w:cstheme="minorHAnsi"/>
          <w:b/>
          <w:color w:val="000000" w:themeColor="text1"/>
          <w:sz w:val="24"/>
        </w:rPr>
      </w:pPr>
      <w:proofErr w:type="spellStart"/>
      <w:r w:rsidRPr="00800D30">
        <w:rPr>
          <w:rFonts w:cstheme="minorHAnsi"/>
          <w:b/>
          <w:color w:val="000000" w:themeColor="text1"/>
          <w:sz w:val="24"/>
        </w:rPr>
        <w:t>Elektromobilność</w:t>
      </w:r>
      <w:proofErr w:type="spellEnd"/>
    </w:p>
    <w:p w:rsidR="00D806C8" w:rsidRPr="00800D30" w:rsidRDefault="00D806C8" w:rsidP="00800D30">
      <w:pPr>
        <w:jc w:val="left"/>
        <w:rPr>
          <w:color w:val="000000" w:themeColor="text1"/>
          <w:sz w:val="24"/>
        </w:rPr>
      </w:pPr>
      <w:r w:rsidRPr="00800D30">
        <w:rPr>
          <w:color w:val="000000" w:themeColor="text1"/>
          <w:sz w:val="24"/>
        </w:rPr>
        <w:t>Poziom rozwoju elektromobilności na obszarze WrOF jest w znacznym stopniu zróżnicowany. Jednostką przodującą we wdrażaniu rozwiązań niskoemisyjnych jest Wrocław, przy czym związane jest to również z ustawowymi obowiązkami samorządów liczących ponad 50 tys. mieszkańców</w:t>
      </w:r>
      <w:r w:rsidR="007B3A58" w:rsidRPr="00800D30">
        <w:rPr>
          <w:rStyle w:val="Odwoanieprzypisudolnego"/>
          <w:color w:val="000000" w:themeColor="text1"/>
          <w:sz w:val="24"/>
        </w:rPr>
        <w:footnoteReference w:id="16"/>
      </w:r>
      <w:r w:rsidR="00C14E89" w:rsidRPr="00800D30">
        <w:rPr>
          <w:color w:val="000000" w:themeColor="text1"/>
          <w:sz w:val="24"/>
        </w:rPr>
        <w:t>. W </w:t>
      </w:r>
      <w:r w:rsidRPr="00800D30">
        <w:rPr>
          <w:color w:val="000000" w:themeColor="text1"/>
          <w:sz w:val="24"/>
        </w:rPr>
        <w:t>zakresie infrastruktury ładowania pojazdów elektrycznych na koniec 2021 roku we Wrocławiu funkcjonowało 150 punktów, rozmie</w:t>
      </w:r>
      <w:r w:rsidR="00180408">
        <w:rPr>
          <w:color w:val="000000" w:themeColor="text1"/>
          <w:sz w:val="24"/>
        </w:rPr>
        <w:t>szczonych w 45 lokalizacjach. W </w:t>
      </w:r>
      <w:r w:rsidRPr="00800D30">
        <w:rPr>
          <w:color w:val="000000" w:themeColor="text1"/>
          <w:sz w:val="24"/>
        </w:rPr>
        <w:t>latach 2015-2021 na terenie samego Wrocławia liczba zarejestrowanych pojazdów elektrycznych wzrosła z 8 do 818 sztuk (dodatkowo 510 pojazdów stanowią skutery)</w:t>
      </w:r>
      <w:r w:rsidR="00A47A14" w:rsidRPr="00800D30">
        <w:rPr>
          <w:color w:val="000000" w:themeColor="text1"/>
          <w:sz w:val="24"/>
        </w:rPr>
        <w:t>.</w:t>
      </w:r>
      <w:r w:rsidR="00AA395D" w:rsidRPr="00800D30">
        <w:rPr>
          <w:color w:val="000000" w:themeColor="text1"/>
          <w:sz w:val="24"/>
        </w:rPr>
        <w:t xml:space="preserve"> </w:t>
      </w:r>
      <w:r w:rsidRPr="00800D30">
        <w:rPr>
          <w:color w:val="000000" w:themeColor="text1"/>
          <w:sz w:val="24"/>
        </w:rPr>
        <w:t>Rozwój infrastruktury ładowania stanie się niebawem koniecznością.</w:t>
      </w:r>
      <w:r w:rsidR="00AA395D" w:rsidRPr="00800D30">
        <w:rPr>
          <w:color w:val="000000" w:themeColor="text1"/>
          <w:sz w:val="24"/>
        </w:rPr>
        <w:t xml:space="preserve"> </w:t>
      </w:r>
      <w:r w:rsidRPr="00800D30">
        <w:rPr>
          <w:color w:val="000000" w:themeColor="text1"/>
          <w:sz w:val="24"/>
        </w:rPr>
        <w:t xml:space="preserve">Aby eksploatacja pojazdów </w:t>
      </w:r>
      <w:proofErr w:type="spellStart"/>
      <w:r w:rsidR="005764A6" w:rsidRPr="00800D30">
        <w:rPr>
          <w:color w:val="000000" w:themeColor="text1"/>
          <w:sz w:val="24"/>
        </w:rPr>
        <w:t>zeroemisyjnych</w:t>
      </w:r>
      <w:proofErr w:type="spellEnd"/>
      <w:r w:rsidR="005764A6" w:rsidRPr="00800D30">
        <w:rPr>
          <w:color w:val="000000" w:themeColor="text1"/>
          <w:sz w:val="24"/>
        </w:rPr>
        <w:t xml:space="preserve"> (</w:t>
      </w:r>
      <w:r w:rsidRPr="00800D30">
        <w:rPr>
          <w:color w:val="000000" w:themeColor="text1"/>
          <w:sz w:val="24"/>
        </w:rPr>
        <w:t>elektrycznych</w:t>
      </w:r>
      <w:r w:rsidR="005764A6" w:rsidRPr="00800D30">
        <w:rPr>
          <w:color w:val="000000" w:themeColor="text1"/>
          <w:sz w:val="24"/>
        </w:rPr>
        <w:t xml:space="preserve"> i wodorowych) </w:t>
      </w:r>
      <w:r w:rsidRPr="00800D30">
        <w:rPr>
          <w:color w:val="000000" w:themeColor="text1"/>
          <w:sz w:val="24"/>
        </w:rPr>
        <w:t xml:space="preserve"> na obszarze WrOF przebiegała w swobodny sposób konieczne jest stopniowe uzupełnianie infrastruktury ładowania.</w:t>
      </w:r>
    </w:p>
    <w:p w:rsidR="00D806C8" w:rsidRPr="00800D30" w:rsidRDefault="00D806C8" w:rsidP="00800D30">
      <w:pPr>
        <w:jc w:val="left"/>
        <w:rPr>
          <w:rFonts w:cstheme="minorHAnsi"/>
          <w:color w:val="000000" w:themeColor="text1"/>
          <w:sz w:val="24"/>
        </w:rPr>
      </w:pPr>
      <w:r w:rsidRPr="00800D30">
        <w:rPr>
          <w:rFonts w:cstheme="minorHAnsi"/>
          <w:color w:val="000000" w:themeColor="text1"/>
          <w:sz w:val="24"/>
        </w:rPr>
        <w:t>Zarówno Wrocław, jak i pozostałe jednostki terytorialne,</w:t>
      </w:r>
      <w:r w:rsidR="00AA395D" w:rsidRPr="00800D30">
        <w:rPr>
          <w:rFonts w:cstheme="minorHAnsi"/>
          <w:color w:val="000000" w:themeColor="text1"/>
          <w:sz w:val="24"/>
        </w:rPr>
        <w:t xml:space="preserve"> </w:t>
      </w:r>
      <w:r w:rsidR="005D257B" w:rsidRPr="00800D30">
        <w:rPr>
          <w:rFonts w:cstheme="minorHAnsi"/>
          <w:color w:val="000000" w:themeColor="text1"/>
          <w:sz w:val="24"/>
        </w:rPr>
        <w:t>dążą</w:t>
      </w:r>
      <w:r w:rsidRPr="00800D30">
        <w:rPr>
          <w:rFonts w:cstheme="minorHAnsi"/>
          <w:color w:val="000000" w:themeColor="text1"/>
          <w:sz w:val="24"/>
        </w:rPr>
        <w:t xml:space="preserve"> do modernizacji taborów, aby zmniejszać emisyjność pojazdów. </w:t>
      </w:r>
      <w:r w:rsidR="00567DFF" w:rsidRPr="00800D30">
        <w:rPr>
          <w:rFonts w:cstheme="minorHAnsi"/>
          <w:color w:val="000000" w:themeColor="text1"/>
          <w:sz w:val="24"/>
        </w:rPr>
        <w:t>Obecnie w</w:t>
      </w:r>
      <w:r w:rsidR="00B76684" w:rsidRPr="00800D30">
        <w:rPr>
          <w:rFonts w:cstheme="minorHAnsi"/>
          <w:color w:val="000000" w:themeColor="text1"/>
          <w:sz w:val="24"/>
        </w:rPr>
        <w:t xml:space="preserve"> przypadku autobusów komunikacji miejskiej </w:t>
      </w:r>
      <w:r w:rsidR="00567DFF" w:rsidRPr="00800D30">
        <w:rPr>
          <w:rFonts w:cstheme="minorHAnsi"/>
          <w:color w:val="000000" w:themeColor="text1"/>
          <w:sz w:val="24"/>
        </w:rPr>
        <w:t xml:space="preserve">ok. </w:t>
      </w:r>
      <w:r w:rsidR="00B76684" w:rsidRPr="00800D30">
        <w:rPr>
          <w:rFonts w:cstheme="minorHAnsi"/>
          <w:color w:val="000000" w:themeColor="text1"/>
          <w:sz w:val="24"/>
        </w:rPr>
        <w:t>77,5% to środki transportu o najwyższej normie emisji spalin EURO6 (372 pojazdy).</w:t>
      </w:r>
      <w:r w:rsidRPr="00800D30">
        <w:rPr>
          <w:rFonts w:cstheme="minorHAnsi"/>
          <w:color w:val="000000" w:themeColor="text1"/>
          <w:sz w:val="24"/>
        </w:rPr>
        <w:t xml:space="preserve"> W 2021 roku MPK we Wrocławiu uzyskało dofinansowanie na zakup 11 autobusów elektrycznych oraz stworzenie systemu ich ładowania. Finalnie do stolicy Dolnego Śląska trafią także 2 dodatkowe pojazdy elektryczne – łączna liczba pojazdów wyniesie 13 sztuk</w:t>
      </w:r>
      <w:r w:rsidR="00BA2985" w:rsidRPr="00800D30">
        <w:rPr>
          <w:rFonts w:cstheme="minorHAnsi"/>
          <w:color w:val="000000" w:themeColor="text1"/>
          <w:sz w:val="24"/>
        </w:rPr>
        <w:t>.</w:t>
      </w:r>
      <w:r w:rsidRPr="00800D30">
        <w:rPr>
          <w:rStyle w:val="Odwoanieprzypisudolnego"/>
          <w:rFonts w:cstheme="minorHAnsi"/>
          <w:color w:val="000000" w:themeColor="text1"/>
          <w:sz w:val="24"/>
        </w:rPr>
        <w:t>.</w:t>
      </w:r>
      <w:r w:rsidRPr="00800D30">
        <w:rPr>
          <w:rFonts w:cstheme="minorHAnsi"/>
          <w:color w:val="000000" w:themeColor="text1"/>
          <w:sz w:val="24"/>
        </w:rPr>
        <w:t xml:space="preserve"> Plany inwestycyjne wielu Gmin ZIT obejmują zakup nisko lub</w:t>
      </w:r>
      <w:r w:rsidR="00180408">
        <w:rPr>
          <w:rFonts w:cstheme="minorHAnsi"/>
          <w:color w:val="000000" w:themeColor="text1"/>
          <w:sz w:val="24"/>
        </w:rPr>
        <w:t xml:space="preserve"> </w:t>
      </w:r>
      <w:proofErr w:type="spellStart"/>
      <w:r w:rsidR="00180408">
        <w:rPr>
          <w:rFonts w:cstheme="minorHAnsi"/>
          <w:color w:val="000000" w:themeColor="text1"/>
          <w:sz w:val="24"/>
        </w:rPr>
        <w:t>zeroemisyjnych</w:t>
      </w:r>
      <w:proofErr w:type="spellEnd"/>
      <w:r w:rsidR="00180408">
        <w:rPr>
          <w:rFonts w:cstheme="minorHAnsi"/>
          <w:color w:val="000000" w:themeColor="text1"/>
          <w:sz w:val="24"/>
        </w:rPr>
        <w:t xml:space="preserve"> pojazdów wraz z </w:t>
      </w:r>
      <w:r w:rsidRPr="00800D30">
        <w:rPr>
          <w:rFonts w:cstheme="minorHAnsi"/>
          <w:color w:val="000000" w:themeColor="text1"/>
          <w:sz w:val="24"/>
        </w:rPr>
        <w:t>niezb</w:t>
      </w:r>
      <w:r w:rsidR="00256121" w:rsidRPr="00800D30">
        <w:rPr>
          <w:rFonts w:cstheme="minorHAnsi"/>
          <w:color w:val="000000" w:themeColor="text1"/>
          <w:sz w:val="24"/>
        </w:rPr>
        <w:t>ędną infrastrukturą towarzyszącą</w:t>
      </w:r>
      <w:r w:rsidRPr="00800D30">
        <w:rPr>
          <w:rFonts w:cstheme="minorHAnsi"/>
          <w:color w:val="000000" w:themeColor="text1"/>
          <w:sz w:val="24"/>
        </w:rPr>
        <w:t xml:space="preserve"> jak np. </w:t>
      </w:r>
      <w:r w:rsidR="00256121" w:rsidRPr="00800D30">
        <w:rPr>
          <w:rFonts w:cstheme="minorHAnsi"/>
          <w:color w:val="000000" w:themeColor="text1"/>
          <w:sz w:val="24"/>
        </w:rPr>
        <w:t>instalacje</w:t>
      </w:r>
      <w:r w:rsidR="005D257B" w:rsidRPr="00800D30">
        <w:rPr>
          <w:rFonts w:cstheme="minorHAnsi"/>
          <w:color w:val="000000" w:themeColor="text1"/>
          <w:sz w:val="24"/>
        </w:rPr>
        <w:t xml:space="preserve"> do dystrybucji nośników energii dla </w:t>
      </w:r>
      <w:proofErr w:type="spellStart"/>
      <w:r w:rsidR="005D257B" w:rsidRPr="00800D30">
        <w:rPr>
          <w:rFonts w:cstheme="minorHAnsi"/>
          <w:color w:val="000000" w:themeColor="text1"/>
          <w:sz w:val="24"/>
        </w:rPr>
        <w:t>z</w:t>
      </w:r>
      <w:r w:rsidR="00256121" w:rsidRPr="00800D30">
        <w:rPr>
          <w:rFonts w:cstheme="minorHAnsi"/>
          <w:color w:val="000000" w:themeColor="text1"/>
          <w:sz w:val="24"/>
        </w:rPr>
        <w:t>eroemisyjnego</w:t>
      </w:r>
      <w:proofErr w:type="spellEnd"/>
      <w:r w:rsidR="00256121" w:rsidRPr="00800D30">
        <w:rPr>
          <w:rFonts w:cstheme="minorHAnsi"/>
          <w:color w:val="000000" w:themeColor="text1"/>
          <w:sz w:val="24"/>
        </w:rPr>
        <w:t xml:space="preserve"> transportu, stacje</w:t>
      </w:r>
      <w:r w:rsidR="005D257B" w:rsidRPr="00800D30">
        <w:rPr>
          <w:rFonts w:cstheme="minorHAnsi"/>
          <w:color w:val="000000" w:themeColor="text1"/>
          <w:sz w:val="24"/>
        </w:rPr>
        <w:t xml:space="preserve"> ładowania pojazdów itp. </w:t>
      </w:r>
    </w:p>
    <w:p w:rsidR="00535CBA" w:rsidRPr="00800D30" w:rsidRDefault="00535CBA" w:rsidP="00800D30">
      <w:pPr>
        <w:spacing w:before="240" w:after="0"/>
        <w:jc w:val="left"/>
        <w:rPr>
          <w:rFonts w:cstheme="minorHAnsi"/>
          <w:b/>
          <w:color w:val="000000" w:themeColor="text1"/>
          <w:sz w:val="24"/>
        </w:rPr>
      </w:pPr>
      <w:r w:rsidRPr="00800D30">
        <w:rPr>
          <w:rFonts w:cstheme="minorHAnsi"/>
          <w:b/>
          <w:color w:val="000000" w:themeColor="text1"/>
          <w:sz w:val="24"/>
        </w:rPr>
        <w:t>Plany Zrównoważonej Mobilności</w:t>
      </w:r>
    </w:p>
    <w:p w:rsidR="00567DFF" w:rsidRPr="00800D30" w:rsidRDefault="00535CBA" w:rsidP="00800D30">
      <w:pPr>
        <w:jc w:val="left"/>
        <w:rPr>
          <w:rFonts w:cstheme="minorHAnsi"/>
          <w:color w:val="000000" w:themeColor="text1"/>
          <w:sz w:val="24"/>
        </w:rPr>
      </w:pPr>
      <w:r w:rsidRPr="00800D30">
        <w:rPr>
          <w:rFonts w:cstheme="minorHAnsi"/>
          <w:color w:val="000000" w:themeColor="text1"/>
          <w:sz w:val="24"/>
        </w:rPr>
        <w:t xml:space="preserve">Na obszarze ZIT obowiązują dwa dokumenty: Plan Zrównoważonej Mobilności Miejskiej dla Wrocławia oraz Plan Zrównoważonej Mobilności dla Miejskiego Obszaru Funkcjonalnego Wrocławia. </w:t>
      </w:r>
      <w:r w:rsidR="00567DFF" w:rsidRPr="00800D30">
        <w:rPr>
          <w:rFonts w:cstheme="minorHAnsi"/>
          <w:color w:val="000000" w:themeColor="text1"/>
          <w:sz w:val="24"/>
        </w:rPr>
        <w:t>Są one</w:t>
      </w:r>
      <w:r w:rsidRPr="00800D30">
        <w:rPr>
          <w:rFonts w:cstheme="minorHAnsi"/>
          <w:color w:val="000000" w:themeColor="text1"/>
          <w:sz w:val="24"/>
        </w:rPr>
        <w:t xml:space="preserve"> względem siebie </w:t>
      </w:r>
      <w:r w:rsidR="002018EC" w:rsidRPr="00800D30">
        <w:rPr>
          <w:rFonts w:cstheme="minorHAnsi"/>
          <w:color w:val="000000" w:themeColor="text1"/>
          <w:sz w:val="24"/>
        </w:rPr>
        <w:t xml:space="preserve">komplementarne </w:t>
      </w:r>
      <w:r w:rsidR="000734BD" w:rsidRPr="00800D30">
        <w:rPr>
          <w:rFonts w:cstheme="minorHAnsi"/>
          <w:color w:val="000000" w:themeColor="text1"/>
          <w:sz w:val="24"/>
        </w:rPr>
        <w:t xml:space="preserve">oraz wskazują kierunki rozwoju </w:t>
      </w:r>
      <w:r w:rsidR="00863CCF" w:rsidRPr="00800D30">
        <w:rPr>
          <w:rFonts w:cstheme="minorHAnsi"/>
          <w:color w:val="000000" w:themeColor="text1"/>
          <w:sz w:val="24"/>
        </w:rPr>
        <w:t>oraz działania,</w:t>
      </w:r>
      <w:r w:rsidR="00F258FA" w:rsidRPr="00800D30">
        <w:rPr>
          <w:rFonts w:cstheme="minorHAnsi"/>
          <w:color w:val="000000" w:themeColor="text1"/>
          <w:sz w:val="24"/>
        </w:rPr>
        <w:t xml:space="preserve"> </w:t>
      </w:r>
      <w:r w:rsidR="00863CCF" w:rsidRPr="00800D30">
        <w:rPr>
          <w:rFonts w:cstheme="minorHAnsi"/>
          <w:color w:val="000000" w:themeColor="text1"/>
          <w:sz w:val="24"/>
        </w:rPr>
        <w:t>które zostaną</w:t>
      </w:r>
      <w:r w:rsidR="00F258FA" w:rsidRPr="00800D30">
        <w:rPr>
          <w:rFonts w:cstheme="minorHAnsi"/>
          <w:color w:val="000000" w:themeColor="text1"/>
          <w:sz w:val="24"/>
        </w:rPr>
        <w:t xml:space="preserve"> </w:t>
      </w:r>
      <w:r w:rsidR="00863CCF" w:rsidRPr="00800D30">
        <w:rPr>
          <w:rFonts w:cstheme="minorHAnsi"/>
          <w:color w:val="000000" w:themeColor="text1"/>
          <w:sz w:val="24"/>
        </w:rPr>
        <w:t xml:space="preserve">podjęte w celu osiągnięcia zrównoważonej mobilności miejskiej. </w:t>
      </w:r>
      <w:r w:rsidR="00180408">
        <w:rPr>
          <w:rFonts w:cstheme="minorHAnsi"/>
          <w:color w:val="000000" w:themeColor="text1"/>
          <w:sz w:val="24"/>
        </w:rPr>
        <w:t>Z </w:t>
      </w:r>
      <w:r w:rsidR="008F1DDB" w:rsidRPr="00800D30">
        <w:rPr>
          <w:rFonts w:cstheme="minorHAnsi"/>
          <w:color w:val="000000" w:themeColor="text1"/>
          <w:sz w:val="24"/>
        </w:rPr>
        <w:t xml:space="preserve">uwagi na m.in. rozwój infrastruktury transportu, planowaną aktualizację wytycznych oraz rozporządzeń </w:t>
      </w:r>
      <w:r w:rsidR="00C14E89" w:rsidRPr="00800D30">
        <w:rPr>
          <w:rFonts w:cstheme="minorHAnsi"/>
          <w:color w:val="000000" w:themeColor="text1"/>
          <w:sz w:val="24"/>
        </w:rPr>
        <w:t>UE dotyczących PZM oraz okres i </w:t>
      </w:r>
      <w:r w:rsidR="008F1DDB" w:rsidRPr="00800D30">
        <w:rPr>
          <w:rFonts w:cstheme="minorHAnsi"/>
          <w:color w:val="000000" w:themeColor="text1"/>
          <w:sz w:val="24"/>
        </w:rPr>
        <w:t xml:space="preserve">założenia, na których przygotowano obowiązujące Plany Zrównoważonej Mobilności konieczne jest zaktualizowanie ich zapisów. Planowane do opracowania </w:t>
      </w:r>
      <w:r w:rsidR="000C025A" w:rsidRPr="00800D30">
        <w:rPr>
          <w:rFonts w:cstheme="minorHAnsi"/>
          <w:color w:val="000000" w:themeColor="text1"/>
          <w:sz w:val="24"/>
        </w:rPr>
        <w:t xml:space="preserve">dokumenty i analizy </w:t>
      </w:r>
      <w:r w:rsidR="008F1DDB" w:rsidRPr="00800D30">
        <w:rPr>
          <w:rFonts w:cstheme="minorHAnsi"/>
          <w:color w:val="000000" w:themeColor="text1"/>
          <w:sz w:val="24"/>
        </w:rPr>
        <w:t>wyznaczą</w:t>
      </w:r>
      <w:r w:rsidR="00C14E89" w:rsidRPr="00800D30">
        <w:rPr>
          <w:rFonts w:cstheme="minorHAnsi"/>
          <w:color w:val="000000" w:themeColor="text1"/>
          <w:sz w:val="24"/>
        </w:rPr>
        <w:t xml:space="preserve"> i </w:t>
      </w:r>
      <w:r w:rsidR="00F66264" w:rsidRPr="00800D30">
        <w:rPr>
          <w:rFonts w:cstheme="minorHAnsi"/>
          <w:color w:val="000000" w:themeColor="text1"/>
          <w:sz w:val="24"/>
        </w:rPr>
        <w:t xml:space="preserve">wskażą </w:t>
      </w:r>
      <w:r w:rsidR="008F1DDB" w:rsidRPr="00800D30">
        <w:rPr>
          <w:rFonts w:cstheme="minorHAnsi"/>
          <w:color w:val="000000" w:themeColor="text1"/>
          <w:sz w:val="24"/>
        </w:rPr>
        <w:t>aktualne uwarunkowania i dane dotyczące  mobilnośc</w:t>
      </w:r>
      <w:r w:rsidR="00AE6FFE" w:rsidRPr="00800D30">
        <w:rPr>
          <w:rFonts w:cstheme="minorHAnsi"/>
          <w:color w:val="000000" w:themeColor="text1"/>
          <w:sz w:val="24"/>
        </w:rPr>
        <w:t xml:space="preserve">i. </w:t>
      </w:r>
    </w:p>
    <w:p w:rsidR="00C14E89" w:rsidRPr="00800D30" w:rsidRDefault="002A10FD" w:rsidP="00800D30">
      <w:pPr>
        <w:jc w:val="left"/>
        <w:rPr>
          <w:rFonts w:cstheme="minorHAnsi"/>
          <w:color w:val="000000" w:themeColor="text1"/>
          <w:sz w:val="24"/>
        </w:rPr>
      </w:pPr>
      <w:r w:rsidRPr="00800D30">
        <w:rPr>
          <w:rFonts w:cstheme="minorHAnsi"/>
          <w:color w:val="000000" w:themeColor="text1"/>
          <w:sz w:val="24"/>
        </w:rPr>
        <w:t>W maju 2023</w:t>
      </w:r>
      <w:r w:rsidR="00405F5B" w:rsidRPr="00800D30">
        <w:rPr>
          <w:rFonts w:cstheme="minorHAnsi"/>
          <w:color w:val="000000" w:themeColor="text1"/>
          <w:sz w:val="24"/>
        </w:rPr>
        <w:t xml:space="preserve"> </w:t>
      </w:r>
      <w:r w:rsidRPr="00800D30">
        <w:rPr>
          <w:rFonts w:cstheme="minorHAnsi"/>
          <w:color w:val="000000" w:themeColor="text1"/>
          <w:sz w:val="24"/>
        </w:rPr>
        <w:t>r.</w:t>
      </w:r>
      <w:r w:rsidR="006C0F6E" w:rsidRPr="00800D30">
        <w:rPr>
          <w:rFonts w:cstheme="minorHAnsi"/>
          <w:color w:val="000000" w:themeColor="text1"/>
          <w:sz w:val="24"/>
        </w:rPr>
        <w:t xml:space="preserve"> </w:t>
      </w:r>
      <w:r w:rsidR="007842AF" w:rsidRPr="00800D30">
        <w:rPr>
          <w:rFonts w:cstheme="minorHAnsi"/>
          <w:color w:val="000000" w:themeColor="text1"/>
          <w:sz w:val="24"/>
        </w:rPr>
        <w:t>Plan Zrównoważonej Mobilności dla Miejskiego Obszaru Funkcjonalnego Wrocławia</w:t>
      </w:r>
      <w:r w:rsidR="00F258FA" w:rsidRPr="00800D30">
        <w:rPr>
          <w:rFonts w:cstheme="minorHAnsi"/>
          <w:color w:val="000000" w:themeColor="text1"/>
          <w:sz w:val="24"/>
        </w:rPr>
        <w:t xml:space="preserve"> </w:t>
      </w:r>
      <w:r w:rsidR="007842AF" w:rsidRPr="00800D30">
        <w:rPr>
          <w:rFonts w:cstheme="minorHAnsi"/>
          <w:color w:val="000000" w:themeColor="text1"/>
          <w:sz w:val="24"/>
        </w:rPr>
        <w:t>został zweryfikowany przez Centrum Unij</w:t>
      </w:r>
      <w:r w:rsidR="00180408">
        <w:rPr>
          <w:rFonts w:cstheme="minorHAnsi"/>
          <w:color w:val="000000" w:themeColor="text1"/>
          <w:sz w:val="24"/>
        </w:rPr>
        <w:t>nych Projektów Transportowych i </w:t>
      </w:r>
      <w:r w:rsidR="007842AF" w:rsidRPr="00800D30">
        <w:rPr>
          <w:rFonts w:cstheme="minorHAnsi"/>
          <w:color w:val="000000" w:themeColor="text1"/>
          <w:sz w:val="24"/>
        </w:rPr>
        <w:t xml:space="preserve">uzyskał ocenę  pozytywną z rekomendacjami. </w:t>
      </w:r>
    </w:p>
    <w:p w:rsidR="00345041" w:rsidRPr="00C14E89" w:rsidRDefault="00345041" w:rsidP="00C14E89">
      <w:pPr>
        <w:pStyle w:val="Nagwek2"/>
      </w:pPr>
      <w:bookmarkStart w:id="40" w:name="_Toc143673206"/>
      <w:r w:rsidRPr="00C14E89">
        <w:t xml:space="preserve">II.3 Łączność i </w:t>
      </w:r>
      <w:r w:rsidR="008E6D37" w:rsidRPr="00C14E89">
        <w:t>komunikacja elektroniczna</w:t>
      </w:r>
      <w:bookmarkEnd w:id="40"/>
    </w:p>
    <w:p w:rsidR="000178B1" w:rsidRPr="00180408" w:rsidRDefault="000178B1" w:rsidP="00180408">
      <w:pPr>
        <w:jc w:val="left"/>
        <w:rPr>
          <w:sz w:val="24"/>
          <w:szCs w:val="24"/>
        </w:rPr>
      </w:pPr>
      <w:r w:rsidRPr="00180408">
        <w:rPr>
          <w:sz w:val="24"/>
          <w:szCs w:val="24"/>
        </w:rPr>
        <w:t xml:space="preserve">Wyższa dostępność </w:t>
      </w:r>
      <w:proofErr w:type="spellStart"/>
      <w:r w:rsidR="00C26CEE" w:rsidRPr="00180408">
        <w:rPr>
          <w:sz w:val="24"/>
          <w:szCs w:val="24"/>
        </w:rPr>
        <w:t>internetu</w:t>
      </w:r>
      <w:proofErr w:type="spellEnd"/>
      <w:r w:rsidRPr="00180408">
        <w:rPr>
          <w:sz w:val="24"/>
          <w:szCs w:val="24"/>
        </w:rPr>
        <w:t xml:space="preserve"> stacjona</w:t>
      </w:r>
      <w:r w:rsidR="00C14E89" w:rsidRPr="00180408">
        <w:rPr>
          <w:sz w:val="24"/>
          <w:szCs w:val="24"/>
        </w:rPr>
        <w:t>rnego w 2021 r. widoczna była w </w:t>
      </w:r>
      <w:r w:rsidRPr="00180408">
        <w:rPr>
          <w:sz w:val="24"/>
          <w:szCs w:val="24"/>
        </w:rPr>
        <w:t>południowo-zachodniej części WrOF. Najwyższa średnia wartość charakteryzowała</w:t>
      </w:r>
      <w:r w:rsidR="002469C1" w:rsidRPr="00180408">
        <w:rPr>
          <w:sz w:val="24"/>
          <w:szCs w:val="24"/>
        </w:rPr>
        <w:t xml:space="preserve"> gminy:</w:t>
      </w:r>
      <w:r w:rsidRPr="00180408">
        <w:rPr>
          <w:sz w:val="24"/>
          <w:szCs w:val="24"/>
        </w:rPr>
        <w:t xml:space="preserve"> Kobierzyce (91,2%), Sobótkę (78,8%), Wrocław (72,3%) </w:t>
      </w:r>
      <w:r w:rsidR="00555E12" w:rsidRPr="00180408">
        <w:rPr>
          <w:sz w:val="24"/>
          <w:szCs w:val="24"/>
        </w:rPr>
        <w:t xml:space="preserve">oraz </w:t>
      </w:r>
      <w:r w:rsidRPr="00180408">
        <w:rPr>
          <w:sz w:val="24"/>
          <w:szCs w:val="24"/>
        </w:rPr>
        <w:t xml:space="preserve">Kąty Wrocławskie (72,2%). Najniższa dostępność </w:t>
      </w:r>
      <w:r w:rsidR="00C26CEE" w:rsidRPr="00180408">
        <w:rPr>
          <w:sz w:val="24"/>
          <w:szCs w:val="24"/>
        </w:rPr>
        <w:t>występuje</w:t>
      </w:r>
      <w:r w:rsidRPr="00180408">
        <w:rPr>
          <w:sz w:val="24"/>
          <w:szCs w:val="24"/>
        </w:rPr>
        <w:t xml:space="preserve"> w </w:t>
      </w:r>
      <w:r w:rsidR="00555E12" w:rsidRPr="00180408">
        <w:rPr>
          <w:sz w:val="24"/>
          <w:szCs w:val="24"/>
        </w:rPr>
        <w:t xml:space="preserve">gminach: </w:t>
      </w:r>
      <w:r w:rsidRPr="00180408">
        <w:rPr>
          <w:sz w:val="24"/>
          <w:szCs w:val="24"/>
        </w:rPr>
        <w:t>Czernicy (28,7%) oraz Zawoni (29,7%). Warto podkreślić, że wskazana wartość</w:t>
      </w:r>
      <w:r w:rsidR="00B103B8" w:rsidRPr="00180408">
        <w:rPr>
          <w:sz w:val="24"/>
          <w:szCs w:val="24"/>
        </w:rPr>
        <w:t xml:space="preserve"> wskaźnika wzrosła na </w:t>
      </w:r>
      <w:r w:rsidRPr="00180408">
        <w:rPr>
          <w:sz w:val="24"/>
          <w:szCs w:val="24"/>
        </w:rPr>
        <w:t>obszarze Wr</w:t>
      </w:r>
      <w:r w:rsidR="00180408" w:rsidRPr="00180408">
        <w:rPr>
          <w:sz w:val="24"/>
          <w:szCs w:val="24"/>
        </w:rPr>
        <w:t>OF z 53,1% w 2019 r. do 60,7% w </w:t>
      </w:r>
      <w:r w:rsidRPr="00180408">
        <w:rPr>
          <w:sz w:val="24"/>
          <w:szCs w:val="24"/>
        </w:rPr>
        <w:t xml:space="preserve">2021 r. Dane zawarte w raporcie o stanie rynku telekomunikacyjnego w Polsce w 2021 r. wskazują na ciągły rozrost dostępu do sieci internetowej. Zarówno dostęp do </w:t>
      </w:r>
      <w:proofErr w:type="spellStart"/>
      <w:r w:rsidRPr="00180408">
        <w:rPr>
          <w:sz w:val="24"/>
          <w:szCs w:val="24"/>
        </w:rPr>
        <w:t>internetu</w:t>
      </w:r>
      <w:proofErr w:type="spellEnd"/>
      <w:r w:rsidRPr="00180408">
        <w:rPr>
          <w:sz w:val="24"/>
          <w:szCs w:val="24"/>
        </w:rPr>
        <w:t>, jak i</w:t>
      </w:r>
      <w:r w:rsidR="00180408" w:rsidRPr="00180408">
        <w:rPr>
          <w:sz w:val="24"/>
          <w:szCs w:val="24"/>
        </w:rPr>
        <w:t> </w:t>
      </w:r>
      <w:r w:rsidRPr="00180408">
        <w:rPr>
          <w:sz w:val="24"/>
          <w:szCs w:val="24"/>
        </w:rPr>
        <w:t>rodzaj posiadanych łączy in</w:t>
      </w:r>
      <w:r w:rsidR="00B103B8" w:rsidRPr="00180408">
        <w:rPr>
          <w:sz w:val="24"/>
          <w:szCs w:val="24"/>
        </w:rPr>
        <w:t>ternetowych zróżnicowany był ze </w:t>
      </w:r>
      <w:r w:rsidRPr="00180408">
        <w:rPr>
          <w:sz w:val="24"/>
          <w:szCs w:val="24"/>
        </w:rPr>
        <w:t xml:space="preserve">względu na typ gospodarstwa, klasę miejsca zamieszkania oraz stopień urbanizacji. Niższa dostępność </w:t>
      </w:r>
      <w:proofErr w:type="spellStart"/>
      <w:r w:rsidRPr="00180408">
        <w:rPr>
          <w:sz w:val="24"/>
          <w:szCs w:val="24"/>
        </w:rPr>
        <w:t>internetu</w:t>
      </w:r>
      <w:proofErr w:type="spellEnd"/>
      <w:r w:rsidRPr="00180408">
        <w:rPr>
          <w:sz w:val="24"/>
          <w:szCs w:val="24"/>
        </w:rPr>
        <w:t xml:space="preserve"> charakteryzuje przede wszystkim obszary wiejskie. W celu ograniczenia zjawiska wykluczenia cyfrowego we WrOF istotne jest prowadzenie działań mających na celu zwiększenie dostępności</w:t>
      </w:r>
      <w:r w:rsidR="00AA395D" w:rsidRPr="00180408">
        <w:rPr>
          <w:sz w:val="24"/>
          <w:szCs w:val="24"/>
        </w:rPr>
        <w:t xml:space="preserve"> </w:t>
      </w:r>
      <w:proofErr w:type="spellStart"/>
      <w:r w:rsidR="00C14E89" w:rsidRPr="00180408">
        <w:rPr>
          <w:sz w:val="24"/>
          <w:szCs w:val="24"/>
        </w:rPr>
        <w:t>internetu</w:t>
      </w:r>
      <w:proofErr w:type="spellEnd"/>
      <w:r w:rsidR="00C14E89" w:rsidRPr="00180408">
        <w:rPr>
          <w:sz w:val="24"/>
          <w:szCs w:val="24"/>
        </w:rPr>
        <w:t xml:space="preserve"> o prędkości minimum </w:t>
      </w:r>
      <w:r w:rsidRPr="00180408">
        <w:rPr>
          <w:sz w:val="24"/>
          <w:szCs w:val="24"/>
        </w:rPr>
        <w:t xml:space="preserve">30 </w:t>
      </w:r>
      <w:proofErr w:type="spellStart"/>
      <w:r w:rsidRPr="00180408">
        <w:rPr>
          <w:sz w:val="24"/>
          <w:szCs w:val="24"/>
        </w:rPr>
        <w:t>Mb</w:t>
      </w:r>
      <w:proofErr w:type="spellEnd"/>
      <w:r w:rsidRPr="00180408">
        <w:rPr>
          <w:sz w:val="24"/>
          <w:szCs w:val="24"/>
        </w:rPr>
        <w:t>/s.</w:t>
      </w:r>
    </w:p>
    <w:p w:rsidR="000178B1" w:rsidRPr="00800D30" w:rsidRDefault="000178B1" w:rsidP="00800D30">
      <w:pPr>
        <w:spacing w:before="120" w:after="0"/>
        <w:jc w:val="left"/>
        <w:rPr>
          <w:rFonts w:cstheme="minorHAnsi"/>
          <w:b/>
          <w:color w:val="000000" w:themeColor="text1"/>
          <w:sz w:val="24"/>
        </w:rPr>
      </w:pPr>
      <w:r w:rsidRPr="00800D30">
        <w:rPr>
          <w:rFonts w:cstheme="minorHAnsi"/>
          <w:b/>
          <w:color w:val="000000" w:themeColor="text1"/>
          <w:sz w:val="24"/>
        </w:rPr>
        <w:t>Dostęp do cyfrowych usług publicznych</w:t>
      </w:r>
    </w:p>
    <w:p w:rsidR="000178B1" w:rsidRPr="00800D30" w:rsidRDefault="000178B1" w:rsidP="00800D30">
      <w:pPr>
        <w:jc w:val="left"/>
        <w:rPr>
          <w:sz w:val="24"/>
        </w:rPr>
      </w:pPr>
      <w:r w:rsidRPr="00800D30">
        <w:rPr>
          <w:sz w:val="24"/>
        </w:rPr>
        <w:t xml:space="preserve">Na obszarze WrOF nie funkcjonuje jedna wspólna platforma oferująca załatwianie spraw przez interesariuszy w sposób cyfrowy. Poszczególne jednostki oferują możliwość załatwienia spraw poprzez własne strony internetowe z możliwością pobrania wzoru formularzy lub poprzez formularze elektroniczne skonfigurowane z portalem </w:t>
      </w:r>
      <w:proofErr w:type="spellStart"/>
      <w:r w:rsidRPr="00800D30">
        <w:rPr>
          <w:sz w:val="24"/>
        </w:rPr>
        <w:t>ePUAP</w:t>
      </w:r>
      <w:proofErr w:type="spellEnd"/>
      <w:r w:rsidRPr="00800D30">
        <w:rPr>
          <w:sz w:val="24"/>
        </w:rPr>
        <w:t>.</w:t>
      </w:r>
      <w:r w:rsidR="00AA395D" w:rsidRPr="00800D30">
        <w:rPr>
          <w:sz w:val="24"/>
        </w:rPr>
        <w:t xml:space="preserve"> </w:t>
      </w:r>
      <w:r w:rsidRPr="00800D30">
        <w:rPr>
          <w:sz w:val="24"/>
        </w:rPr>
        <w:t xml:space="preserve">Większość urzędów posiada co najmniej portal zintegrowany z </w:t>
      </w:r>
      <w:proofErr w:type="spellStart"/>
      <w:r w:rsidRPr="00800D30">
        <w:rPr>
          <w:sz w:val="24"/>
        </w:rPr>
        <w:t>ePUAP</w:t>
      </w:r>
      <w:proofErr w:type="spellEnd"/>
      <w:r w:rsidRPr="00800D30">
        <w:rPr>
          <w:sz w:val="24"/>
        </w:rPr>
        <w:t xml:space="preserve"> lub na swoich stronach internetowych zamieszcza bezpośredni link do portalu </w:t>
      </w:r>
      <w:proofErr w:type="spellStart"/>
      <w:r w:rsidRPr="00800D30">
        <w:rPr>
          <w:sz w:val="24"/>
        </w:rPr>
        <w:t>ePUAP</w:t>
      </w:r>
      <w:proofErr w:type="spellEnd"/>
      <w:r w:rsidRPr="00800D30">
        <w:rPr>
          <w:sz w:val="24"/>
        </w:rPr>
        <w:t xml:space="preserve">. Część jednostek oferuje pobieranie formularzy z własnej strony www, umożliwiając druk dokumentu oraz załatwienie sprawy w sposób tradycyjny. Występuje znaczne zróżnicowanie sposobów realizacji usług publicznych za pomocą narzędzi cyfrowych. Większość urzędów oferuje załatwienie ww. spraw za pomocą portalu </w:t>
      </w:r>
      <w:proofErr w:type="spellStart"/>
      <w:r w:rsidRPr="00800D30">
        <w:rPr>
          <w:sz w:val="24"/>
        </w:rPr>
        <w:t>ePUAP</w:t>
      </w:r>
      <w:proofErr w:type="spellEnd"/>
      <w:r w:rsidRPr="00800D30">
        <w:rPr>
          <w:sz w:val="24"/>
        </w:rPr>
        <w:t xml:space="preserve"> lub poprzez bardziej rozbudowane systemy, które są kompatybilne ze wskazaną platformą. Zwiększenie dostępności i jakości </w:t>
      </w:r>
      <w:r w:rsidR="00180408">
        <w:rPr>
          <w:sz w:val="24"/>
        </w:rPr>
        <w:br/>
      </w:r>
      <w:r w:rsidRPr="00800D30">
        <w:rPr>
          <w:sz w:val="24"/>
        </w:rPr>
        <w:t xml:space="preserve">e-usług publicznych poprzez zapewnienie mieszkańcom łatwego dostępu do nowoczesnych rozwiązań informatycznych ułatwi elektroniczne załatwianie spraw, łatwiejszy dostęp do informacji publicznych, usprawnienie przepływu informacji oraz promowanie komunikacji cyfrowej. Zasadne jest ujednolicenie poziomu świadczenia e-usług </w:t>
      </w:r>
      <w:r w:rsidR="00F36AE0" w:rsidRPr="00800D30">
        <w:rPr>
          <w:sz w:val="24"/>
        </w:rPr>
        <w:t xml:space="preserve">w urzędach </w:t>
      </w:r>
      <w:r w:rsidRPr="00800D30">
        <w:rPr>
          <w:sz w:val="24"/>
        </w:rPr>
        <w:t>na obszarze WrOF, co pozwoli na zwiększenie liczby spraw załatwianych drogą elektroniczną.</w:t>
      </w:r>
    </w:p>
    <w:p w:rsidR="00204BFD" w:rsidRPr="00800D30" w:rsidRDefault="000178B1" w:rsidP="00800D30">
      <w:pPr>
        <w:jc w:val="left"/>
        <w:rPr>
          <w:rFonts w:asciiTheme="majorHAnsi" w:eastAsiaTheme="majorEastAsia" w:hAnsiTheme="majorHAnsi" w:cstheme="majorBidi"/>
          <w:color w:val="1A495C" w:themeColor="accent1" w:themeShade="7F"/>
          <w:sz w:val="28"/>
          <w:szCs w:val="24"/>
        </w:rPr>
      </w:pPr>
      <w:r w:rsidRPr="00800D30">
        <w:rPr>
          <w:sz w:val="24"/>
        </w:rPr>
        <w:t xml:space="preserve">W kontekście cyfryzacji usług w domenie publicznej konieczne są również działania związane </w:t>
      </w:r>
      <w:r w:rsidRPr="00800D30">
        <w:rPr>
          <w:sz w:val="24"/>
        </w:rPr>
        <w:br/>
        <w:t xml:space="preserve">z zapewnieniem dostępu do informacji za pośrednictwem nowoczesnych technologii, a tym samym zmniejszeniem obciążenia administracyjnego i poprawy komunikacji między podmiotami publicznymi a mieszkańcami WrOF. Jednym z istotnych czynników stymulujących wzrost gospodarczy jest możliwość pozyskiwania, gromadzenia i wykorzystywania informacji. Wśród rekomendowanych działań umożliwiających dynamiczny rozwój cyfryzacji są m.in.: działania digitalizacyjne, zwiększenie dostępności do danych publicznych (w tym ich standaryzacja i strukturyzacja) oraz tworzenia </w:t>
      </w:r>
      <w:r w:rsidRPr="00800D30">
        <w:rPr>
          <w:sz w:val="24"/>
        </w:rPr>
        <w:br/>
        <w:t xml:space="preserve">i rozwijania otwartych zasobów publicznych, w tym cyfryzacja zasobów kulturowych, naukowych i edukacyjnych w placówkach i instytucjach na terenie całego WrOF. </w:t>
      </w:r>
      <w:bookmarkStart w:id="41" w:name="_Toc125707439"/>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800D30" w:rsidRPr="00800D30" w:rsidTr="00800D30">
        <w:trPr>
          <w:trHeight w:val="737"/>
          <w:tblHeader/>
        </w:trPr>
        <w:tc>
          <w:tcPr>
            <w:tcW w:w="9062" w:type="dxa"/>
            <w:vAlign w:val="center"/>
          </w:tcPr>
          <w:bookmarkEnd w:id="41"/>
          <w:p w:rsidR="00800D30" w:rsidRPr="00800D30" w:rsidRDefault="00800D30" w:rsidP="00800D30">
            <w:pPr>
              <w:spacing w:line="240" w:lineRule="auto"/>
              <w:jc w:val="left"/>
              <w:rPr>
                <w:b/>
                <w:sz w:val="24"/>
              </w:rPr>
            </w:pPr>
            <w:r w:rsidRPr="00800D30">
              <w:rPr>
                <w:b/>
                <w:sz w:val="24"/>
              </w:rPr>
              <w:t>Kluczowe wyzwania strategiczne</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Rozwój transportu zbiorowego oraz jego integracja systemowa w ramach </w:t>
            </w:r>
          </w:p>
          <w:p w:rsidR="00800D30" w:rsidRPr="00800D30" w:rsidRDefault="00800D30" w:rsidP="00800D30">
            <w:pPr>
              <w:spacing w:line="240" w:lineRule="auto"/>
              <w:jc w:val="left"/>
              <w:rPr>
                <w:rFonts w:cs="Calibri"/>
                <w:sz w:val="24"/>
                <w:szCs w:val="20"/>
              </w:rPr>
            </w:pPr>
            <w:r w:rsidRPr="00800D30">
              <w:rPr>
                <w:rFonts w:cs="Calibri"/>
                <w:sz w:val="24"/>
                <w:szCs w:val="20"/>
              </w:rPr>
              <w:t xml:space="preserve">obszaru funkcjonalnego. Takie działanie  znacząco wpłynie na poprawę spójności </w:t>
            </w:r>
          </w:p>
          <w:p w:rsidR="00800D30" w:rsidRPr="00800D30" w:rsidRDefault="00800D30" w:rsidP="00800D30">
            <w:pPr>
              <w:spacing w:line="240" w:lineRule="auto"/>
              <w:jc w:val="left"/>
              <w:rPr>
                <w:rFonts w:cs="Calibri"/>
                <w:sz w:val="24"/>
                <w:szCs w:val="20"/>
              </w:rPr>
            </w:pPr>
            <w:r w:rsidRPr="00800D30">
              <w:rPr>
                <w:rFonts w:cs="Calibri"/>
                <w:sz w:val="24"/>
                <w:szCs w:val="20"/>
              </w:rPr>
              <w:t>przestrzennej we WrOF oraz podniesie jakości życia mieszkańców. Należy zintegrować transport kolejowy i tramwajowy z transportem autobusowym (także z uwzględnieniem integracji w zakresie rozkładów jazdy).</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Wdrażanie nowoczesnych rozwiązań cyfrowych dla systemu komunikacyjnego, które łączą w sobie nowoczesne technologie informatyczne i komunikacyjne, a także infrastrukturę transportową i pojazdy. Działania w tym zakresie pozwolą zwiększyć efektywność transportu z uwzględnieniem aspektu ochrony środowiska.</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Aktualizacja i przygotowanie dokumentów wspierających osiągnięcie zrównoważonej mobilności miejskiej.</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Wzrost znaczenia podróży wykonywanych pieszo, rowerem, czy też urządzeniami transportu osobistego (UTO) w celach rekreacyjnych i komunikacyjnych. Konieczne jest rozwijanie infrastruktury dedykowanej tym formom przemieszczenia (drogi dla rowerów, ciągi pieszo-rowerowe, chodniki, mosty kolejowe, przeprawy przez rzeki, punkty naprawcze, poprawa nawierzchni istniejącej infrastruktury, rozwój infrastruktury itd.). </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Konieczność rozwoju infrastruktury ładowania pojazdów </w:t>
            </w:r>
            <w:proofErr w:type="spellStart"/>
            <w:r w:rsidRPr="00800D30">
              <w:rPr>
                <w:rFonts w:cs="Calibri"/>
                <w:sz w:val="24"/>
                <w:szCs w:val="20"/>
              </w:rPr>
              <w:t>zeroemisyjnych</w:t>
            </w:r>
            <w:proofErr w:type="spellEnd"/>
            <w:r w:rsidRPr="00800D30">
              <w:rPr>
                <w:rFonts w:cs="Calibri"/>
                <w:sz w:val="24"/>
                <w:szCs w:val="20"/>
              </w:rPr>
              <w:t xml:space="preserve"> (elektrycznych  i wodorowych) z uwagi na dynamicznie rozwijający się sektor elektromobilności. </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Konieczność zapewnienia integracji w ramach systemu transportowego poprzez dopasowanie rozkładów jazdy poszczególnych środków transportu oraz integrację taryfowo-biletową (zintegrowany bilet na przejazdy we wszystkich rodzajach środków transportu).</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Podjęcie działań na rzecz ograniczenia występowania obszarów charakteryzujących się brakiem lub ograniczonym dostępem do komunikacji zbiorowej, w tym poprawą  jakości  i dostępności sieci drogowej na obszarze ZIT.   </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Zarówno Wrocław jak i pozostałe gminy powinny dążyć do modernizacji taborów komunikacji zbiorowej, aby zmniejszać emisyjność pojazdów koncentrując się na rozwoju zero </w:t>
            </w:r>
            <w:r w:rsidRPr="00800D30">
              <w:rPr>
                <w:rFonts w:cs="Calibri"/>
                <w:sz w:val="24"/>
                <w:szCs w:val="20"/>
              </w:rPr>
              <w:br/>
              <w:t xml:space="preserve">i niskoemisyjnej floty pojazdów oraz jej  zaplecza technicznego. </w:t>
            </w:r>
          </w:p>
        </w:tc>
      </w:tr>
      <w:tr w:rsidR="00800D30" w:rsidTr="00800D30">
        <w:trPr>
          <w:trHeight w:val="737"/>
        </w:trPr>
        <w:tc>
          <w:tcPr>
            <w:tcW w:w="9062" w:type="dxa"/>
            <w:vAlign w:val="center"/>
          </w:tcPr>
          <w:p w:rsidR="00800D30" w:rsidRPr="00800D30" w:rsidRDefault="00800D30" w:rsidP="00800D30">
            <w:pPr>
              <w:spacing w:line="240" w:lineRule="auto"/>
              <w:jc w:val="left"/>
              <w:rPr>
                <w:sz w:val="24"/>
                <w:szCs w:val="20"/>
              </w:rPr>
            </w:pPr>
            <w:r w:rsidRPr="00800D30">
              <w:rPr>
                <w:rFonts w:cs="Calibri"/>
                <w:sz w:val="24"/>
                <w:szCs w:val="20"/>
              </w:rPr>
              <w:t>Rozwój infrastruktury przesiadkowej, parkingów Park&amp;Ride oraz Bike&amp;Ride uwzględniający łączenie podróży realizowanych środkami transportu indywidualnego (samochód, rower) z komunikacją zbiorową.</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Promowanie i rozwój nowych form i usług z zakresu zrównoważonej mobilności np. transportu wodnego, UTO.</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 xml:space="preserve">Podjęcie działań na rzecz ograniczenia występowania tzw. „białych plam”, czyli obszarów związanych z brakiem lub ograniczonym dostępem do szerokopasmowego </w:t>
            </w:r>
            <w:proofErr w:type="spellStart"/>
            <w:r w:rsidRPr="00800D30">
              <w:rPr>
                <w:rFonts w:cs="Calibri"/>
                <w:sz w:val="24"/>
                <w:szCs w:val="20"/>
              </w:rPr>
              <w:t>internetu</w:t>
            </w:r>
            <w:proofErr w:type="spellEnd"/>
            <w:r w:rsidRPr="00800D30">
              <w:rPr>
                <w:rFonts w:cs="Calibri"/>
                <w:sz w:val="24"/>
                <w:szCs w:val="20"/>
              </w:rPr>
              <w:t xml:space="preserve">. </w:t>
            </w:r>
          </w:p>
        </w:tc>
      </w:tr>
      <w:tr w:rsidR="00800D30" w:rsidTr="00800D30">
        <w:trPr>
          <w:trHeight w:val="737"/>
        </w:trPr>
        <w:tc>
          <w:tcPr>
            <w:tcW w:w="9062" w:type="dxa"/>
            <w:vAlign w:val="center"/>
          </w:tcPr>
          <w:p w:rsidR="00800D30" w:rsidRPr="00800D30" w:rsidRDefault="00800D30" w:rsidP="00800D30">
            <w:pPr>
              <w:spacing w:line="240" w:lineRule="auto"/>
              <w:jc w:val="left"/>
              <w:rPr>
                <w:rFonts w:cs="Calibri"/>
                <w:sz w:val="24"/>
                <w:szCs w:val="20"/>
              </w:rPr>
            </w:pPr>
            <w:r w:rsidRPr="00800D30">
              <w:rPr>
                <w:rFonts w:cs="Calibri"/>
                <w:sz w:val="24"/>
                <w:szCs w:val="20"/>
              </w:rPr>
              <w:t>Wdrożenie możliwości świadczenia różnego rodzaju e-usług publicznych w urzędach na całym obszarze WrOF.</w:t>
            </w:r>
          </w:p>
        </w:tc>
      </w:tr>
      <w:tr w:rsidR="00800D30" w:rsidTr="00800D30">
        <w:trPr>
          <w:trHeight w:val="737"/>
        </w:trPr>
        <w:tc>
          <w:tcPr>
            <w:tcW w:w="9062" w:type="dxa"/>
            <w:vAlign w:val="center"/>
          </w:tcPr>
          <w:p w:rsidR="00800D30" w:rsidRPr="000530A7" w:rsidRDefault="00800D30" w:rsidP="00800D30">
            <w:pPr>
              <w:spacing w:line="240" w:lineRule="auto"/>
              <w:jc w:val="left"/>
              <w:rPr>
                <w:rFonts w:cs="Calibri"/>
                <w:szCs w:val="20"/>
              </w:rPr>
            </w:pPr>
            <w:r w:rsidRPr="000530A7">
              <w:rPr>
                <w:rFonts w:cs="Calibri"/>
                <w:szCs w:val="20"/>
              </w:rPr>
              <w:t xml:space="preserve">Udostępnianie danych publicznych w formie elektronicznej stanowi </w:t>
            </w:r>
            <w:r>
              <w:rPr>
                <w:rFonts w:cs="Calibri"/>
                <w:szCs w:val="20"/>
              </w:rPr>
              <w:t xml:space="preserve">niezbędny element </w:t>
            </w:r>
            <w:r w:rsidRPr="000530A7">
              <w:rPr>
                <w:rFonts w:cs="Calibri"/>
                <w:szCs w:val="20"/>
              </w:rPr>
              <w:t xml:space="preserve">rozwoju usług cyfrowych. Działania na rzecz digitalizacji zasobów publicznych przyczynią się do poprawy </w:t>
            </w:r>
            <w:r w:rsidRPr="000530A7">
              <w:rPr>
                <w:szCs w:val="20"/>
              </w:rPr>
              <w:t xml:space="preserve">komunikacji między podmiotami publicznymi a mieszkańcami WrOF. </w:t>
            </w:r>
          </w:p>
        </w:tc>
      </w:tr>
    </w:tbl>
    <w:p w:rsidR="00800D30" w:rsidRDefault="00800D30" w:rsidP="000178B1"/>
    <w:p w:rsidR="000178B1" w:rsidRPr="00C14E89" w:rsidRDefault="00204BFD" w:rsidP="00C14E89">
      <w:pPr>
        <w:pStyle w:val="Nagwek2"/>
      </w:pPr>
      <w:bookmarkStart w:id="42" w:name="_Toc124767660"/>
      <w:bookmarkStart w:id="43" w:name="_Toc125707440"/>
      <w:bookmarkStart w:id="44" w:name="_Toc143673207"/>
      <w:r w:rsidRPr="00C14E89">
        <w:t>II.</w:t>
      </w:r>
      <w:r w:rsidR="00187AED" w:rsidRPr="00C14E89">
        <w:t>4</w:t>
      </w:r>
      <w:r w:rsidR="000178B1" w:rsidRPr="00C14E89">
        <w:t xml:space="preserve"> Ludność i procesy demograficzne</w:t>
      </w:r>
      <w:bookmarkEnd w:id="42"/>
      <w:bookmarkEnd w:id="43"/>
      <w:bookmarkEnd w:id="44"/>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Procesy demograficzne powodują zmiany stanu oraz str</w:t>
      </w:r>
      <w:r w:rsidR="00204BFD" w:rsidRPr="00800D30">
        <w:rPr>
          <w:rFonts w:cstheme="minorHAnsi"/>
          <w:color w:val="000000" w:themeColor="text1"/>
          <w:sz w:val="24"/>
        </w:rPr>
        <w:t xml:space="preserve">uktury demograficznej populacji </w:t>
      </w:r>
      <w:r w:rsidRPr="00800D30">
        <w:rPr>
          <w:rFonts w:cstheme="minorHAnsi"/>
          <w:color w:val="000000" w:themeColor="text1"/>
          <w:sz w:val="24"/>
        </w:rPr>
        <w:t xml:space="preserve">Wrocławskiego Obszaru Funkcjonalnego. </w:t>
      </w:r>
      <w:r w:rsidRPr="00800D30">
        <w:rPr>
          <w:color w:val="000000" w:themeColor="text1"/>
          <w:sz w:val="24"/>
        </w:rPr>
        <w:t>W 2021 r. liczba ludności WrOF według danych BDL GUS wynosiła 1 006 202 osób, co stanowi blisko 35% ludności województwa dolnośląskiego. Na przestrzeni ostatniej dekady odnotowano wzrost wielkośc</w:t>
      </w:r>
      <w:r w:rsidR="00180408">
        <w:rPr>
          <w:color w:val="000000" w:themeColor="text1"/>
          <w:sz w:val="24"/>
        </w:rPr>
        <w:t>i populacji o 6,2%. Natomiast w </w:t>
      </w:r>
      <w:r w:rsidRPr="00800D30">
        <w:rPr>
          <w:color w:val="000000" w:themeColor="text1"/>
          <w:sz w:val="24"/>
        </w:rPr>
        <w:t xml:space="preserve">przypadku porównywanych jednostek – województwa i kraju, wskazuje się zmniejszenie liczby ludności, w obu przypadkach o 1,2%. Najwięcej osób mieszka we Wrocławiu (blisko 64% ludności całego WrOF) i kolejno w </w:t>
      </w:r>
      <w:r w:rsidR="00076682" w:rsidRPr="00800D30">
        <w:rPr>
          <w:color w:val="000000" w:themeColor="text1"/>
          <w:sz w:val="24"/>
        </w:rPr>
        <w:t xml:space="preserve">gminie: </w:t>
      </w:r>
      <w:r w:rsidR="00F610A8" w:rsidRPr="00800D30">
        <w:rPr>
          <w:color w:val="000000" w:themeColor="text1"/>
          <w:sz w:val="24"/>
        </w:rPr>
        <w:t>Oleśnica (miasto),</w:t>
      </w:r>
      <w:r w:rsidR="00961DE8" w:rsidRPr="00800D30">
        <w:rPr>
          <w:color w:val="000000" w:themeColor="text1"/>
          <w:sz w:val="24"/>
        </w:rPr>
        <w:t xml:space="preserve"> </w:t>
      </w:r>
      <w:r w:rsidR="00076682" w:rsidRPr="00800D30">
        <w:rPr>
          <w:color w:val="000000" w:themeColor="text1"/>
          <w:sz w:val="24"/>
        </w:rPr>
        <w:t xml:space="preserve">Długołęka </w:t>
      </w:r>
      <w:r w:rsidRPr="00800D30">
        <w:rPr>
          <w:color w:val="000000" w:themeColor="text1"/>
          <w:sz w:val="24"/>
        </w:rPr>
        <w:t>oraz Oław</w:t>
      </w:r>
      <w:r w:rsidR="00076682" w:rsidRPr="00800D30">
        <w:rPr>
          <w:color w:val="000000" w:themeColor="text1"/>
          <w:sz w:val="24"/>
        </w:rPr>
        <w:t>a</w:t>
      </w:r>
      <w:r w:rsidRPr="00800D30">
        <w:rPr>
          <w:color w:val="000000" w:themeColor="text1"/>
          <w:sz w:val="24"/>
        </w:rPr>
        <w:t xml:space="preserve"> (miasto).</w:t>
      </w:r>
    </w:p>
    <w:p w:rsidR="000178B1" w:rsidRPr="00800D30" w:rsidRDefault="000178B1" w:rsidP="00800D30">
      <w:pPr>
        <w:jc w:val="left"/>
        <w:rPr>
          <w:rFonts w:cstheme="minorHAnsi"/>
          <w:b/>
          <w:color w:val="000000" w:themeColor="text1"/>
          <w:sz w:val="24"/>
        </w:rPr>
      </w:pPr>
      <w:r w:rsidRPr="00800D30">
        <w:rPr>
          <w:rFonts w:cstheme="minorHAnsi"/>
          <w:color w:val="000000" w:themeColor="text1"/>
          <w:sz w:val="24"/>
        </w:rPr>
        <w:t xml:space="preserve">Największa dynamika zmian i wzrost liczby ludności charakteryzuje gminy bezpośrednio graniczące z Wrocławiem, w szczególności Czernicę, Długołękę i Siechnice. Jedyną </w:t>
      </w:r>
      <w:r w:rsidR="004A54EF" w:rsidRPr="00800D30">
        <w:rPr>
          <w:rFonts w:cstheme="minorHAnsi"/>
          <w:color w:val="000000" w:themeColor="text1"/>
          <w:sz w:val="24"/>
        </w:rPr>
        <w:t>gminą</w:t>
      </w:r>
      <w:r w:rsidR="00961DE8" w:rsidRPr="00800D30">
        <w:rPr>
          <w:rFonts w:cstheme="minorHAnsi"/>
          <w:color w:val="000000" w:themeColor="text1"/>
          <w:sz w:val="24"/>
        </w:rPr>
        <w:t xml:space="preserve"> </w:t>
      </w:r>
      <w:r w:rsidRPr="00800D30">
        <w:rPr>
          <w:rFonts w:cstheme="minorHAnsi"/>
          <w:color w:val="000000" w:themeColor="text1"/>
          <w:sz w:val="24"/>
        </w:rPr>
        <w:t>WrOF, która w ostatnich dziesięciu latach odnotowała zmniejszenie liczby ludności jest Oleśnica (miasto). W ostatnich latach widoczna jest silna suburbanizacja ośrodka wojewódzkiego – Wrocławia, a także – </w:t>
      </w:r>
      <w:r w:rsidR="00B103B8" w:rsidRPr="00800D30">
        <w:rPr>
          <w:rFonts w:cstheme="minorHAnsi"/>
          <w:color w:val="000000" w:themeColor="text1"/>
          <w:sz w:val="24"/>
        </w:rPr>
        <w:t>Oławy (miasto) i </w:t>
      </w:r>
      <w:r w:rsidRPr="00800D30">
        <w:rPr>
          <w:rFonts w:cstheme="minorHAnsi"/>
          <w:color w:val="000000" w:themeColor="text1"/>
          <w:sz w:val="24"/>
        </w:rPr>
        <w:t>Oleśnicy (miasto), któr</w:t>
      </w:r>
      <w:r w:rsidR="00A15718" w:rsidRPr="00800D30">
        <w:rPr>
          <w:rFonts w:cstheme="minorHAnsi"/>
          <w:color w:val="000000" w:themeColor="text1"/>
          <w:sz w:val="24"/>
        </w:rPr>
        <w:t>e</w:t>
      </w:r>
      <w:r w:rsidRPr="00800D30">
        <w:rPr>
          <w:rFonts w:cstheme="minorHAnsi"/>
          <w:color w:val="000000" w:themeColor="text1"/>
          <w:sz w:val="24"/>
        </w:rPr>
        <w:t xml:space="preserve"> stanow</w:t>
      </w:r>
      <w:r w:rsidR="00A15718" w:rsidRPr="00800D30">
        <w:rPr>
          <w:rFonts w:cstheme="minorHAnsi"/>
          <w:color w:val="000000" w:themeColor="text1"/>
          <w:sz w:val="24"/>
        </w:rPr>
        <w:t>ią</w:t>
      </w:r>
      <w:r w:rsidRPr="00800D30">
        <w:rPr>
          <w:rFonts w:cstheme="minorHAnsi"/>
          <w:color w:val="000000" w:themeColor="text1"/>
          <w:sz w:val="24"/>
        </w:rPr>
        <w:t xml:space="preserve"> istotne wyzwanie, zwłaszcza w kontekście prowadzenia polityki społecznej</w:t>
      </w:r>
      <w:r w:rsidR="000276DF" w:rsidRPr="00800D30">
        <w:rPr>
          <w:rFonts w:cstheme="minorHAnsi"/>
          <w:color w:val="000000" w:themeColor="text1"/>
          <w:sz w:val="24"/>
        </w:rPr>
        <w:t>,</w:t>
      </w:r>
      <w:r w:rsidRPr="00800D30">
        <w:rPr>
          <w:rFonts w:cstheme="minorHAnsi"/>
          <w:color w:val="000000" w:themeColor="text1"/>
          <w:sz w:val="24"/>
        </w:rPr>
        <w:t xml:space="preserve"> edukacyjnej oraz przestrzennej. Według danych pozyskanych z urzędów gmin WrOF, populacja obszaru jest nieco niższa niż według danych BDL GUS. W 2021 r. liczba ludności WrOF wynosiła 950 404, a dynamika zmian w ostatnim dziesięcioleciu kształtowała się na poziomie 6,5%. Zmiana była nieco wyższa w porównaniu do średniej uzyskanej na podstawie danych BDL GUS. Rozbieżność ta wynika z różnych sposobów agregowania danych i uwzględniana w danych GUS wyników spisu powszechnego ludności oraz danych dotyczących ruchów ludności (naturalnego i migracyjnego)</w:t>
      </w:r>
      <w:r w:rsidRPr="00800D30">
        <w:rPr>
          <w:rStyle w:val="Odwoanieprzypisudolnego"/>
          <w:rFonts w:cstheme="minorHAnsi"/>
          <w:color w:val="000000" w:themeColor="text1"/>
          <w:sz w:val="24"/>
        </w:rPr>
        <w:footnoteReference w:id="17"/>
      </w:r>
      <w:r w:rsidRPr="00800D30">
        <w:rPr>
          <w:rFonts w:cstheme="minorHAnsi"/>
          <w:color w:val="000000" w:themeColor="text1"/>
          <w:sz w:val="24"/>
        </w:rPr>
        <w:t xml:space="preserve">. </w:t>
      </w:r>
    </w:p>
    <w:p w:rsidR="00180408" w:rsidRDefault="00180408" w:rsidP="00800D30">
      <w:pPr>
        <w:spacing w:before="120" w:after="0"/>
        <w:jc w:val="left"/>
        <w:rPr>
          <w:rFonts w:cstheme="minorHAnsi"/>
          <w:b/>
          <w:color w:val="000000" w:themeColor="text1"/>
          <w:sz w:val="24"/>
        </w:rPr>
      </w:pPr>
      <w:r>
        <w:rPr>
          <w:rFonts w:cstheme="minorHAnsi"/>
          <w:b/>
          <w:color w:val="000000" w:themeColor="text1"/>
          <w:sz w:val="24"/>
        </w:rPr>
        <w:br w:type="page"/>
      </w:r>
    </w:p>
    <w:p w:rsidR="000178B1" w:rsidRPr="00800D30" w:rsidRDefault="000178B1" w:rsidP="00800D30">
      <w:pPr>
        <w:spacing w:before="120" w:after="0"/>
        <w:jc w:val="left"/>
        <w:rPr>
          <w:rFonts w:cstheme="minorHAnsi"/>
          <w:b/>
          <w:color w:val="000000" w:themeColor="text1"/>
          <w:sz w:val="24"/>
        </w:rPr>
      </w:pPr>
      <w:r w:rsidRPr="00800D30">
        <w:rPr>
          <w:rFonts w:cstheme="minorHAnsi"/>
          <w:b/>
          <w:color w:val="000000" w:themeColor="text1"/>
          <w:sz w:val="24"/>
        </w:rPr>
        <w:t>Prognoza ludności</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Prognoza ludności do roku 2030 przygotowana przez Instytut Rozwoju Terytorialnego we Wrocławiu wskazuje na przyrost populacji WrOF rzędu 5,2%, natomiast dla województwa widoczne będzie zmniejszenie liczby mieszańców o 0,7%. Według prognozy liczba ludności WrOF w 2030 r. wyniesie prawdopodobnie 1 058 725. Zauważane w ostatniej dekad</w:t>
      </w:r>
      <w:r w:rsidR="00961DE8" w:rsidRPr="00800D30">
        <w:rPr>
          <w:rFonts w:cstheme="minorHAnsi"/>
          <w:color w:val="000000" w:themeColor="text1"/>
          <w:sz w:val="24"/>
        </w:rPr>
        <w:t>zie tendencje będą postępować. N</w:t>
      </w:r>
      <w:r w:rsidRPr="00800D30">
        <w:rPr>
          <w:rFonts w:cstheme="minorHAnsi"/>
          <w:color w:val="000000" w:themeColor="text1"/>
          <w:sz w:val="24"/>
        </w:rPr>
        <w:t xml:space="preserve">ajwyższy przyrost liczby mieszkańców prawdopodobnie odnotują gminy bezpośrednio graniczące z Wrocławiem, co będzie efektem postępującej suburbanizacji. Prawdopodobnie ponad 20% wzrost </w:t>
      </w:r>
      <w:r w:rsidR="00180408">
        <w:rPr>
          <w:rFonts w:cstheme="minorHAnsi"/>
          <w:color w:val="000000" w:themeColor="text1"/>
          <w:sz w:val="24"/>
        </w:rPr>
        <w:t>populacji odnotowany zostanie w </w:t>
      </w:r>
      <w:r w:rsidR="008460B5" w:rsidRPr="00800D30">
        <w:rPr>
          <w:rFonts w:cstheme="minorHAnsi"/>
          <w:color w:val="000000" w:themeColor="text1"/>
          <w:sz w:val="24"/>
        </w:rPr>
        <w:t xml:space="preserve">gminach: </w:t>
      </w:r>
      <w:r w:rsidRPr="00800D30">
        <w:rPr>
          <w:rFonts w:cstheme="minorHAnsi"/>
          <w:color w:val="000000" w:themeColor="text1"/>
          <w:sz w:val="24"/>
        </w:rPr>
        <w:t>Czernic</w:t>
      </w:r>
      <w:r w:rsidR="00DC4889" w:rsidRPr="00800D30">
        <w:rPr>
          <w:rFonts w:cstheme="minorHAnsi"/>
          <w:color w:val="000000" w:themeColor="text1"/>
          <w:sz w:val="24"/>
        </w:rPr>
        <w:t>a</w:t>
      </w:r>
      <w:r w:rsidRPr="00800D30">
        <w:rPr>
          <w:rFonts w:cstheme="minorHAnsi"/>
          <w:color w:val="000000" w:themeColor="text1"/>
          <w:sz w:val="24"/>
        </w:rPr>
        <w:t>, Długołę</w:t>
      </w:r>
      <w:r w:rsidR="00DC4889" w:rsidRPr="00800D30">
        <w:rPr>
          <w:rFonts w:cstheme="minorHAnsi"/>
          <w:color w:val="000000" w:themeColor="text1"/>
          <w:sz w:val="24"/>
        </w:rPr>
        <w:t>ka</w:t>
      </w:r>
      <w:r w:rsidRPr="00800D30">
        <w:rPr>
          <w:rFonts w:cstheme="minorHAnsi"/>
          <w:color w:val="000000" w:themeColor="text1"/>
          <w:sz w:val="24"/>
        </w:rPr>
        <w:t>, Kobierzyc</w:t>
      </w:r>
      <w:r w:rsidR="00DC4889" w:rsidRPr="00800D30">
        <w:rPr>
          <w:rFonts w:cstheme="minorHAnsi"/>
          <w:color w:val="000000" w:themeColor="text1"/>
          <w:sz w:val="24"/>
        </w:rPr>
        <w:t>e</w:t>
      </w:r>
      <w:r w:rsidR="00961DE8" w:rsidRPr="00800D30">
        <w:rPr>
          <w:rFonts w:cstheme="minorHAnsi"/>
          <w:color w:val="000000" w:themeColor="text1"/>
          <w:sz w:val="24"/>
        </w:rPr>
        <w:t xml:space="preserve"> </w:t>
      </w:r>
      <w:r w:rsidR="00DC4889" w:rsidRPr="00800D30">
        <w:rPr>
          <w:rFonts w:cstheme="minorHAnsi"/>
          <w:color w:val="000000" w:themeColor="text1"/>
          <w:sz w:val="24"/>
        </w:rPr>
        <w:t>oraz</w:t>
      </w:r>
      <w:r w:rsidRPr="00800D30">
        <w:rPr>
          <w:rFonts w:cstheme="minorHAnsi"/>
          <w:color w:val="000000" w:themeColor="text1"/>
          <w:sz w:val="24"/>
        </w:rPr>
        <w:t xml:space="preserve"> Miękin</w:t>
      </w:r>
      <w:r w:rsidR="00DC4889" w:rsidRPr="00800D30">
        <w:rPr>
          <w:rFonts w:cstheme="minorHAnsi"/>
          <w:color w:val="000000" w:themeColor="text1"/>
          <w:sz w:val="24"/>
        </w:rPr>
        <w:t>ia</w:t>
      </w:r>
      <w:r w:rsidRPr="00800D30">
        <w:rPr>
          <w:rFonts w:cstheme="minorHAnsi"/>
          <w:color w:val="000000" w:themeColor="text1"/>
          <w:sz w:val="24"/>
        </w:rPr>
        <w:t xml:space="preserve">. </w:t>
      </w:r>
    </w:p>
    <w:p w:rsidR="000178B1" w:rsidRPr="00800D30" w:rsidRDefault="000178B1" w:rsidP="00800D30">
      <w:pPr>
        <w:spacing w:before="120" w:after="0"/>
        <w:jc w:val="left"/>
        <w:rPr>
          <w:rFonts w:cstheme="minorHAnsi"/>
          <w:b/>
          <w:color w:val="000000" w:themeColor="text1"/>
          <w:sz w:val="24"/>
        </w:rPr>
      </w:pPr>
      <w:r w:rsidRPr="00800D30">
        <w:rPr>
          <w:rFonts w:cstheme="minorHAnsi"/>
          <w:b/>
          <w:color w:val="000000" w:themeColor="text1"/>
          <w:sz w:val="24"/>
        </w:rPr>
        <w:t>Struktura ludności</w:t>
      </w:r>
    </w:p>
    <w:p w:rsidR="000178B1" w:rsidRPr="00800D30" w:rsidRDefault="000178B1" w:rsidP="00800D30">
      <w:pPr>
        <w:spacing w:after="0"/>
        <w:jc w:val="left"/>
        <w:rPr>
          <w:rFonts w:cstheme="minorHAnsi"/>
          <w:color w:val="000000" w:themeColor="text1"/>
          <w:sz w:val="24"/>
        </w:rPr>
      </w:pPr>
      <w:r w:rsidRPr="00800D30">
        <w:rPr>
          <w:rFonts w:cstheme="minorHAnsi"/>
          <w:color w:val="000000" w:themeColor="text1"/>
          <w:sz w:val="24"/>
        </w:rPr>
        <w:t xml:space="preserve">Udział ludności w wieku przedprodukcyjnym </w:t>
      </w:r>
      <w:r w:rsidR="000B35ED" w:rsidRPr="00800D30">
        <w:rPr>
          <w:rFonts w:cstheme="minorHAnsi"/>
          <w:color w:val="000000" w:themeColor="text1"/>
          <w:sz w:val="24"/>
        </w:rPr>
        <w:t xml:space="preserve">w 2021 r. </w:t>
      </w:r>
      <w:r w:rsidRPr="00800D30">
        <w:rPr>
          <w:rFonts w:cstheme="minorHAnsi"/>
          <w:color w:val="000000" w:themeColor="text1"/>
          <w:sz w:val="24"/>
        </w:rPr>
        <w:t>we WrOF wynosił 18,8% i był wyższy niż wartości dla kraju (18,2%), czy województwa (17,4%). Ponadto w ostatniej dekadzie odnotowano wzrost udziału tej grupy wiekowej o 2,5 pp. Najmłodsze społeczeństwo zamieszkuje gminę Siechnice (25,5% ludności w wieku przedprodukcyjnym). Wzrost udziału tej grupy jest zjawiskiem pożądanym, stanowi ona potencjał rozwojowy obszaru.</w:t>
      </w:r>
      <w:r w:rsidR="00961DE8" w:rsidRPr="00800D30">
        <w:rPr>
          <w:rFonts w:cstheme="minorHAnsi"/>
          <w:color w:val="000000" w:themeColor="text1"/>
          <w:sz w:val="24"/>
        </w:rPr>
        <w:t xml:space="preserve"> </w:t>
      </w:r>
      <w:r w:rsidR="00180408">
        <w:rPr>
          <w:rFonts w:cstheme="minorHAnsi"/>
          <w:color w:val="000000" w:themeColor="text1"/>
          <w:sz w:val="24"/>
        </w:rPr>
        <w:t>W </w:t>
      </w:r>
      <w:r w:rsidRPr="00800D30">
        <w:rPr>
          <w:rFonts w:cstheme="minorHAnsi"/>
          <w:color w:val="000000" w:themeColor="text1"/>
          <w:sz w:val="24"/>
        </w:rPr>
        <w:t>strukturze ludności poszczególnych gmin dominują osoby w wieku produkcyjnym, jednakże w ostatniej dekadzie widoczne jest zmniejszenie udziału ludności w tej grupie (o 6,3 pp.) we WrOF. Największy ich udział charakteryzuje Oleśnicę (gmina wiejska), Oławę (gmina wiejska)</w:t>
      </w:r>
      <w:r w:rsidR="00E131CD" w:rsidRPr="00800D30">
        <w:rPr>
          <w:rFonts w:cstheme="minorHAnsi"/>
          <w:color w:val="000000" w:themeColor="text1"/>
          <w:sz w:val="24"/>
        </w:rPr>
        <w:t xml:space="preserve"> oraz gminy: </w:t>
      </w:r>
      <w:r w:rsidRPr="00800D30">
        <w:rPr>
          <w:rFonts w:cstheme="minorHAnsi"/>
          <w:color w:val="000000" w:themeColor="text1"/>
          <w:sz w:val="24"/>
        </w:rPr>
        <w:t>Zawoni</w:t>
      </w:r>
      <w:r w:rsidR="00E131CD" w:rsidRPr="00800D30">
        <w:rPr>
          <w:rFonts w:cstheme="minorHAnsi"/>
          <w:color w:val="000000" w:themeColor="text1"/>
          <w:sz w:val="24"/>
        </w:rPr>
        <w:t>a</w:t>
      </w:r>
      <w:r w:rsidRPr="00800D30">
        <w:rPr>
          <w:rFonts w:cstheme="minorHAnsi"/>
          <w:color w:val="000000" w:themeColor="text1"/>
          <w:sz w:val="24"/>
        </w:rPr>
        <w:t>, Miękini</w:t>
      </w:r>
      <w:r w:rsidR="00E131CD" w:rsidRPr="00800D30">
        <w:rPr>
          <w:rFonts w:cstheme="minorHAnsi"/>
          <w:color w:val="000000" w:themeColor="text1"/>
          <w:sz w:val="24"/>
        </w:rPr>
        <w:t>a</w:t>
      </w:r>
      <w:r w:rsidR="00961DE8" w:rsidRPr="00800D30">
        <w:rPr>
          <w:rFonts w:cstheme="minorHAnsi"/>
          <w:color w:val="000000" w:themeColor="text1"/>
          <w:sz w:val="24"/>
        </w:rPr>
        <w:t xml:space="preserve"> </w:t>
      </w:r>
      <w:r w:rsidR="00E131CD" w:rsidRPr="00800D30">
        <w:rPr>
          <w:rFonts w:cstheme="minorHAnsi"/>
          <w:color w:val="000000" w:themeColor="text1"/>
          <w:sz w:val="24"/>
        </w:rPr>
        <w:t>i</w:t>
      </w:r>
      <w:r w:rsidRPr="00800D30">
        <w:rPr>
          <w:rFonts w:cstheme="minorHAnsi"/>
          <w:color w:val="000000" w:themeColor="text1"/>
          <w:sz w:val="24"/>
        </w:rPr>
        <w:t xml:space="preserve"> Wiszni</w:t>
      </w:r>
      <w:r w:rsidR="00E131CD" w:rsidRPr="00800D30">
        <w:rPr>
          <w:rFonts w:cstheme="minorHAnsi"/>
          <w:color w:val="000000" w:themeColor="text1"/>
          <w:sz w:val="24"/>
        </w:rPr>
        <w:t>a</w:t>
      </w:r>
      <w:r w:rsidRPr="00800D30">
        <w:rPr>
          <w:rFonts w:cstheme="minorHAnsi"/>
          <w:color w:val="000000" w:themeColor="text1"/>
          <w:sz w:val="24"/>
        </w:rPr>
        <w:t xml:space="preserve"> Mał</w:t>
      </w:r>
      <w:r w:rsidR="00E131CD" w:rsidRPr="00800D30">
        <w:rPr>
          <w:rFonts w:cstheme="minorHAnsi"/>
          <w:color w:val="000000" w:themeColor="text1"/>
          <w:sz w:val="24"/>
        </w:rPr>
        <w:t>a</w:t>
      </w:r>
      <w:r w:rsidRPr="00800D30">
        <w:rPr>
          <w:rFonts w:cstheme="minorHAnsi"/>
          <w:color w:val="000000" w:themeColor="text1"/>
          <w:sz w:val="24"/>
        </w:rPr>
        <w:t xml:space="preserve">. </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Ciężar utrzymywania ludności w wieku nieprodukcyjnym</w:t>
      </w:r>
      <w:r w:rsidRPr="00800D30">
        <w:rPr>
          <w:rStyle w:val="Odwoanieprzypisudolnego"/>
          <w:rFonts w:cstheme="minorHAnsi"/>
          <w:color w:val="000000" w:themeColor="text1"/>
          <w:sz w:val="24"/>
        </w:rPr>
        <w:footnoteReference w:id="18"/>
      </w:r>
      <w:r w:rsidR="00180408">
        <w:rPr>
          <w:rFonts w:cstheme="minorHAnsi"/>
          <w:color w:val="000000" w:themeColor="text1"/>
          <w:sz w:val="24"/>
        </w:rPr>
        <w:t xml:space="preserve"> spoczywa na ludności będącej w </w:t>
      </w:r>
      <w:r w:rsidRPr="00800D30">
        <w:rPr>
          <w:rFonts w:cstheme="minorHAnsi"/>
          <w:color w:val="000000" w:themeColor="text1"/>
          <w:sz w:val="24"/>
        </w:rPr>
        <w:t>wieku produkcyjnym. Jak wynika ze zgromadzonych danych, liczba ludności w wieku nieprodukcyjnym na 100 osób w wieku produkcyjnym we</w:t>
      </w:r>
      <w:r w:rsidR="00180408">
        <w:rPr>
          <w:rFonts w:cstheme="minorHAnsi"/>
          <w:color w:val="000000" w:themeColor="text1"/>
          <w:sz w:val="24"/>
        </w:rPr>
        <w:t> WrOF w 2021 r. wynosiła 71,2 i </w:t>
      </w:r>
      <w:r w:rsidRPr="00800D30">
        <w:rPr>
          <w:rFonts w:cstheme="minorHAnsi"/>
          <w:color w:val="000000" w:themeColor="text1"/>
          <w:sz w:val="24"/>
        </w:rPr>
        <w:t xml:space="preserve">była wyższa niż wartość dla województwa (70,3) czy kraju (69,0). W stosunku do 2012 r. widoczny jest znaczący wzrost wartości tego wskaźnika (o 30,3%). Najwyższą dynamikę zmian odnotowano w gminie Jelcz-Laskowice. </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We WrOF obserwuje się proces starzenia społeczności, jednakże jego natężenie, a tym samym dynamika zmian w porównaniu do wartości dla województwa jest niższa. Udział ludności w wieku 65 i więcej lat jest wyższy na obszarach miejskich, z uwagi na lepszą dostępność do różnego rodzaju usług i placówek, ze szczególnym wskazaniem placówek ochrony zdrowia, ale również ze wzrostem mobilności wśród tej grupy mieszkańców. Mimo iż problem starzenia się populacji nie jest kluczowym problemem WrOF, należy mieć na uwadze, że starzejące się spo</w:t>
      </w:r>
      <w:r w:rsidR="00760A34" w:rsidRPr="00800D30">
        <w:rPr>
          <w:rFonts w:cstheme="minorHAnsi"/>
          <w:color w:val="000000" w:themeColor="text1"/>
          <w:sz w:val="24"/>
        </w:rPr>
        <w:t>łeczeństwo stanowi wyzwanie dla </w:t>
      </w:r>
      <w:r w:rsidRPr="00800D30">
        <w:rPr>
          <w:rFonts w:cstheme="minorHAnsi"/>
          <w:color w:val="000000" w:themeColor="text1"/>
          <w:sz w:val="24"/>
        </w:rPr>
        <w:t>samorządów. Związane jest to z koniecznością zaspokojenia ich potr</w:t>
      </w:r>
      <w:r w:rsidR="00961DE8" w:rsidRPr="00800D30">
        <w:rPr>
          <w:rFonts w:cstheme="minorHAnsi"/>
          <w:color w:val="000000" w:themeColor="text1"/>
          <w:sz w:val="24"/>
        </w:rPr>
        <w:t>zeb i zapewnienia dostępu m.in. </w:t>
      </w:r>
      <w:r w:rsidRPr="00800D30">
        <w:rPr>
          <w:rFonts w:cstheme="minorHAnsi"/>
          <w:color w:val="000000" w:themeColor="text1"/>
          <w:sz w:val="24"/>
        </w:rPr>
        <w:t xml:space="preserve">do podstawowych, jak i specjalistycznych usług medycznych, usług pomocy społecznej oraz usług kierowanych do osób starszych, m.in. opiekuńczych, rehabilitacyjnych, edukacyjnych (koncepcja </w:t>
      </w:r>
      <w:proofErr w:type="spellStart"/>
      <w:r w:rsidRPr="00800D30">
        <w:rPr>
          <w:rFonts w:cstheme="minorHAnsi"/>
          <w:color w:val="000000" w:themeColor="text1"/>
          <w:sz w:val="24"/>
        </w:rPr>
        <w:t>lifelong</w:t>
      </w:r>
      <w:proofErr w:type="spellEnd"/>
      <w:r w:rsidRPr="00800D30">
        <w:rPr>
          <w:rFonts w:cstheme="minorHAnsi"/>
          <w:color w:val="000000" w:themeColor="text1"/>
          <w:sz w:val="24"/>
        </w:rPr>
        <w:t xml:space="preserve"> learning) oraz rekreacyjnych.</w:t>
      </w:r>
    </w:p>
    <w:p w:rsidR="000178B1" w:rsidRPr="00800D30" w:rsidRDefault="000178B1" w:rsidP="00800D30">
      <w:pPr>
        <w:spacing w:before="240"/>
        <w:jc w:val="left"/>
        <w:rPr>
          <w:rFonts w:cstheme="minorHAnsi"/>
          <w:color w:val="000000" w:themeColor="text1"/>
          <w:sz w:val="24"/>
        </w:rPr>
      </w:pPr>
      <w:r w:rsidRPr="00800D30">
        <w:rPr>
          <w:rFonts w:cstheme="minorHAnsi"/>
          <w:color w:val="000000" w:themeColor="text1"/>
          <w:sz w:val="24"/>
        </w:rPr>
        <w:t>Ruch naturalny, wyrażony wskaźnikiem przyrostu naturalnego na 1</w:t>
      </w:r>
      <w:r w:rsidR="00961DE8" w:rsidRPr="00800D30">
        <w:rPr>
          <w:rFonts w:cstheme="minorHAnsi"/>
          <w:color w:val="000000" w:themeColor="text1"/>
          <w:sz w:val="24"/>
        </w:rPr>
        <w:t xml:space="preserve"> </w:t>
      </w:r>
      <w:r w:rsidR="00180408">
        <w:rPr>
          <w:rFonts w:cstheme="minorHAnsi"/>
          <w:color w:val="000000" w:themeColor="text1"/>
          <w:sz w:val="24"/>
        </w:rPr>
        <w:t>000 mieszkańców, w </w:t>
      </w:r>
      <w:r w:rsidRPr="00800D30">
        <w:rPr>
          <w:rFonts w:cstheme="minorHAnsi"/>
          <w:color w:val="000000" w:themeColor="text1"/>
          <w:sz w:val="24"/>
        </w:rPr>
        <w:t xml:space="preserve">2021 r. dla WrOF był na poziomie ujemnym i wynosił -1,1. Jednakże sytuacja ta jest korzystniejsza w porównaniu do województwa dolnośląskiego (-5,5) czy kraju (-4,9). Dodatnie wartości przyrostu naturalnego widoczne są przede wszystkim w gminach będących w bezpośrednim otoczeniu Wrocławia (wyjątek stanowi </w:t>
      </w:r>
      <w:r w:rsidR="00261DB4" w:rsidRPr="00800D30">
        <w:rPr>
          <w:rFonts w:cstheme="minorHAnsi"/>
          <w:color w:val="000000" w:themeColor="text1"/>
          <w:sz w:val="24"/>
        </w:rPr>
        <w:t>gmina</w:t>
      </w:r>
      <w:r w:rsidR="009F0231" w:rsidRPr="00800D30">
        <w:rPr>
          <w:rFonts w:cstheme="minorHAnsi"/>
          <w:color w:val="000000" w:themeColor="text1"/>
          <w:sz w:val="24"/>
        </w:rPr>
        <w:t>:</w:t>
      </w:r>
      <w:r w:rsidR="00961DE8" w:rsidRPr="00800D30">
        <w:rPr>
          <w:rFonts w:cstheme="minorHAnsi"/>
          <w:color w:val="000000" w:themeColor="text1"/>
          <w:sz w:val="24"/>
        </w:rPr>
        <w:t xml:space="preserve"> </w:t>
      </w:r>
      <w:r w:rsidRPr="00800D30">
        <w:rPr>
          <w:rFonts w:cstheme="minorHAnsi"/>
          <w:color w:val="000000" w:themeColor="text1"/>
          <w:sz w:val="24"/>
        </w:rPr>
        <w:t xml:space="preserve">Wisznia Mała </w:t>
      </w:r>
      <w:r w:rsidR="009F0231" w:rsidRPr="00800D30">
        <w:rPr>
          <w:rFonts w:cstheme="minorHAnsi"/>
          <w:color w:val="000000" w:themeColor="text1"/>
          <w:sz w:val="24"/>
        </w:rPr>
        <w:t>oraz</w:t>
      </w:r>
      <w:r w:rsidRPr="00800D30">
        <w:rPr>
          <w:rFonts w:cstheme="minorHAnsi"/>
          <w:color w:val="000000" w:themeColor="text1"/>
          <w:sz w:val="24"/>
        </w:rPr>
        <w:t xml:space="preserve"> Oborniki Śląskie, co wynika z wysokiego odsetka osób w wieku </w:t>
      </w:r>
      <w:r w:rsidR="00961DE8" w:rsidRPr="00800D30">
        <w:rPr>
          <w:rFonts w:cstheme="minorHAnsi"/>
          <w:color w:val="000000" w:themeColor="text1"/>
          <w:sz w:val="24"/>
        </w:rPr>
        <w:t>65 i </w:t>
      </w:r>
      <w:r w:rsidRPr="00800D30">
        <w:rPr>
          <w:rFonts w:cstheme="minorHAnsi"/>
          <w:color w:val="000000" w:themeColor="text1"/>
          <w:sz w:val="24"/>
        </w:rPr>
        <w:t xml:space="preserve">więcej lat oraz przewagi liczby zgonów nad urodzeniami). W </w:t>
      </w:r>
      <w:r w:rsidR="009F0231" w:rsidRPr="00800D30">
        <w:rPr>
          <w:rFonts w:cstheme="minorHAnsi"/>
          <w:color w:val="000000" w:themeColor="text1"/>
          <w:sz w:val="24"/>
        </w:rPr>
        <w:t xml:space="preserve">gminie </w:t>
      </w:r>
      <w:r w:rsidRPr="00800D30">
        <w:rPr>
          <w:rFonts w:cstheme="minorHAnsi"/>
          <w:color w:val="000000" w:themeColor="text1"/>
          <w:sz w:val="24"/>
        </w:rPr>
        <w:t>Sobót</w:t>
      </w:r>
      <w:r w:rsidR="009F0231" w:rsidRPr="00800D30">
        <w:rPr>
          <w:rFonts w:cstheme="minorHAnsi"/>
          <w:color w:val="000000" w:themeColor="text1"/>
          <w:sz w:val="24"/>
        </w:rPr>
        <w:t>ka</w:t>
      </w:r>
      <w:r w:rsidRPr="00800D30">
        <w:rPr>
          <w:rFonts w:cstheme="minorHAnsi"/>
          <w:color w:val="000000" w:themeColor="text1"/>
          <w:sz w:val="24"/>
        </w:rPr>
        <w:t xml:space="preserve"> wartość przyrostu naturalnego w 2021 r. wynosiła -6,2 i przedstawiała się gorzej w p</w:t>
      </w:r>
      <w:r w:rsidR="00961DE8" w:rsidRPr="00800D30">
        <w:rPr>
          <w:rFonts w:cstheme="minorHAnsi"/>
          <w:color w:val="000000" w:themeColor="text1"/>
          <w:sz w:val="24"/>
        </w:rPr>
        <w:t>orównaniu do sytuacji w kraju i </w:t>
      </w:r>
      <w:r w:rsidRPr="00800D30">
        <w:rPr>
          <w:rFonts w:cstheme="minorHAnsi"/>
          <w:color w:val="000000" w:themeColor="text1"/>
          <w:sz w:val="24"/>
        </w:rPr>
        <w:t xml:space="preserve">województwie. </w:t>
      </w:r>
    </w:p>
    <w:p w:rsidR="000178B1" w:rsidRPr="00800D30" w:rsidRDefault="000178B1" w:rsidP="00800D30">
      <w:pPr>
        <w:spacing w:before="120" w:after="0"/>
        <w:jc w:val="left"/>
        <w:rPr>
          <w:rFonts w:cstheme="minorHAnsi"/>
          <w:b/>
          <w:color w:val="000000" w:themeColor="text1"/>
          <w:sz w:val="24"/>
        </w:rPr>
      </w:pPr>
      <w:r w:rsidRPr="00800D30">
        <w:rPr>
          <w:rFonts w:cstheme="minorHAnsi"/>
          <w:b/>
          <w:color w:val="000000" w:themeColor="text1"/>
          <w:sz w:val="24"/>
        </w:rPr>
        <w:t>Procesy migracyjne</w:t>
      </w:r>
    </w:p>
    <w:p w:rsidR="000178B1" w:rsidRPr="00800D30" w:rsidRDefault="000178B1" w:rsidP="00800D30">
      <w:pPr>
        <w:spacing w:after="120"/>
        <w:jc w:val="left"/>
        <w:rPr>
          <w:rFonts w:cstheme="minorHAnsi"/>
          <w:color w:val="000000" w:themeColor="text1"/>
          <w:sz w:val="24"/>
        </w:rPr>
      </w:pPr>
      <w:r w:rsidRPr="00800D30">
        <w:rPr>
          <w:rFonts w:cstheme="minorHAnsi"/>
          <w:color w:val="000000" w:themeColor="text1"/>
          <w:sz w:val="24"/>
        </w:rPr>
        <w:t>W ostatnich dziesięciu latach widoczny jest wzrost wartości wskaźnika salda migracji, któr</w:t>
      </w:r>
      <w:r w:rsidR="00961DE8" w:rsidRPr="00800D30">
        <w:rPr>
          <w:rFonts w:cstheme="minorHAnsi"/>
          <w:color w:val="000000" w:themeColor="text1"/>
          <w:sz w:val="24"/>
        </w:rPr>
        <w:t>y</w:t>
      </w:r>
      <w:r w:rsidRPr="00800D30">
        <w:rPr>
          <w:rFonts w:cstheme="minorHAnsi"/>
          <w:color w:val="000000" w:themeColor="text1"/>
          <w:sz w:val="24"/>
        </w:rPr>
        <w:t xml:space="preserve"> w przeliczeniu na 1</w:t>
      </w:r>
      <w:r w:rsidR="00961DE8" w:rsidRPr="00800D30">
        <w:rPr>
          <w:rFonts w:cstheme="minorHAnsi"/>
          <w:color w:val="000000" w:themeColor="text1"/>
          <w:sz w:val="24"/>
        </w:rPr>
        <w:t xml:space="preserve"> </w:t>
      </w:r>
      <w:r w:rsidRPr="00800D30">
        <w:rPr>
          <w:rFonts w:cstheme="minorHAnsi"/>
          <w:color w:val="000000" w:themeColor="text1"/>
          <w:sz w:val="24"/>
        </w:rPr>
        <w:t>000 mieszk</w:t>
      </w:r>
      <w:r w:rsidR="00961DE8" w:rsidRPr="00800D30">
        <w:rPr>
          <w:rFonts w:cstheme="minorHAnsi"/>
          <w:color w:val="000000" w:themeColor="text1"/>
          <w:sz w:val="24"/>
        </w:rPr>
        <w:t>ańców w 2021 r. we WrOF wynosił</w:t>
      </w:r>
      <w:r w:rsidRPr="00800D30">
        <w:rPr>
          <w:rFonts w:cstheme="minorHAnsi"/>
          <w:color w:val="000000" w:themeColor="text1"/>
          <w:sz w:val="24"/>
        </w:rPr>
        <w:t xml:space="preserve"> 6,4 os., a wartość ta była wyższa w porównaniu do średniej dla województwa (1,2 os.) czy kraju (0,1 os.). Wysoka wartość wskaźnika świadczy o atrakcyjności osiedleńczej obszaru. Gmina Czernica od kilku lat jest na pierwszym miejscu w kraju pod kątem salda migracji na 1000 mieszkańców</w:t>
      </w:r>
      <w:r w:rsidRPr="00800D30">
        <w:rPr>
          <w:rStyle w:val="Odwoanieprzypisudolnego"/>
          <w:rFonts w:cstheme="minorHAnsi"/>
          <w:color w:val="000000" w:themeColor="text1"/>
          <w:sz w:val="24"/>
        </w:rPr>
        <w:footnoteReference w:id="19"/>
      </w:r>
      <w:r w:rsidRPr="00800D30">
        <w:rPr>
          <w:rFonts w:cstheme="minorHAnsi"/>
          <w:color w:val="000000" w:themeColor="text1"/>
          <w:sz w:val="24"/>
        </w:rPr>
        <w:t>. Ponadto, podobnie jak w przypadku przyrostu naturalnego, wyższe wartości odnotowuje się w gminach, które bezpośrednio graniczą z Wrocławiem, a także w gminach wiejskich otaczających miasta, m.in. Oleśnica (gmina wiejska). Ujemne wartości wskaźnika w 2021 r. odnotowano w</w:t>
      </w:r>
      <w:r w:rsidR="00323881" w:rsidRPr="00800D30">
        <w:rPr>
          <w:rFonts w:cstheme="minorHAnsi"/>
          <w:color w:val="000000" w:themeColor="text1"/>
          <w:sz w:val="24"/>
        </w:rPr>
        <w:t xml:space="preserve"> gminie</w:t>
      </w:r>
      <w:r w:rsidRPr="00800D30">
        <w:rPr>
          <w:rFonts w:cstheme="minorHAnsi"/>
          <w:color w:val="000000" w:themeColor="text1"/>
          <w:sz w:val="24"/>
        </w:rPr>
        <w:t xml:space="preserve"> Zawoni</w:t>
      </w:r>
      <w:r w:rsidR="00323881" w:rsidRPr="00800D30">
        <w:rPr>
          <w:rFonts w:cstheme="minorHAnsi"/>
          <w:color w:val="000000" w:themeColor="text1"/>
          <w:sz w:val="24"/>
        </w:rPr>
        <w:t>a</w:t>
      </w:r>
      <w:r w:rsidRPr="00800D30">
        <w:rPr>
          <w:rFonts w:cstheme="minorHAnsi"/>
          <w:color w:val="000000" w:themeColor="text1"/>
          <w:sz w:val="24"/>
        </w:rPr>
        <w:t>, co może świadczyć o niższ</w:t>
      </w:r>
      <w:r w:rsidR="00180408">
        <w:rPr>
          <w:rFonts w:cstheme="minorHAnsi"/>
          <w:color w:val="000000" w:themeColor="text1"/>
          <w:sz w:val="24"/>
        </w:rPr>
        <w:t>ej atrakcyjności obszaru oraz w </w:t>
      </w:r>
      <w:r w:rsidRPr="00800D30">
        <w:rPr>
          <w:rFonts w:cstheme="minorHAnsi"/>
          <w:color w:val="000000" w:themeColor="text1"/>
          <w:sz w:val="24"/>
        </w:rPr>
        <w:t xml:space="preserve">Oleśnicy (miasto), będącej miastem powiatowym, które podobnie jak Wrocław dotykają procesy suburbanizacji. </w:t>
      </w:r>
    </w:p>
    <w:p w:rsidR="000178B1" w:rsidRPr="00800D30" w:rsidRDefault="000178B1" w:rsidP="00800D30">
      <w:pPr>
        <w:spacing w:after="120"/>
        <w:jc w:val="left"/>
        <w:rPr>
          <w:rFonts w:cstheme="minorHAnsi"/>
          <w:color w:val="000000" w:themeColor="text1"/>
          <w:sz w:val="24"/>
        </w:rPr>
      </w:pPr>
      <w:r w:rsidRPr="00800D30">
        <w:rPr>
          <w:rFonts w:cstheme="minorHAnsi"/>
          <w:color w:val="000000" w:themeColor="text1"/>
          <w:sz w:val="24"/>
        </w:rPr>
        <w:t>We WrOF widoczna jest wyraźna suburbanizacja Wrocławia. Wśród głównych kierunków migracji wskazuje się w szczególności gminy graniczące z Wrocławiem. Najwięcej, bo aż 13,61% ogółu przemieszczeń odnotowano do</w:t>
      </w:r>
      <w:r w:rsidR="00323881" w:rsidRPr="00800D30">
        <w:rPr>
          <w:rFonts w:cstheme="minorHAnsi"/>
          <w:color w:val="000000" w:themeColor="text1"/>
          <w:sz w:val="24"/>
        </w:rPr>
        <w:t xml:space="preserve"> gmin</w:t>
      </w:r>
      <w:r w:rsidR="00251C07" w:rsidRPr="00800D30">
        <w:rPr>
          <w:rFonts w:cstheme="minorHAnsi"/>
          <w:color w:val="000000" w:themeColor="text1"/>
          <w:sz w:val="24"/>
        </w:rPr>
        <w:t>y</w:t>
      </w:r>
      <w:r w:rsidRPr="00800D30">
        <w:rPr>
          <w:rFonts w:cstheme="minorHAnsi"/>
          <w:color w:val="000000" w:themeColor="text1"/>
          <w:sz w:val="24"/>
        </w:rPr>
        <w:t xml:space="preserve"> Długołęk</w:t>
      </w:r>
      <w:r w:rsidR="00323881" w:rsidRPr="00800D30">
        <w:rPr>
          <w:rFonts w:cstheme="minorHAnsi"/>
          <w:color w:val="000000" w:themeColor="text1"/>
          <w:sz w:val="24"/>
        </w:rPr>
        <w:t>a</w:t>
      </w:r>
      <w:r w:rsidRPr="00800D30">
        <w:rPr>
          <w:rFonts w:cstheme="minorHAnsi"/>
          <w:color w:val="000000" w:themeColor="text1"/>
          <w:sz w:val="24"/>
        </w:rPr>
        <w:t xml:space="preserve">, </w:t>
      </w:r>
      <w:r w:rsidR="008D3032" w:rsidRPr="00800D30">
        <w:rPr>
          <w:rFonts w:cstheme="minorHAnsi"/>
          <w:color w:val="000000" w:themeColor="text1"/>
          <w:sz w:val="24"/>
        </w:rPr>
        <w:t xml:space="preserve">a </w:t>
      </w:r>
      <w:r w:rsidRPr="00800D30">
        <w:rPr>
          <w:rFonts w:cstheme="minorHAnsi"/>
          <w:color w:val="000000" w:themeColor="text1"/>
          <w:sz w:val="24"/>
        </w:rPr>
        <w:t xml:space="preserve">następnie do </w:t>
      </w:r>
      <w:r w:rsidR="008D3032" w:rsidRPr="00800D30">
        <w:rPr>
          <w:rFonts w:cstheme="minorHAnsi"/>
          <w:color w:val="000000" w:themeColor="text1"/>
          <w:sz w:val="24"/>
        </w:rPr>
        <w:t xml:space="preserve">gmin: </w:t>
      </w:r>
      <w:r w:rsidRPr="00800D30">
        <w:rPr>
          <w:rFonts w:cstheme="minorHAnsi"/>
          <w:color w:val="000000" w:themeColor="text1"/>
          <w:sz w:val="24"/>
        </w:rPr>
        <w:t>Miękini</w:t>
      </w:r>
      <w:r w:rsidR="008D3032" w:rsidRPr="00800D30">
        <w:rPr>
          <w:rFonts w:cstheme="minorHAnsi"/>
          <w:color w:val="000000" w:themeColor="text1"/>
          <w:sz w:val="24"/>
        </w:rPr>
        <w:t>a</w:t>
      </w:r>
      <w:r w:rsidRPr="00800D30">
        <w:rPr>
          <w:rFonts w:cstheme="minorHAnsi"/>
          <w:color w:val="000000" w:themeColor="text1"/>
          <w:sz w:val="24"/>
        </w:rPr>
        <w:t xml:space="preserve"> (8,1%), Czernic</w:t>
      </w:r>
      <w:r w:rsidR="008D3032" w:rsidRPr="00800D30">
        <w:rPr>
          <w:rFonts w:cstheme="minorHAnsi"/>
          <w:color w:val="000000" w:themeColor="text1"/>
          <w:sz w:val="24"/>
        </w:rPr>
        <w:t>a</w:t>
      </w:r>
      <w:r w:rsidRPr="00800D30">
        <w:rPr>
          <w:rFonts w:cstheme="minorHAnsi"/>
          <w:color w:val="000000" w:themeColor="text1"/>
          <w:sz w:val="24"/>
        </w:rPr>
        <w:t xml:space="preserve"> (7,5%) i Siechnic</w:t>
      </w:r>
      <w:r w:rsidR="008D3032" w:rsidRPr="00800D30">
        <w:rPr>
          <w:rFonts w:cstheme="minorHAnsi"/>
          <w:color w:val="000000" w:themeColor="text1"/>
          <w:sz w:val="24"/>
        </w:rPr>
        <w:t>e</w:t>
      </w:r>
      <w:r w:rsidRPr="00800D30">
        <w:rPr>
          <w:rFonts w:cstheme="minorHAnsi"/>
          <w:color w:val="000000" w:themeColor="text1"/>
          <w:sz w:val="24"/>
        </w:rPr>
        <w:t xml:space="preserve"> (7,3%). Suburbanizacja widoczna jest</w:t>
      </w:r>
      <w:r w:rsidR="00180408">
        <w:rPr>
          <w:rFonts w:cstheme="minorHAnsi"/>
          <w:color w:val="000000" w:themeColor="text1"/>
          <w:sz w:val="24"/>
        </w:rPr>
        <w:t xml:space="preserve"> również w </w:t>
      </w:r>
      <w:r w:rsidR="00961DE8" w:rsidRPr="00800D30">
        <w:rPr>
          <w:rFonts w:cstheme="minorHAnsi"/>
          <w:color w:val="000000" w:themeColor="text1"/>
          <w:sz w:val="24"/>
        </w:rPr>
        <w:t>Oleśnicy (miasto). W </w:t>
      </w:r>
      <w:r w:rsidRPr="00800D30">
        <w:rPr>
          <w:rFonts w:cstheme="minorHAnsi"/>
          <w:color w:val="000000" w:themeColor="text1"/>
          <w:sz w:val="24"/>
        </w:rPr>
        <w:t>analizowanych latach blisko 3% mieszkańców osiedliło się w Oleśnicy (gmina wiejska). W latach 2017-2020 r. odnotowano przemieszczenia z</w:t>
      </w:r>
      <w:r w:rsidR="00440A8F" w:rsidRPr="00800D30">
        <w:rPr>
          <w:rFonts w:cstheme="minorHAnsi"/>
          <w:color w:val="000000" w:themeColor="text1"/>
          <w:sz w:val="24"/>
        </w:rPr>
        <w:t>e</w:t>
      </w:r>
      <w:r w:rsidRPr="00800D30">
        <w:rPr>
          <w:rFonts w:cstheme="minorHAnsi"/>
          <w:color w:val="000000" w:themeColor="text1"/>
          <w:sz w:val="24"/>
        </w:rPr>
        <w:t xml:space="preserve"> wszystkich gmin zlokalizowanych we WrOF do Wrocławia, jednakże skala migracji do rdzenia obszaru funkcjonalnego jest dużo niższa niż skala odpływu ludności z Wrocławia do pozostałych gmin. W latach 2017-2020 około 2,4% osiedlających się we Wrocławiu stanowili mieszkańcy </w:t>
      </w:r>
      <w:r w:rsidR="00440A8F" w:rsidRPr="00800D30">
        <w:rPr>
          <w:rFonts w:cstheme="minorHAnsi"/>
          <w:color w:val="000000" w:themeColor="text1"/>
          <w:sz w:val="24"/>
        </w:rPr>
        <w:t xml:space="preserve">gminy </w:t>
      </w:r>
      <w:r w:rsidRPr="00800D30">
        <w:rPr>
          <w:rFonts w:cstheme="minorHAnsi"/>
          <w:color w:val="000000" w:themeColor="text1"/>
          <w:sz w:val="24"/>
        </w:rPr>
        <w:t>Długołęk</w:t>
      </w:r>
      <w:r w:rsidR="00440A8F" w:rsidRPr="00800D30">
        <w:rPr>
          <w:rFonts w:cstheme="minorHAnsi"/>
          <w:color w:val="000000" w:themeColor="text1"/>
          <w:sz w:val="24"/>
        </w:rPr>
        <w:t>a</w:t>
      </w:r>
      <w:r w:rsidRPr="00800D30">
        <w:rPr>
          <w:rFonts w:cstheme="minorHAnsi"/>
          <w:color w:val="000000" w:themeColor="text1"/>
          <w:sz w:val="24"/>
        </w:rPr>
        <w:t>.</w:t>
      </w:r>
    </w:p>
    <w:p w:rsidR="000178B1" w:rsidRPr="00800D30" w:rsidRDefault="000178B1" w:rsidP="00800D30">
      <w:pPr>
        <w:spacing w:after="120"/>
        <w:jc w:val="left"/>
        <w:rPr>
          <w:rFonts w:cstheme="minorHAnsi"/>
          <w:color w:val="000000" w:themeColor="text1"/>
          <w:sz w:val="24"/>
        </w:rPr>
      </w:pPr>
      <w:r w:rsidRPr="00800D30">
        <w:rPr>
          <w:rFonts w:cstheme="minorHAnsi"/>
          <w:color w:val="000000" w:themeColor="text1"/>
          <w:sz w:val="24"/>
        </w:rPr>
        <w:t>Suburbanizacja oraz rozwój budownictwa mieszkaniowego wiążą się z problemami komunikacyjnymi i przeciążeniami układu komunikacyjnego. Ponadto często prowadzą do reorganizacji przestrzeni, zmian funkcji terenów oraz degradacji krajobrazu i powstania chaosu przestrzennego</w:t>
      </w:r>
      <w:r w:rsidRPr="00800D30">
        <w:rPr>
          <w:rStyle w:val="Odwoanieprzypisudolnego"/>
          <w:rFonts w:cstheme="minorHAnsi"/>
          <w:color w:val="000000" w:themeColor="text1"/>
          <w:sz w:val="24"/>
        </w:rPr>
        <w:footnoteReference w:id="20"/>
      </w:r>
      <w:r w:rsidRPr="00800D30">
        <w:rPr>
          <w:rFonts w:cstheme="minorHAnsi"/>
          <w:color w:val="000000" w:themeColor="text1"/>
          <w:sz w:val="24"/>
        </w:rPr>
        <w:t>. Narzędziami umożliwiającymi monitorowanie procesów urbanizacyjnych i ograniczenie niekontrolowanego rozwoju zabudowy są w szczególności miejscowe plany zagospodarowania przestrzennego.</w:t>
      </w:r>
      <w:r w:rsidR="00961DE8" w:rsidRPr="00800D30">
        <w:rPr>
          <w:rFonts w:cstheme="minorHAnsi"/>
          <w:color w:val="000000" w:themeColor="text1"/>
          <w:sz w:val="24"/>
        </w:rPr>
        <w:t xml:space="preserve"> </w:t>
      </w:r>
      <w:r w:rsidRPr="00800D30">
        <w:rPr>
          <w:rFonts w:cstheme="minorHAnsi"/>
          <w:color w:val="000000" w:themeColor="text1"/>
          <w:sz w:val="24"/>
        </w:rPr>
        <w:t>W 2021 r. udział powierzchni pokrytej miejscowymi planami zagospodarowania przestrzennego</w:t>
      </w:r>
      <w:r w:rsidR="00180408">
        <w:rPr>
          <w:rFonts w:cstheme="minorHAnsi"/>
          <w:color w:val="000000" w:themeColor="text1"/>
          <w:sz w:val="24"/>
        </w:rPr>
        <w:t xml:space="preserve"> (MPZP) we WrOF wynosił 68,9% i </w:t>
      </w:r>
      <w:r w:rsidRPr="00800D30">
        <w:rPr>
          <w:rFonts w:cstheme="minorHAnsi"/>
          <w:color w:val="000000" w:themeColor="text1"/>
          <w:sz w:val="24"/>
        </w:rPr>
        <w:t>był ponad dwukrotnie wyższy</w:t>
      </w:r>
      <w:r w:rsidR="00961DE8" w:rsidRPr="00800D30">
        <w:rPr>
          <w:rFonts w:cstheme="minorHAnsi"/>
          <w:color w:val="000000" w:themeColor="text1"/>
          <w:sz w:val="24"/>
        </w:rPr>
        <w:t xml:space="preserve"> </w:t>
      </w:r>
      <w:r w:rsidRPr="00800D30">
        <w:rPr>
          <w:rFonts w:cstheme="minorHAnsi"/>
          <w:color w:val="000000" w:themeColor="text1"/>
          <w:sz w:val="24"/>
        </w:rPr>
        <w:t>od</w:t>
      </w:r>
      <w:r w:rsidR="00961DE8" w:rsidRPr="00800D30">
        <w:rPr>
          <w:rFonts w:cstheme="minorHAnsi"/>
          <w:color w:val="000000" w:themeColor="text1"/>
          <w:sz w:val="24"/>
        </w:rPr>
        <w:t xml:space="preserve"> </w:t>
      </w:r>
      <w:r w:rsidRPr="00800D30">
        <w:rPr>
          <w:rFonts w:cstheme="minorHAnsi"/>
          <w:color w:val="000000" w:themeColor="text1"/>
          <w:sz w:val="24"/>
        </w:rPr>
        <w:t>średniej krajowej (31,7%). W ostatnich latach odnotowano wzrost udziału powierzchni pokrytej MPZP we WrOF o 5,5 pp</w:t>
      </w:r>
      <w:r w:rsidR="00180408">
        <w:rPr>
          <w:rFonts w:cstheme="minorHAnsi"/>
          <w:color w:val="000000" w:themeColor="text1"/>
          <w:sz w:val="24"/>
        </w:rPr>
        <w:t>. Wzrost ten jest dużo wyższy w </w:t>
      </w:r>
      <w:r w:rsidRPr="00800D30">
        <w:rPr>
          <w:rFonts w:cstheme="minorHAnsi"/>
          <w:color w:val="000000" w:themeColor="text1"/>
          <w:sz w:val="24"/>
        </w:rPr>
        <w:t>porównaniu do średniej dla województwa (2,9 pp.) czy</w:t>
      </w:r>
      <w:r w:rsidR="00C14E89" w:rsidRPr="00800D30">
        <w:rPr>
          <w:rFonts w:cstheme="minorHAnsi"/>
          <w:color w:val="000000" w:themeColor="text1"/>
          <w:sz w:val="24"/>
        </w:rPr>
        <w:t xml:space="preserve"> kraju (1,2 pp.), co świadczy o </w:t>
      </w:r>
      <w:r w:rsidRPr="00800D30">
        <w:rPr>
          <w:rFonts w:cstheme="minorHAnsi"/>
          <w:color w:val="000000" w:themeColor="text1"/>
          <w:sz w:val="24"/>
        </w:rPr>
        <w:t xml:space="preserve">konsekwentnie prowadzonej polityce w zakresie planowania przestrzennego. </w:t>
      </w:r>
    </w:p>
    <w:p w:rsidR="000178B1" w:rsidRPr="00800D30" w:rsidRDefault="000178B1" w:rsidP="00800D30">
      <w:pPr>
        <w:jc w:val="left"/>
        <w:rPr>
          <w:rFonts w:cstheme="minorHAnsi"/>
          <w:color w:val="000000" w:themeColor="text1"/>
          <w:sz w:val="24"/>
        </w:rPr>
      </w:pPr>
      <w:r w:rsidRPr="00800D30">
        <w:rPr>
          <w:rFonts w:cstheme="minorHAnsi"/>
          <w:color w:val="000000" w:themeColor="text1"/>
          <w:sz w:val="24"/>
        </w:rPr>
        <w:t xml:space="preserve">Analizując kwestie migracji oraz atrakcyjności osiedleńczej, warto wziąć pod uwagę aktualne procesy i zjawiska, w szczególności intensywny napływ ludności ukraińskiej na teren WrOF, spowodowany wojną w Ukrainie. Do zbadania skali zjawiska emigracji ludności uchodźczej wykorzystano dane pochodzące z </w:t>
      </w:r>
      <w:r w:rsidRPr="00800D30">
        <w:rPr>
          <w:rFonts w:cstheme="minorHAnsi"/>
          <w:i/>
          <w:color w:val="000000" w:themeColor="text1"/>
          <w:sz w:val="24"/>
        </w:rPr>
        <w:t>Raportu o uchodźcach z Ukrainy w największych polskich miastach</w:t>
      </w:r>
      <w:r w:rsidRPr="00800D30">
        <w:rPr>
          <w:rStyle w:val="Odwoanieprzypisudolnego"/>
          <w:rFonts w:cstheme="minorHAnsi"/>
          <w:color w:val="000000" w:themeColor="text1"/>
          <w:sz w:val="24"/>
        </w:rPr>
        <w:footnoteReference w:id="21"/>
      </w:r>
      <w:r w:rsidRPr="00800D30">
        <w:rPr>
          <w:rFonts w:cstheme="minorHAnsi"/>
          <w:color w:val="000000" w:themeColor="text1"/>
          <w:sz w:val="24"/>
        </w:rPr>
        <w:t xml:space="preserve">, </w:t>
      </w:r>
      <w:r w:rsidR="00961DE8" w:rsidRPr="00800D30">
        <w:rPr>
          <w:rFonts w:cstheme="minorHAnsi"/>
          <w:color w:val="000000" w:themeColor="text1"/>
          <w:sz w:val="24"/>
        </w:rPr>
        <w:t>mają one charakter szacunkowy.</w:t>
      </w:r>
      <w:r w:rsidRPr="00800D30">
        <w:rPr>
          <w:rFonts w:cstheme="minorHAnsi"/>
          <w:color w:val="000000" w:themeColor="text1"/>
          <w:sz w:val="24"/>
        </w:rPr>
        <w:t xml:space="preserve"> Szacuje się, że we Wrocławskim Obszarze Metropolitalnym</w:t>
      </w:r>
      <w:r w:rsidRPr="00800D30">
        <w:rPr>
          <w:rStyle w:val="Odwoanieprzypisudolnego"/>
          <w:rFonts w:cstheme="minorHAnsi"/>
          <w:color w:val="000000" w:themeColor="text1"/>
          <w:sz w:val="24"/>
        </w:rPr>
        <w:footnoteReference w:id="22"/>
      </w:r>
      <w:r w:rsidRPr="00800D30">
        <w:rPr>
          <w:rFonts w:cstheme="minorHAnsi"/>
          <w:color w:val="000000" w:themeColor="text1"/>
          <w:sz w:val="24"/>
        </w:rPr>
        <w:t xml:space="preserve"> zamieszkuje 302 467 Ukraińców, z cz</w:t>
      </w:r>
      <w:r w:rsidR="00180408">
        <w:rPr>
          <w:rFonts w:cstheme="minorHAnsi"/>
          <w:color w:val="000000" w:themeColor="text1"/>
          <w:sz w:val="24"/>
        </w:rPr>
        <w:t>ego 62% mieszka we Wrocławiu, a </w:t>
      </w:r>
      <w:r w:rsidRPr="00800D30">
        <w:rPr>
          <w:rFonts w:cstheme="minorHAnsi"/>
          <w:color w:val="000000" w:themeColor="text1"/>
          <w:sz w:val="24"/>
        </w:rPr>
        <w:t>pozostałe 38% w pozostałych miastach i</w:t>
      </w:r>
      <w:r w:rsidR="00961DE8" w:rsidRPr="00800D30">
        <w:rPr>
          <w:rFonts w:cstheme="minorHAnsi"/>
          <w:color w:val="000000" w:themeColor="text1"/>
          <w:sz w:val="24"/>
        </w:rPr>
        <w:t> </w:t>
      </w:r>
      <w:r w:rsidRPr="00800D30">
        <w:rPr>
          <w:rFonts w:cstheme="minorHAnsi"/>
          <w:color w:val="000000" w:themeColor="text1"/>
          <w:sz w:val="24"/>
        </w:rPr>
        <w:t>gminach Wrocławskiego Obszaru Metropolitalnego</w:t>
      </w:r>
      <w:r w:rsidRPr="00800D30">
        <w:rPr>
          <w:rStyle w:val="Odwoanieprzypisudolnego"/>
          <w:rFonts w:cstheme="minorHAnsi"/>
          <w:color w:val="000000" w:themeColor="text1"/>
          <w:sz w:val="24"/>
        </w:rPr>
        <w:footnoteReference w:id="23"/>
      </w:r>
      <w:r w:rsidRPr="00800D30">
        <w:rPr>
          <w:rFonts w:cstheme="minorHAnsi"/>
          <w:color w:val="000000" w:themeColor="text1"/>
          <w:sz w:val="24"/>
        </w:rPr>
        <w:t>. Według szacunków, we Wrocławiu mies</w:t>
      </w:r>
      <w:r w:rsidR="00180408">
        <w:rPr>
          <w:rFonts w:cstheme="minorHAnsi"/>
          <w:color w:val="000000" w:themeColor="text1"/>
          <w:sz w:val="24"/>
        </w:rPr>
        <w:t>zka około 187 tys. Ukraińców, w </w:t>
      </w:r>
      <w:r w:rsidRPr="00800D30">
        <w:rPr>
          <w:rFonts w:cstheme="minorHAnsi"/>
          <w:color w:val="000000" w:themeColor="text1"/>
          <w:sz w:val="24"/>
        </w:rPr>
        <w:t>tym ponad 42 tys. dzieci. Oznacza to, że liczba mieszkańców Wrocławia wzrosła o 29%</w:t>
      </w:r>
      <w:r w:rsidRPr="00800D30">
        <w:rPr>
          <w:rStyle w:val="Odwoanieprzypisudolnego"/>
          <w:rFonts w:cstheme="minorHAnsi"/>
          <w:color w:val="000000" w:themeColor="text1"/>
          <w:sz w:val="24"/>
        </w:rPr>
        <w:footnoteReference w:id="24"/>
      </w:r>
      <w:r w:rsidRPr="00800D30">
        <w:rPr>
          <w:rFonts w:cstheme="minorHAnsi"/>
          <w:color w:val="000000" w:themeColor="text1"/>
          <w:sz w:val="24"/>
        </w:rPr>
        <w:t xml:space="preserve">. </w:t>
      </w:r>
    </w:p>
    <w:p w:rsidR="000178B1" w:rsidRDefault="000178B1" w:rsidP="00800D30">
      <w:pPr>
        <w:spacing w:after="0"/>
        <w:jc w:val="left"/>
        <w:rPr>
          <w:rFonts w:cstheme="minorHAnsi"/>
          <w:color w:val="000000" w:themeColor="text1"/>
          <w:sz w:val="24"/>
        </w:rPr>
      </w:pPr>
      <w:r w:rsidRPr="00800D30">
        <w:rPr>
          <w:rFonts w:cstheme="minorHAnsi"/>
          <w:color w:val="000000" w:themeColor="text1"/>
          <w:sz w:val="24"/>
        </w:rPr>
        <w:t>Migracje wojenne spowodowały wzrost przepływu ludności w ciągu dnia. Obecnie, zgodnie z badaniami</w:t>
      </w:r>
      <w:r w:rsidRPr="00800D30">
        <w:rPr>
          <w:rStyle w:val="Odwoanieprzypisudolnego"/>
          <w:rFonts w:cstheme="minorHAnsi"/>
          <w:color w:val="000000" w:themeColor="text1"/>
          <w:sz w:val="24"/>
        </w:rPr>
        <w:footnoteReference w:id="25"/>
      </w:r>
      <w:r w:rsidRPr="00800D30">
        <w:rPr>
          <w:rFonts w:cstheme="minorHAnsi"/>
          <w:color w:val="000000" w:themeColor="text1"/>
          <w:sz w:val="24"/>
        </w:rPr>
        <w:t xml:space="preserve"> całkowita liczba ludności dziennej we Wrocławiu jest o 25% wyższa niż ludności nocnej. Zmiany w liczbie ludności (nocnej</w:t>
      </w:r>
      <w:r w:rsidRPr="00800D30">
        <w:rPr>
          <w:rStyle w:val="Odwoanieprzypisudolnego"/>
          <w:rFonts w:cstheme="minorHAnsi"/>
          <w:color w:val="000000" w:themeColor="text1"/>
          <w:sz w:val="24"/>
        </w:rPr>
        <w:footnoteReference w:id="26"/>
      </w:r>
      <w:r w:rsidRPr="00800D30">
        <w:rPr>
          <w:rFonts w:cstheme="minorHAnsi"/>
          <w:color w:val="000000" w:themeColor="text1"/>
          <w:sz w:val="24"/>
        </w:rPr>
        <w:t xml:space="preserve"> i dziennej</w:t>
      </w:r>
      <w:r w:rsidRPr="00800D30">
        <w:rPr>
          <w:rStyle w:val="Odwoanieprzypisudolnego"/>
          <w:rFonts w:cstheme="minorHAnsi"/>
          <w:color w:val="000000" w:themeColor="text1"/>
          <w:sz w:val="24"/>
        </w:rPr>
        <w:footnoteReference w:id="27"/>
      </w:r>
      <w:r w:rsidRPr="00800D30">
        <w:rPr>
          <w:rFonts w:cstheme="minorHAnsi"/>
          <w:color w:val="000000" w:themeColor="text1"/>
          <w:sz w:val="24"/>
        </w:rPr>
        <w:t>), związane są z przepływami w ciągu dnia do ośrodka wojewódzkiego – głównie w celach edukacyjnych i zarobkowych. Masowe migracje stanowią wyzwanie dla Wrocław</w:t>
      </w:r>
      <w:r w:rsidR="00180408">
        <w:rPr>
          <w:rFonts w:cstheme="minorHAnsi"/>
          <w:color w:val="000000" w:themeColor="text1"/>
          <w:sz w:val="24"/>
        </w:rPr>
        <w:t>ia oraz otaczających go gmin, w </w:t>
      </w:r>
      <w:r w:rsidRPr="00800D30">
        <w:rPr>
          <w:rFonts w:cstheme="minorHAnsi"/>
          <w:color w:val="000000" w:themeColor="text1"/>
          <w:sz w:val="24"/>
        </w:rPr>
        <w:t>szczególności ze względu na rosnące koszty świadczenia usług publicznych. Kluczowa jest integracja mieszkańców z imigrantami, przy jednoczesnym</w:t>
      </w:r>
      <w:r w:rsidR="0016659E" w:rsidRPr="00800D30">
        <w:rPr>
          <w:rFonts w:cstheme="minorHAnsi"/>
          <w:color w:val="000000" w:themeColor="text1"/>
          <w:sz w:val="24"/>
        </w:rPr>
        <w:t>, obustron</w:t>
      </w:r>
      <w:r w:rsidR="00E8722F" w:rsidRPr="00800D30">
        <w:rPr>
          <w:rFonts w:cstheme="minorHAnsi"/>
          <w:color w:val="000000" w:themeColor="text1"/>
          <w:sz w:val="24"/>
        </w:rPr>
        <w:t>n</w:t>
      </w:r>
      <w:r w:rsidR="0016659E" w:rsidRPr="00800D30">
        <w:rPr>
          <w:rFonts w:cstheme="minorHAnsi"/>
          <w:color w:val="000000" w:themeColor="text1"/>
          <w:sz w:val="24"/>
        </w:rPr>
        <w:t>ym</w:t>
      </w:r>
      <w:r w:rsidRPr="00800D30">
        <w:rPr>
          <w:rFonts w:cstheme="minorHAnsi"/>
          <w:color w:val="000000" w:themeColor="text1"/>
          <w:sz w:val="24"/>
        </w:rPr>
        <w:t xml:space="preserve"> poszanowaniu odmienności kulturowej i narodowej</w:t>
      </w:r>
      <w:r w:rsidR="0016659E" w:rsidRPr="00800D30">
        <w:rPr>
          <w:rFonts w:cstheme="minorHAnsi"/>
          <w:color w:val="000000" w:themeColor="text1"/>
          <w:sz w:val="24"/>
        </w:rPr>
        <w:t>.</w:t>
      </w:r>
      <w:r w:rsidR="00961DE8" w:rsidRPr="00800D30">
        <w:rPr>
          <w:rFonts w:cstheme="minorHAnsi"/>
          <w:color w:val="000000" w:themeColor="text1"/>
          <w:sz w:val="24"/>
        </w:rPr>
        <w:t xml:space="preserve"> </w:t>
      </w:r>
      <w:r w:rsidRPr="00800D30">
        <w:rPr>
          <w:rFonts w:cstheme="minorHAnsi"/>
          <w:color w:val="000000" w:themeColor="text1"/>
          <w:sz w:val="24"/>
        </w:rPr>
        <w:t>We WrOF widoczne są migracje zagraniczne, które są charakterystyczne dla dużych ośrodków woje</w:t>
      </w:r>
      <w:r w:rsidR="00F258FA" w:rsidRPr="00800D30">
        <w:rPr>
          <w:rFonts w:cstheme="minorHAnsi"/>
          <w:color w:val="000000" w:themeColor="text1"/>
          <w:sz w:val="24"/>
        </w:rPr>
        <w:t>wódzkich. Procesy migracyjne we </w:t>
      </w:r>
      <w:r w:rsidRPr="00800D30">
        <w:rPr>
          <w:rFonts w:cstheme="minorHAnsi"/>
          <w:color w:val="000000" w:themeColor="text1"/>
          <w:sz w:val="24"/>
        </w:rPr>
        <w:t>Wrocławiu były widoczne również przed wybuchem konfliktu w Ukrainie.</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800D30" w:rsidRPr="00800D30" w:rsidTr="00800D30">
        <w:trPr>
          <w:trHeight w:val="510"/>
          <w:tblHeader/>
        </w:trPr>
        <w:tc>
          <w:tcPr>
            <w:tcW w:w="9062" w:type="dxa"/>
            <w:vAlign w:val="center"/>
          </w:tcPr>
          <w:p w:rsidR="00800D30" w:rsidRPr="00800D30" w:rsidRDefault="00800D30" w:rsidP="00652ACD">
            <w:pPr>
              <w:spacing w:line="240" w:lineRule="auto"/>
              <w:jc w:val="left"/>
              <w:rPr>
                <w:b/>
                <w:sz w:val="24"/>
              </w:rPr>
            </w:pPr>
            <w:r w:rsidRPr="00800D30">
              <w:rPr>
                <w:b/>
                <w:sz w:val="24"/>
              </w:rPr>
              <w:t>Kluczowe wyzwania strategiczne</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Wyzwaniem w najbliższej perspektywie będzie próba uporządkowania kwestii suburbanizacji oraz intensyfikacji zabudowy, zapobieganie negatywnym skutkom tego procesu oraz dążenie do równomiernego rozwoju wszystkich gmin WrOF.</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Z uwagi na obserwowane procesy i przemieszczania się ludności, ważna jest decentralizacja dostępu do usług publicznych, wykorzystanie potencjału istniejącej sieci placówek i instytucji publicznych oraz dążenie do stworzenia różnorodnej oferty na terenie poszczególnych gmin, poprzez modernizację i rozbudowę infrastruktury społecznej.</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Mimo iż starzenie się społeczności nie jest kluczowym problemem WrOF, ważne w kontekście zapewnienia wysokiej jakości życia grupie osób ze szczególnymi potrzebami jest rozwijanie instytucjonalnej i pozainstytucjonalnej oferty wsparcia, tworzenie miejsc i przestrzeni spotkań dla seniorów oraz zapobieganie wykluczeniu społecznemu. Istotna jest również integracja i uświadamianie mieszkańców o potrzebach osób starszych, a przy tym rozwijanie usług opiekuńczych i wolontariatu.</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 xml:space="preserve">Napływ osób młodych oraz rodzin z dziećmi na teren WrOF implikuje konieczność zapewnienia odpowiedniej oferty edukacyjnej i usługowej, co wiąże się ze znacznym nakładem finansowym. </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 xml:space="preserve">W celu ograniczenia emigracji i opuszczania terenu WrOF przez osoby młode, istotne jest podnoszenie jakości ich życia, diagnozowanie bieżących potrzeb, aktywizowanie oraz włączenie w działania społeczne, w celu zwiększenia przywiązania do obszaru. </w:t>
            </w:r>
          </w:p>
        </w:tc>
      </w:tr>
      <w:tr w:rsidR="00800D30" w:rsidTr="00652ACD">
        <w:trPr>
          <w:trHeight w:val="737"/>
        </w:trPr>
        <w:tc>
          <w:tcPr>
            <w:tcW w:w="9062" w:type="dxa"/>
            <w:vAlign w:val="center"/>
          </w:tcPr>
          <w:p w:rsidR="00800D30" w:rsidRPr="00800D30" w:rsidRDefault="00800D30" w:rsidP="00800D30">
            <w:pPr>
              <w:spacing w:line="240" w:lineRule="auto"/>
              <w:jc w:val="left"/>
              <w:rPr>
                <w:rFonts w:cstheme="minorHAnsi"/>
                <w:sz w:val="24"/>
                <w:szCs w:val="20"/>
              </w:rPr>
            </w:pPr>
            <w:r w:rsidRPr="00800D30">
              <w:rPr>
                <w:rFonts w:cstheme="minorHAnsi"/>
                <w:sz w:val="24"/>
                <w:szCs w:val="20"/>
              </w:rPr>
              <w:t>Napływ uchodźców wojennych na teren WrOF wiąże się z koniecznością zapewnienia im wsparcia w zakresie nauki języka, obsługi instytuc</w:t>
            </w:r>
            <w:r w:rsidR="00180408">
              <w:rPr>
                <w:rFonts w:cstheme="minorHAnsi"/>
                <w:sz w:val="24"/>
                <w:szCs w:val="20"/>
              </w:rPr>
              <w:t>jonalnej, umożliwienia opieki i </w:t>
            </w:r>
            <w:r w:rsidRPr="00800D30">
              <w:rPr>
                <w:rFonts w:cstheme="minorHAnsi"/>
                <w:sz w:val="24"/>
                <w:szCs w:val="20"/>
              </w:rPr>
              <w:t>kształcenia w placówkach przedszkolnych i szkolnych. Ponadto ważne jest zapobieganie wystąpieniu konfliktów społecznych między mieszkańcami WrOF a ludnością napływową oraz integracja cudzoziemców poprzez prowadzenie d</w:t>
            </w:r>
            <w:r w:rsidR="00180408">
              <w:rPr>
                <w:rFonts w:cstheme="minorHAnsi"/>
                <w:sz w:val="24"/>
                <w:szCs w:val="20"/>
              </w:rPr>
              <w:t>ziałań społeczno-kulturalnych i </w:t>
            </w:r>
            <w:r w:rsidRPr="00800D30">
              <w:rPr>
                <w:rFonts w:cstheme="minorHAnsi"/>
                <w:sz w:val="24"/>
                <w:szCs w:val="20"/>
              </w:rPr>
              <w:t>edukacyjnych.</w:t>
            </w:r>
          </w:p>
        </w:tc>
      </w:tr>
    </w:tbl>
    <w:p w:rsidR="000178B1" w:rsidRPr="008D2AB6" w:rsidRDefault="00C86749" w:rsidP="00F258FA">
      <w:pPr>
        <w:pStyle w:val="Nagwek2"/>
        <w:spacing w:before="480"/>
      </w:pPr>
      <w:bookmarkStart w:id="45" w:name="_Toc124767661"/>
      <w:bookmarkStart w:id="46" w:name="_Toc125707442"/>
      <w:bookmarkStart w:id="47" w:name="_Toc143673208"/>
      <w:r w:rsidRPr="008D2AB6">
        <w:t>II.</w:t>
      </w:r>
      <w:r w:rsidR="00187AED" w:rsidRPr="008D2AB6">
        <w:t>5</w:t>
      </w:r>
      <w:r w:rsidR="000178B1" w:rsidRPr="008D2AB6">
        <w:t xml:space="preserve"> Gospodarka i rynek pracy</w:t>
      </w:r>
      <w:bookmarkEnd w:id="45"/>
      <w:bookmarkEnd w:id="46"/>
      <w:bookmarkEnd w:id="47"/>
    </w:p>
    <w:p w:rsidR="00CD0676" w:rsidRPr="00800D30" w:rsidRDefault="00A562C2" w:rsidP="001E57CD">
      <w:pPr>
        <w:jc w:val="left"/>
        <w:rPr>
          <w:rFonts w:cstheme="minorHAnsi"/>
          <w:sz w:val="24"/>
        </w:rPr>
      </w:pPr>
      <w:r w:rsidRPr="00800D30">
        <w:rPr>
          <w:rFonts w:cs="Calibri"/>
          <w:sz w:val="24"/>
          <w:szCs w:val="20"/>
        </w:rPr>
        <w:t>W 2021 r. na obszarze WrOF</w:t>
      </w:r>
      <w:r w:rsidR="00961DE8" w:rsidRPr="00800D30">
        <w:rPr>
          <w:rFonts w:cs="Calibri"/>
          <w:sz w:val="24"/>
          <w:szCs w:val="20"/>
        </w:rPr>
        <w:t xml:space="preserve"> </w:t>
      </w:r>
      <w:r w:rsidRPr="00800D30">
        <w:rPr>
          <w:rFonts w:cs="Calibri"/>
          <w:sz w:val="24"/>
          <w:szCs w:val="20"/>
        </w:rPr>
        <w:t>w rejestrze REGON zarejestrowan</w:t>
      </w:r>
      <w:r w:rsidR="007338FE" w:rsidRPr="00800D30">
        <w:rPr>
          <w:rFonts w:cs="Calibri"/>
          <w:sz w:val="24"/>
          <w:szCs w:val="20"/>
        </w:rPr>
        <w:t>e</w:t>
      </w:r>
      <w:r w:rsidRPr="00800D30">
        <w:rPr>
          <w:rFonts w:cs="Calibri"/>
          <w:sz w:val="24"/>
          <w:szCs w:val="20"/>
        </w:rPr>
        <w:t xml:space="preserve"> był</w:t>
      </w:r>
      <w:r w:rsidR="007338FE" w:rsidRPr="00800D30">
        <w:rPr>
          <w:rFonts w:cs="Calibri"/>
          <w:sz w:val="24"/>
          <w:szCs w:val="20"/>
        </w:rPr>
        <w:t xml:space="preserve">y </w:t>
      </w:r>
      <w:r w:rsidRPr="00800D30">
        <w:rPr>
          <w:rFonts w:cs="Calibri"/>
          <w:sz w:val="24"/>
          <w:szCs w:val="20"/>
        </w:rPr>
        <w:t>186 723 podmioty</w:t>
      </w:r>
      <w:r w:rsidR="00961DE8" w:rsidRPr="00800D30">
        <w:rPr>
          <w:rFonts w:cs="Calibri"/>
          <w:sz w:val="24"/>
          <w:szCs w:val="20"/>
        </w:rPr>
        <w:t xml:space="preserve"> </w:t>
      </w:r>
      <w:r w:rsidRPr="00800D30">
        <w:rPr>
          <w:rFonts w:cs="Calibri"/>
          <w:sz w:val="24"/>
          <w:szCs w:val="20"/>
        </w:rPr>
        <w:t>gospodarki narodowej</w:t>
      </w:r>
      <w:r w:rsidRPr="00800D30">
        <w:rPr>
          <w:rStyle w:val="Odwoanieprzypisudolnego"/>
          <w:rFonts w:cs="Calibri"/>
          <w:sz w:val="24"/>
          <w:szCs w:val="20"/>
        </w:rPr>
        <w:footnoteReference w:id="28"/>
      </w:r>
      <w:r w:rsidRPr="00800D30">
        <w:rPr>
          <w:rFonts w:cs="Calibri"/>
          <w:sz w:val="24"/>
          <w:szCs w:val="20"/>
        </w:rPr>
        <w:t>. Najwięcej – 133 806 podmiotów zarejestrowanych było w gminie Wrocław (71,6%), drugą, pod względem liczby zarejestrowanych podmiotów, była gmina Długołęka - 5 940 tj. 3,2%. Najmniej podmiotów funkcjonowało w gminie Zawonia- 605 (0,3%) oraz w gminie Dobroszyce - 854 (ok. 0,5%).</w:t>
      </w:r>
      <w:r w:rsidR="00405F5B" w:rsidRPr="00800D30">
        <w:rPr>
          <w:rFonts w:cs="Calibri"/>
          <w:sz w:val="24"/>
          <w:szCs w:val="20"/>
        </w:rPr>
        <w:t xml:space="preserve"> </w:t>
      </w:r>
      <w:r w:rsidR="00CD0676" w:rsidRPr="00800D30">
        <w:rPr>
          <w:rFonts w:cs="Calibri"/>
          <w:sz w:val="24"/>
        </w:rPr>
        <w:t>Na koniec 2021 r. na terenie WrOF liczba podmiotów gospodarki narodowej w przeliczeniu na 1000 mieszkańców wynosiła 186 i była większa niż w wojewód</w:t>
      </w:r>
      <w:r w:rsidR="00712AD5" w:rsidRPr="00800D30">
        <w:rPr>
          <w:rFonts w:cs="Calibri"/>
          <w:sz w:val="24"/>
        </w:rPr>
        <w:t>z</w:t>
      </w:r>
      <w:r w:rsidR="00B80393" w:rsidRPr="00800D30">
        <w:rPr>
          <w:rFonts w:cs="Calibri"/>
          <w:sz w:val="24"/>
        </w:rPr>
        <w:t>twie dolnośląskim (143) oraz w </w:t>
      </w:r>
      <w:r w:rsidR="00CD0676" w:rsidRPr="00800D30">
        <w:rPr>
          <w:rFonts w:cs="Calibri"/>
          <w:sz w:val="24"/>
        </w:rPr>
        <w:t>Polsce (127).</w:t>
      </w:r>
      <w:r w:rsidR="00B80393" w:rsidRPr="00800D30">
        <w:rPr>
          <w:rFonts w:cs="Calibri"/>
          <w:sz w:val="24"/>
        </w:rPr>
        <w:t xml:space="preserve"> </w:t>
      </w:r>
      <w:r w:rsidR="00CD0676" w:rsidRPr="00800D30">
        <w:rPr>
          <w:rFonts w:cs="Calibri"/>
          <w:sz w:val="24"/>
        </w:rPr>
        <w:t>Świadczy to o wysokim stopniu rozwoju gospodarczego</w:t>
      </w:r>
      <w:r w:rsidR="00961DE8" w:rsidRPr="00800D30">
        <w:rPr>
          <w:rFonts w:cs="Calibri"/>
          <w:sz w:val="24"/>
        </w:rPr>
        <w:t xml:space="preserve"> </w:t>
      </w:r>
      <w:r w:rsidR="00CD0676" w:rsidRPr="00800D30">
        <w:rPr>
          <w:rFonts w:cs="Calibri"/>
          <w:sz w:val="24"/>
        </w:rPr>
        <w:t>WrOF.</w:t>
      </w:r>
    </w:p>
    <w:p w:rsidR="000178B1" w:rsidRPr="00800D30" w:rsidRDefault="000178B1" w:rsidP="001E57CD">
      <w:pPr>
        <w:jc w:val="left"/>
        <w:rPr>
          <w:rFonts w:cstheme="minorHAnsi"/>
          <w:sz w:val="24"/>
        </w:rPr>
      </w:pPr>
      <w:r w:rsidRPr="00800D30">
        <w:rPr>
          <w:rFonts w:cstheme="minorHAnsi"/>
          <w:sz w:val="24"/>
        </w:rPr>
        <w:t>Wysoki potencjał gospodarczy i inwestycyjny WrOF wynika z p</w:t>
      </w:r>
      <w:r w:rsidR="00961DE8" w:rsidRPr="00800D30">
        <w:rPr>
          <w:rFonts w:cstheme="minorHAnsi"/>
          <w:sz w:val="24"/>
        </w:rPr>
        <w:t>rzynależności części obszaru do </w:t>
      </w:r>
      <w:r w:rsidRPr="00800D30">
        <w:rPr>
          <w:rFonts w:cstheme="minorHAnsi"/>
          <w:sz w:val="24"/>
        </w:rPr>
        <w:t xml:space="preserve">Wałbrzyskiej Specjalnej Strefy Ekonomicznej, Kamiennogórskiej Specjalnej Strefy Ekonomicznej Legnickiej Specjalnej Strefy Ekonomicznej oraz Tarnobrzeskiej Specjalnej Strefy Ekonomicznej Euro-Park </w:t>
      </w:r>
      <w:proofErr w:type="spellStart"/>
      <w:r w:rsidRPr="00800D30">
        <w:rPr>
          <w:rFonts w:cstheme="minorHAnsi"/>
          <w:sz w:val="24"/>
        </w:rPr>
        <w:t>Wisłosan</w:t>
      </w:r>
      <w:proofErr w:type="spellEnd"/>
      <w:r w:rsidRPr="00800D30">
        <w:rPr>
          <w:rFonts w:cstheme="minorHAnsi"/>
          <w:sz w:val="24"/>
        </w:rPr>
        <w:t>.</w:t>
      </w:r>
    </w:p>
    <w:p w:rsidR="000178B1" w:rsidRPr="00800D30" w:rsidRDefault="00282665" w:rsidP="001E57CD">
      <w:pPr>
        <w:jc w:val="left"/>
        <w:rPr>
          <w:rFonts w:cstheme="minorHAnsi"/>
          <w:sz w:val="24"/>
        </w:rPr>
      </w:pPr>
      <w:r w:rsidRPr="00800D30">
        <w:rPr>
          <w:rFonts w:cs="Calibri"/>
          <w:sz w:val="24"/>
        </w:rPr>
        <w:t>Największa liczba podmiotów na 1</w:t>
      </w:r>
      <w:r w:rsidR="00961DE8" w:rsidRPr="00800D30">
        <w:rPr>
          <w:rFonts w:cs="Calibri"/>
          <w:sz w:val="24"/>
        </w:rPr>
        <w:t xml:space="preserve"> </w:t>
      </w:r>
      <w:r w:rsidRPr="00800D30">
        <w:rPr>
          <w:rFonts w:cs="Calibri"/>
          <w:sz w:val="24"/>
        </w:rPr>
        <w:t>000 mieszkańców zo</w:t>
      </w:r>
      <w:r w:rsidR="00180408">
        <w:rPr>
          <w:rFonts w:cs="Calibri"/>
          <w:sz w:val="24"/>
        </w:rPr>
        <w:t>stała odnotowana we Wrocławiu i </w:t>
      </w:r>
      <w:r w:rsidRPr="00800D30">
        <w:rPr>
          <w:rFonts w:cs="Calibri"/>
          <w:sz w:val="24"/>
        </w:rPr>
        <w:t>wyniosła 208, następnie w gminie Kobierzyce (205) oraz w gminie Siechn</w:t>
      </w:r>
      <w:r w:rsidR="008D2AB6" w:rsidRPr="00800D30">
        <w:rPr>
          <w:rFonts w:cs="Calibri"/>
          <w:sz w:val="24"/>
        </w:rPr>
        <w:t>ice (174). Najmniej podmiotów w </w:t>
      </w:r>
      <w:r w:rsidRPr="00800D30">
        <w:rPr>
          <w:rFonts w:cs="Calibri"/>
          <w:sz w:val="24"/>
        </w:rPr>
        <w:t>przeliczeniu na 1</w:t>
      </w:r>
      <w:r w:rsidR="00961DE8" w:rsidRPr="00800D30">
        <w:rPr>
          <w:rFonts w:cs="Calibri"/>
          <w:sz w:val="24"/>
        </w:rPr>
        <w:t xml:space="preserve"> </w:t>
      </w:r>
      <w:r w:rsidRPr="00800D30">
        <w:rPr>
          <w:rFonts w:cs="Calibri"/>
          <w:sz w:val="24"/>
        </w:rPr>
        <w:t xml:space="preserve">000 mieszkańców zlokalizowano w gminie Zawonia (103) </w:t>
      </w:r>
      <w:r w:rsidR="008D2AB6" w:rsidRPr="00800D30">
        <w:rPr>
          <w:rFonts w:cs="Calibri"/>
          <w:sz w:val="24"/>
        </w:rPr>
        <w:t>oraz w </w:t>
      </w:r>
      <w:r w:rsidRPr="00800D30">
        <w:rPr>
          <w:rFonts w:cs="Calibri"/>
          <w:sz w:val="24"/>
        </w:rPr>
        <w:t>gminie Oława</w:t>
      </w:r>
      <w:r w:rsidR="00961DE8" w:rsidRPr="00800D30">
        <w:rPr>
          <w:rFonts w:cs="Calibri"/>
          <w:sz w:val="24"/>
        </w:rPr>
        <w:t xml:space="preserve"> </w:t>
      </w:r>
      <w:r w:rsidRPr="00800D30">
        <w:rPr>
          <w:rFonts w:cs="Calibri"/>
          <w:sz w:val="24"/>
        </w:rPr>
        <w:t>(108).</w:t>
      </w:r>
      <w:r w:rsidR="000178B1" w:rsidRPr="00800D30">
        <w:rPr>
          <w:rFonts w:cstheme="minorHAnsi"/>
          <w:sz w:val="24"/>
        </w:rPr>
        <w:t xml:space="preserve">W układzie przestrzennym zauważa się, że gminy usytuowane bliżej Wrocławia odznaczają się wyższą liczbą podmiotów gospodarczych w stosunku do liczby mieszkańców. </w:t>
      </w:r>
    </w:p>
    <w:p w:rsidR="000178B1" w:rsidRPr="00800D30" w:rsidRDefault="000178B1" w:rsidP="001E57CD">
      <w:pPr>
        <w:jc w:val="left"/>
        <w:rPr>
          <w:rFonts w:cstheme="minorHAnsi"/>
          <w:sz w:val="24"/>
        </w:rPr>
      </w:pPr>
      <w:r w:rsidRPr="00800D30">
        <w:rPr>
          <w:rFonts w:cstheme="minorHAnsi"/>
          <w:sz w:val="24"/>
        </w:rPr>
        <w:t xml:space="preserve">W zakresie sektorów własnościowych zaledwie 2% ogólnej liczby podmiotów gospodarczych w 2021 r. należy do sektora publicznego. Co więcej, w latach 2017-2021 odnotowano ponad 4% spadek liczby tych podmiotów, natomiast liczba podmiotów prywatnych wzrosła o 14%. Bardzo dynamiczny wzrost obserwowany był w przypadku fundacji. W ciągu 5 lat powstało ich na terenie WrOF 341. Nieco mniejszy wzrost, zaledwie 2%, odnotowano w przypadku stowarzyszeń i organizacji społecznych, których liczba w 2021 r. była równa 3 457. </w:t>
      </w:r>
    </w:p>
    <w:p w:rsidR="000178B1" w:rsidRPr="00B27A13" w:rsidRDefault="000178B1" w:rsidP="001E57CD">
      <w:pPr>
        <w:jc w:val="left"/>
        <w:rPr>
          <w:rFonts w:cstheme="minorHAnsi"/>
        </w:rPr>
      </w:pPr>
      <w:r w:rsidRPr="00800D30">
        <w:rPr>
          <w:rFonts w:cstheme="minorHAnsi"/>
          <w:sz w:val="24"/>
        </w:rPr>
        <w:t>W statystycznym układzie regionalnym (NUTS-3) dynamikę gospodarczą zobrazowano za pomocą wartości produktu krajowego brutto na jednego mieszkańca. Należy jednak pamiętać, że podregion wrocławski obejmuje większą liczbę jednostek terytorialnych niż obszar WrOF</w:t>
      </w:r>
      <w:r w:rsidRPr="00800D30">
        <w:rPr>
          <w:rStyle w:val="Odwoanieprzypisudolnego"/>
          <w:rFonts w:cstheme="minorHAnsi"/>
          <w:sz w:val="24"/>
        </w:rPr>
        <w:footnoteReference w:id="29"/>
      </w:r>
      <w:r w:rsidRPr="00800D30">
        <w:rPr>
          <w:rFonts w:cstheme="minorHAnsi"/>
          <w:sz w:val="24"/>
        </w:rPr>
        <w:t xml:space="preserve">. Przedstawione dane wskazują na znaczną dysproporcję w osiąganych wartościach PKB – różnica w 2019 roku pomiędzy Wrocławiem a podregionem wrocławskim wyniosła 44 226 zł. W ujęciu dynamicznym należy także zauważyć, że wzrost PKB dla Wrocławia znacznie przewyższa wartości właściwe dla pozostałych analizowanych jednostek. </w:t>
      </w:r>
    </w:p>
    <w:p w:rsidR="000178B1" w:rsidRPr="00B27A13" w:rsidRDefault="000178B1" w:rsidP="000178B1">
      <w:pPr>
        <w:pStyle w:val="nadWrOF"/>
      </w:pPr>
      <w:bookmarkStart w:id="48" w:name="_Toc123037482"/>
      <w:bookmarkStart w:id="49" w:name="_Toc143606960"/>
      <w:r w:rsidRPr="00B27A13">
        <w:t xml:space="preserve">Tabela </w:t>
      </w:r>
      <w:r w:rsidR="00C73793">
        <w:rPr>
          <w:noProof/>
        </w:rPr>
        <w:fldChar w:fldCharType="begin"/>
      </w:r>
      <w:r>
        <w:rPr>
          <w:noProof/>
        </w:rPr>
        <w:instrText xml:space="preserve"> SEQ Tabela \* ARABIC </w:instrText>
      </w:r>
      <w:r w:rsidR="00C73793">
        <w:rPr>
          <w:noProof/>
        </w:rPr>
        <w:fldChar w:fldCharType="separate"/>
      </w:r>
      <w:r w:rsidR="00C96A96">
        <w:rPr>
          <w:noProof/>
        </w:rPr>
        <w:t>3</w:t>
      </w:r>
      <w:r w:rsidR="00C73793">
        <w:rPr>
          <w:noProof/>
        </w:rPr>
        <w:fldChar w:fldCharType="end"/>
      </w:r>
      <w:r w:rsidRPr="00B27A13">
        <w:t xml:space="preserve"> Produkt krajowy brutto [zł] na jednego mieszkańca w latach 2017-2019 </w:t>
      </w:r>
      <w:r>
        <w:t>we WrOF</w:t>
      </w:r>
      <w:bookmarkEnd w:id="48"/>
      <w:bookmarkEnd w:id="49"/>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odukt krajowy brutto [zł] na jednego mieszkańca w latach 2017-2019 we WrOF"/>
        <w:tblDescription w:val="Produkt krajowy brutto [zł] na jednego mieszkańca w latach 2017-2019 we WrOF"/>
      </w:tblPr>
      <w:tblGrid>
        <w:gridCol w:w="2845"/>
        <w:gridCol w:w="1418"/>
        <w:gridCol w:w="1417"/>
        <w:gridCol w:w="1276"/>
        <w:gridCol w:w="2116"/>
      </w:tblGrid>
      <w:tr w:rsidR="000178B1" w:rsidRPr="00800D30" w:rsidTr="00800D30">
        <w:trPr>
          <w:trHeight w:val="454"/>
        </w:trPr>
        <w:tc>
          <w:tcPr>
            <w:tcW w:w="2845" w:type="dxa"/>
            <w:shd w:val="clear" w:color="auto" w:fill="auto"/>
            <w:vAlign w:val="center"/>
          </w:tcPr>
          <w:p w:rsidR="000178B1" w:rsidRPr="00800D30" w:rsidRDefault="000178B1" w:rsidP="00CF3349">
            <w:pPr>
              <w:spacing w:after="0" w:line="240" w:lineRule="auto"/>
              <w:jc w:val="center"/>
              <w:rPr>
                <w:rFonts w:cstheme="minorHAnsi"/>
              </w:rPr>
            </w:pPr>
          </w:p>
        </w:tc>
        <w:tc>
          <w:tcPr>
            <w:tcW w:w="1418" w:type="dxa"/>
            <w:shd w:val="clear" w:color="auto" w:fill="auto"/>
            <w:vAlign w:val="center"/>
          </w:tcPr>
          <w:p w:rsidR="000178B1" w:rsidRPr="00800D30" w:rsidRDefault="000178B1" w:rsidP="00CF3349">
            <w:pPr>
              <w:spacing w:after="0" w:line="240" w:lineRule="auto"/>
              <w:jc w:val="center"/>
              <w:rPr>
                <w:rFonts w:cstheme="minorHAnsi"/>
              </w:rPr>
            </w:pPr>
            <w:r w:rsidRPr="00800D30">
              <w:rPr>
                <w:rFonts w:eastAsia="Times New Roman" w:cstheme="minorHAnsi"/>
                <w:color w:val="000000"/>
                <w:lang w:eastAsia="pl-PL"/>
              </w:rPr>
              <w:t>2017</w:t>
            </w:r>
          </w:p>
        </w:tc>
        <w:tc>
          <w:tcPr>
            <w:tcW w:w="1417" w:type="dxa"/>
            <w:shd w:val="clear" w:color="auto" w:fill="auto"/>
            <w:vAlign w:val="center"/>
          </w:tcPr>
          <w:p w:rsidR="000178B1" w:rsidRPr="00800D30" w:rsidRDefault="000178B1" w:rsidP="00CF3349">
            <w:pPr>
              <w:spacing w:after="0" w:line="240" w:lineRule="auto"/>
              <w:jc w:val="center"/>
              <w:rPr>
                <w:rFonts w:cstheme="minorHAnsi"/>
              </w:rPr>
            </w:pPr>
            <w:r w:rsidRPr="00800D30">
              <w:rPr>
                <w:rFonts w:eastAsia="Times New Roman" w:cstheme="minorHAnsi"/>
                <w:color w:val="000000"/>
                <w:lang w:eastAsia="pl-PL"/>
              </w:rPr>
              <w:t>2018</w:t>
            </w:r>
          </w:p>
        </w:tc>
        <w:tc>
          <w:tcPr>
            <w:tcW w:w="1276" w:type="dxa"/>
            <w:shd w:val="clear" w:color="auto" w:fill="auto"/>
            <w:vAlign w:val="center"/>
          </w:tcPr>
          <w:p w:rsidR="000178B1" w:rsidRPr="00800D30" w:rsidRDefault="000178B1" w:rsidP="00CF3349">
            <w:pPr>
              <w:spacing w:after="0" w:line="240" w:lineRule="auto"/>
              <w:jc w:val="center"/>
              <w:rPr>
                <w:rFonts w:cstheme="minorHAnsi"/>
              </w:rPr>
            </w:pPr>
            <w:r w:rsidRPr="00800D30">
              <w:rPr>
                <w:rFonts w:eastAsia="Times New Roman" w:cstheme="minorHAnsi"/>
                <w:color w:val="000000"/>
                <w:lang w:eastAsia="pl-PL"/>
              </w:rPr>
              <w:t>2019</w:t>
            </w:r>
          </w:p>
        </w:tc>
        <w:tc>
          <w:tcPr>
            <w:tcW w:w="2116" w:type="dxa"/>
            <w:shd w:val="clear" w:color="auto" w:fill="auto"/>
            <w:vAlign w:val="center"/>
          </w:tcPr>
          <w:p w:rsidR="000178B1" w:rsidRPr="00800D30" w:rsidRDefault="000178B1" w:rsidP="00CF3349">
            <w:pPr>
              <w:spacing w:after="0" w:line="240" w:lineRule="auto"/>
              <w:jc w:val="center"/>
              <w:rPr>
                <w:rFonts w:cstheme="minorHAnsi"/>
              </w:rPr>
            </w:pPr>
            <w:r w:rsidRPr="00800D30">
              <w:rPr>
                <w:rFonts w:eastAsia="Times New Roman" w:cstheme="minorHAnsi"/>
                <w:color w:val="000000"/>
                <w:lang w:eastAsia="pl-PL"/>
              </w:rPr>
              <w:t xml:space="preserve">dynamika 2017-2019 </w:t>
            </w:r>
          </w:p>
        </w:tc>
      </w:tr>
      <w:tr w:rsidR="000178B1" w:rsidRPr="00800D30" w:rsidTr="00800D30">
        <w:trPr>
          <w:trHeight w:val="340"/>
        </w:trPr>
        <w:tc>
          <w:tcPr>
            <w:tcW w:w="2845" w:type="dxa"/>
            <w:shd w:val="clear" w:color="auto" w:fill="auto"/>
            <w:vAlign w:val="center"/>
          </w:tcPr>
          <w:p w:rsidR="000178B1" w:rsidRPr="00800D30" w:rsidRDefault="000178B1" w:rsidP="00166D1E">
            <w:pPr>
              <w:spacing w:after="0" w:line="240" w:lineRule="auto"/>
              <w:jc w:val="left"/>
              <w:rPr>
                <w:rFonts w:cstheme="minorHAnsi"/>
              </w:rPr>
            </w:pPr>
            <w:r w:rsidRPr="00800D30">
              <w:rPr>
                <w:rFonts w:eastAsia="Times New Roman" w:cstheme="minorHAnsi"/>
                <w:lang w:eastAsia="pl-PL"/>
              </w:rPr>
              <w:t>Polska</w:t>
            </w:r>
          </w:p>
        </w:tc>
        <w:tc>
          <w:tcPr>
            <w:tcW w:w="1418"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51 789</w:t>
            </w:r>
          </w:p>
        </w:tc>
        <w:tc>
          <w:tcPr>
            <w:tcW w:w="1417"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55 230</w:t>
            </w:r>
          </w:p>
        </w:tc>
        <w:tc>
          <w:tcPr>
            <w:tcW w:w="127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59 741</w:t>
            </w:r>
          </w:p>
        </w:tc>
        <w:tc>
          <w:tcPr>
            <w:tcW w:w="211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15%</w:t>
            </w:r>
          </w:p>
        </w:tc>
      </w:tr>
      <w:tr w:rsidR="000178B1" w:rsidRPr="00800D30" w:rsidTr="00800D30">
        <w:trPr>
          <w:trHeight w:val="340"/>
        </w:trPr>
        <w:tc>
          <w:tcPr>
            <w:tcW w:w="2845" w:type="dxa"/>
            <w:shd w:val="clear" w:color="auto" w:fill="auto"/>
            <w:vAlign w:val="center"/>
          </w:tcPr>
          <w:p w:rsidR="000178B1" w:rsidRPr="00800D30" w:rsidRDefault="000178B1" w:rsidP="00166D1E">
            <w:pPr>
              <w:spacing w:after="0" w:line="240" w:lineRule="auto"/>
              <w:jc w:val="left"/>
              <w:rPr>
                <w:rFonts w:cstheme="minorHAnsi"/>
              </w:rPr>
            </w:pPr>
            <w:r w:rsidRPr="00800D30">
              <w:rPr>
                <w:rFonts w:eastAsia="Times New Roman" w:cstheme="minorHAnsi"/>
                <w:lang w:eastAsia="pl-PL"/>
              </w:rPr>
              <w:t>Region dolnośląski</w:t>
            </w:r>
          </w:p>
        </w:tc>
        <w:tc>
          <w:tcPr>
            <w:tcW w:w="1418"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57 234</w:t>
            </w:r>
          </w:p>
        </w:tc>
        <w:tc>
          <w:tcPr>
            <w:tcW w:w="1417"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60 562</w:t>
            </w:r>
          </w:p>
        </w:tc>
        <w:tc>
          <w:tcPr>
            <w:tcW w:w="127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65 392</w:t>
            </w:r>
          </w:p>
        </w:tc>
        <w:tc>
          <w:tcPr>
            <w:tcW w:w="211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14%</w:t>
            </w:r>
          </w:p>
        </w:tc>
      </w:tr>
      <w:tr w:rsidR="000178B1" w:rsidRPr="00800D30" w:rsidTr="00800D30">
        <w:trPr>
          <w:trHeight w:val="340"/>
        </w:trPr>
        <w:tc>
          <w:tcPr>
            <w:tcW w:w="2845" w:type="dxa"/>
            <w:shd w:val="clear" w:color="auto" w:fill="auto"/>
            <w:vAlign w:val="center"/>
          </w:tcPr>
          <w:p w:rsidR="000178B1" w:rsidRPr="00800D30" w:rsidRDefault="000178B1" w:rsidP="00166D1E">
            <w:pPr>
              <w:spacing w:after="0" w:line="240" w:lineRule="auto"/>
              <w:jc w:val="left"/>
              <w:rPr>
                <w:rFonts w:cstheme="minorHAnsi"/>
              </w:rPr>
            </w:pPr>
            <w:r w:rsidRPr="00800D30">
              <w:rPr>
                <w:rFonts w:eastAsia="Times New Roman" w:cstheme="minorHAnsi"/>
                <w:lang w:eastAsia="pl-PL"/>
              </w:rPr>
              <w:t>Podregion wrocławski</w:t>
            </w:r>
          </w:p>
        </w:tc>
        <w:tc>
          <w:tcPr>
            <w:tcW w:w="1418"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53 138</w:t>
            </w:r>
          </w:p>
        </w:tc>
        <w:tc>
          <w:tcPr>
            <w:tcW w:w="1417"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56 974</w:t>
            </w:r>
          </w:p>
        </w:tc>
        <w:tc>
          <w:tcPr>
            <w:tcW w:w="127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60 134</w:t>
            </w:r>
          </w:p>
        </w:tc>
        <w:tc>
          <w:tcPr>
            <w:tcW w:w="211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13%</w:t>
            </w:r>
          </w:p>
        </w:tc>
      </w:tr>
      <w:tr w:rsidR="000178B1" w:rsidRPr="00800D30" w:rsidTr="00800D30">
        <w:trPr>
          <w:trHeight w:val="340"/>
        </w:trPr>
        <w:tc>
          <w:tcPr>
            <w:tcW w:w="2845" w:type="dxa"/>
            <w:shd w:val="clear" w:color="auto" w:fill="auto"/>
            <w:vAlign w:val="center"/>
          </w:tcPr>
          <w:p w:rsidR="000178B1" w:rsidRPr="00800D30" w:rsidRDefault="000178B1" w:rsidP="00166D1E">
            <w:pPr>
              <w:spacing w:after="0" w:line="240" w:lineRule="auto"/>
              <w:jc w:val="left"/>
              <w:rPr>
                <w:rFonts w:cstheme="minorHAnsi"/>
              </w:rPr>
            </w:pPr>
            <w:r w:rsidRPr="00800D30">
              <w:rPr>
                <w:rFonts w:eastAsia="Times New Roman" w:cstheme="minorHAnsi"/>
                <w:lang w:eastAsia="pl-PL"/>
              </w:rPr>
              <w:t>Podregion Miasto Wrocław</w:t>
            </w:r>
          </w:p>
        </w:tc>
        <w:tc>
          <w:tcPr>
            <w:tcW w:w="1418"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87 099</w:t>
            </w:r>
          </w:p>
        </w:tc>
        <w:tc>
          <w:tcPr>
            <w:tcW w:w="1417"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94 373</w:t>
            </w:r>
          </w:p>
        </w:tc>
        <w:tc>
          <w:tcPr>
            <w:tcW w:w="127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104 360</w:t>
            </w:r>
          </w:p>
        </w:tc>
        <w:tc>
          <w:tcPr>
            <w:tcW w:w="2116" w:type="dxa"/>
            <w:shd w:val="clear" w:color="auto" w:fill="auto"/>
            <w:vAlign w:val="center"/>
          </w:tcPr>
          <w:p w:rsidR="000178B1" w:rsidRPr="00800D30" w:rsidRDefault="000178B1" w:rsidP="00CF3349">
            <w:pPr>
              <w:spacing w:after="0" w:line="240" w:lineRule="auto"/>
              <w:jc w:val="center"/>
              <w:rPr>
                <w:rFonts w:cstheme="minorHAnsi"/>
                <w:color w:val="000000"/>
              </w:rPr>
            </w:pPr>
            <w:r w:rsidRPr="00800D30">
              <w:rPr>
                <w:rFonts w:eastAsia="Times New Roman" w:cstheme="minorHAnsi"/>
                <w:lang w:eastAsia="pl-PL"/>
              </w:rPr>
              <w:t>20%</w:t>
            </w:r>
          </w:p>
        </w:tc>
      </w:tr>
    </w:tbl>
    <w:p w:rsidR="000178B1" w:rsidRPr="0038512E" w:rsidRDefault="000178B1" w:rsidP="000178B1">
      <w:pPr>
        <w:pStyle w:val="PODWrof"/>
        <w:rPr>
          <w:rFonts w:asciiTheme="minorHAnsi" w:hAnsiTheme="minorHAnsi" w:cstheme="minorHAnsi"/>
        </w:rPr>
      </w:pPr>
      <w:r w:rsidRPr="00B27A13">
        <w:rPr>
          <w:rFonts w:asciiTheme="minorHAnsi" w:hAnsiTheme="minorHAnsi" w:cstheme="minorHAnsi"/>
        </w:rPr>
        <w:t>Źródło: opracowanie wł</w:t>
      </w:r>
      <w:r>
        <w:rPr>
          <w:rFonts w:asciiTheme="minorHAnsi" w:hAnsiTheme="minorHAnsi" w:cstheme="minorHAnsi"/>
        </w:rPr>
        <w:t>asne na podstawie danych BDL GUS [Stan na: 31.12.2021].</w:t>
      </w:r>
    </w:p>
    <w:p w:rsidR="000178B1" w:rsidRPr="00180408" w:rsidRDefault="000178B1" w:rsidP="00180408">
      <w:pPr>
        <w:spacing w:after="0"/>
        <w:jc w:val="left"/>
        <w:rPr>
          <w:rFonts w:cstheme="minorHAnsi"/>
          <w:sz w:val="24"/>
          <w:szCs w:val="20"/>
        </w:rPr>
      </w:pPr>
      <w:r w:rsidRPr="00180408">
        <w:rPr>
          <w:rFonts w:cstheme="minorHAnsi"/>
          <w:sz w:val="24"/>
          <w:szCs w:val="20"/>
        </w:rPr>
        <w:t>We WrOF dominującą branżą jest Handel hurtowy i detaliczny (sekcja G). Na terenie czterech jednostek najliczniej reprezentowaną sekcją jest budownictwo. Działalność profesjonalna, naukowa i techniczna dominuje w Kobierzycach i we Wrocławiu, co związane jest z obecnością w tych jednostkach zapleczy badawczo rozwojowych (Kobierzyce i Wrocław) oraz uczelni wyższych (Wrocław). W tabeli poniżej przedstawiono branże przeważające</w:t>
      </w:r>
      <w:r w:rsidR="00180408">
        <w:rPr>
          <w:rFonts w:cstheme="minorHAnsi"/>
          <w:sz w:val="24"/>
          <w:szCs w:val="20"/>
        </w:rPr>
        <w:t xml:space="preserve"> w </w:t>
      </w:r>
      <w:r w:rsidRPr="00180408">
        <w:rPr>
          <w:rFonts w:cstheme="minorHAnsi"/>
          <w:sz w:val="24"/>
          <w:szCs w:val="20"/>
        </w:rPr>
        <w:t>poszczególnych gminach WrOF w 2021 r.</w:t>
      </w:r>
    </w:p>
    <w:p w:rsidR="000178B1" w:rsidRPr="00B27A13" w:rsidRDefault="000178B1" w:rsidP="000178B1">
      <w:pPr>
        <w:pStyle w:val="nadWrOF"/>
        <w:rPr>
          <w:rFonts w:asciiTheme="minorHAnsi" w:hAnsiTheme="minorHAnsi" w:cstheme="minorHAnsi"/>
        </w:rPr>
      </w:pPr>
      <w:bookmarkStart w:id="50" w:name="_Toc123037483"/>
      <w:bookmarkStart w:id="51" w:name="_Toc143606961"/>
      <w:r w:rsidRPr="00B27A13">
        <w:rPr>
          <w:rFonts w:asciiTheme="minorHAnsi" w:hAnsiTheme="minorHAnsi" w:cstheme="minorHAnsi"/>
        </w:rPr>
        <w:t xml:space="preserve">Tabela </w:t>
      </w:r>
      <w:r w:rsidR="00C73793" w:rsidRPr="00B27A13">
        <w:rPr>
          <w:rFonts w:asciiTheme="minorHAnsi" w:hAnsiTheme="minorHAnsi" w:cstheme="minorHAnsi"/>
        </w:rPr>
        <w:fldChar w:fldCharType="begin"/>
      </w:r>
      <w:r w:rsidRPr="00B27A13">
        <w:rPr>
          <w:rFonts w:asciiTheme="minorHAnsi" w:hAnsiTheme="minorHAnsi" w:cstheme="minorHAnsi"/>
        </w:rPr>
        <w:instrText xml:space="preserve"> SEQ "Tabela" \* ARABIC </w:instrText>
      </w:r>
      <w:r w:rsidR="00C73793" w:rsidRPr="00B27A13">
        <w:rPr>
          <w:rFonts w:asciiTheme="minorHAnsi" w:hAnsiTheme="minorHAnsi" w:cstheme="minorHAnsi"/>
        </w:rPr>
        <w:fldChar w:fldCharType="separate"/>
      </w:r>
      <w:r w:rsidR="00C96A96">
        <w:rPr>
          <w:rFonts w:asciiTheme="minorHAnsi" w:hAnsiTheme="minorHAnsi" w:cstheme="minorHAnsi"/>
          <w:noProof/>
        </w:rPr>
        <w:t>4</w:t>
      </w:r>
      <w:r w:rsidR="00C73793" w:rsidRPr="00B27A13">
        <w:rPr>
          <w:rFonts w:asciiTheme="minorHAnsi" w:hAnsiTheme="minorHAnsi" w:cstheme="minorHAnsi"/>
        </w:rPr>
        <w:fldChar w:fldCharType="end"/>
      </w:r>
      <w:r w:rsidRPr="00B27A13">
        <w:rPr>
          <w:rFonts w:asciiTheme="minorHAnsi" w:hAnsiTheme="minorHAnsi" w:cstheme="minorHAnsi"/>
        </w:rPr>
        <w:t xml:space="preserve"> Dominujące branże gospodarki w 2021 r. w poszczególnych gminach WrOF</w:t>
      </w:r>
      <w:bookmarkEnd w:id="50"/>
      <w:bookmarkEnd w:id="51"/>
    </w:p>
    <w:tbl>
      <w:tblPr>
        <w:tblStyle w:val="Tabela-Siatka1"/>
        <w:tblW w:w="9067" w:type="dxa"/>
        <w:tblLook w:val="04A0" w:firstRow="1" w:lastRow="0" w:firstColumn="1" w:lastColumn="0" w:noHBand="0" w:noVBand="1"/>
        <w:tblCaption w:val="Dominujące branże gospodarki w 2021 r. w poszczególnych gminach WrOF"/>
        <w:tblDescription w:val="Dominujące branże gospodarki w 2021 r. w poszczególnych gminach WrOFF. Wyniki omówione w tekście"/>
      </w:tblPr>
      <w:tblGrid>
        <w:gridCol w:w="3964"/>
        <w:gridCol w:w="5103"/>
      </w:tblGrid>
      <w:tr w:rsidR="001E57CD" w:rsidRPr="00CD5751" w:rsidTr="00652ACD">
        <w:trPr>
          <w:trHeight w:val="454"/>
          <w:tblHeader/>
        </w:trPr>
        <w:tc>
          <w:tcPr>
            <w:tcW w:w="3964" w:type="dxa"/>
            <w:vAlign w:val="center"/>
          </w:tcPr>
          <w:p w:rsidR="001E57CD" w:rsidRPr="00CD5751" w:rsidRDefault="001E57CD" w:rsidP="00652ACD">
            <w:pPr>
              <w:spacing w:line="276" w:lineRule="auto"/>
              <w:jc w:val="left"/>
              <w:rPr>
                <w:rFonts w:eastAsia="Times New Roman" w:cstheme="minorHAnsi"/>
                <w:color w:val="000000"/>
                <w:sz w:val="24"/>
                <w:szCs w:val="24"/>
                <w:lang w:eastAsia="pl-PL"/>
              </w:rPr>
            </w:pPr>
            <w:r>
              <w:rPr>
                <w:rFonts w:eastAsia="Times New Roman" w:cstheme="minorHAnsi"/>
                <w:color w:val="000000"/>
                <w:sz w:val="24"/>
                <w:szCs w:val="24"/>
                <w:lang w:eastAsia="pl-PL"/>
              </w:rPr>
              <w:t xml:space="preserve">Sekcja </w:t>
            </w:r>
          </w:p>
        </w:tc>
        <w:tc>
          <w:tcPr>
            <w:tcW w:w="5103" w:type="dxa"/>
            <w:vAlign w:val="center"/>
          </w:tcPr>
          <w:p w:rsidR="001E57CD" w:rsidRPr="00CD5751" w:rsidRDefault="001E57CD" w:rsidP="00652ACD">
            <w:pPr>
              <w:spacing w:line="276" w:lineRule="auto"/>
              <w:jc w:val="left"/>
              <w:rPr>
                <w:rFonts w:cstheme="minorHAnsi"/>
                <w:sz w:val="24"/>
                <w:szCs w:val="24"/>
              </w:rPr>
            </w:pPr>
            <w:r>
              <w:rPr>
                <w:rFonts w:cstheme="minorHAnsi"/>
                <w:sz w:val="24"/>
                <w:szCs w:val="24"/>
              </w:rPr>
              <w:t>gmina</w:t>
            </w:r>
          </w:p>
        </w:tc>
      </w:tr>
      <w:tr w:rsidR="001E57CD" w:rsidRPr="00CD5751" w:rsidTr="00652ACD">
        <w:trPr>
          <w:trHeight w:val="454"/>
          <w:tblHeader/>
        </w:trPr>
        <w:tc>
          <w:tcPr>
            <w:tcW w:w="3964" w:type="dxa"/>
            <w:vAlign w:val="center"/>
          </w:tcPr>
          <w:p w:rsidR="001E57CD" w:rsidRPr="00CD5751" w:rsidRDefault="001E57CD" w:rsidP="00652ACD">
            <w:pPr>
              <w:spacing w:line="276" w:lineRule="auto"/>
              <w:jc w:val="left"/>
              <w:rPr>
                <w:rFonts w:cstheme="minorHAnsi"/>
                <w:sz w:val="24"/>
                <w:szCs w:val="24"/>
              </w:rPr>
            </w:pPr>
            <w:r w:rsidRPr="00CD5751">
              <w:rPr>
                <w:rFonts w:eastAsia="Times New Roman" w:cstheme="minorHAnsi"/>
                <w:color w:val="000000"/>
                <w:sz w:val="24"/>
                <w:szCs w:val="24"/>
                <w:lang w:eastAsia="pl-PL"/>
              </w:rPr>
              <w:t>Sekcja G</w:t>
            </w:r>
            <w:r w:rsidRPr="00CD5751">
              <w:rPr>
                <w:rStyle w:val="Odwoanieprzypisudolnego"/>
                <w:rFonts w:eastAsia="Times New Roman" w:cstheme="minorHAnsi"/>
                <w:color w:val="000000"/>
                <w:sz w:val="24"/>
                <w:szCs w:val="24"/>
                <w:lang w:eastAsia="pl-PL"/>
              </w:rPr>
              <w:footnoteReference w:id="30"/>
            </w:r>
            <w:r w:rsidRPr="00CD5751">
              <w:rPr>
                <w:rFonts w:eastAsia="Times New Roman" w:cstheme="minorHAnsi"/>
                <w:color w:val="000000"/>
                <w:sz w:val="24"/>
                <w:szCs w:val="24"/>
                <w:lang w:eastAsia="pl-PL"/>
              </w:rPr>
              <w:t xml:space="preserve"> - Handel hurtowy i detaliczny; naprawa pojazdów samochodowych, włączając motocykle</w:t>
            </w:r>
          </w:p>
        </w:tc>
        <w:tc>
          <w:tcPr>
            <w:tcW w:w="5103" w:type="dxa"/>
            <w:vAlign w:val="center"/>
          </w:tcPr>
          <w:p w:rsidR="001E57CD" w:rsidRPr="00CD5751" w:rsidRDefault="001E57CD" w:rsidP="00652ACD">
            <w:pPr>
              <w:spacing w:line="276" w:lineRule="auto"/>
              <w:jc w:val="left"/>
              <w:rPr>
                <w:rFonts w:cstheme="minorHAnsi"/>
                <w:sz w:val="24"/>
                <w:szCs w:val="24"/>
              </w:rPr>
            </w:pPr>
            <w:r w:rsidRPr="00CD5751">
              <w:rPr>
                <w:rFonts w:cstheme="minorHAnsi"/>
                <w:sz w:val="24"/>
                <w:szCs w:val="24"/>
              </w:rPr>
              <w:t>Oleśnica (miasto)</w:t>
            </w:r>
            <w:r>
              <w:rPr>
                <w:rFonts w:cstheme="minorHAnsi"/>
                <w:sz w:val="24"/>
                <w:szCs w:val="24"/>
              </w:rPr>
              <w:t xml:space="preserve">, </w:t>
            </w:r>
            <w:r w:rsidRPr="00CD5751">
              <w:rPr>
                <w:rFonts w:cstheme="minorHAnsi"/>
                <w:sz w:val="24"/>
                <w:szCs w:val="24"/>
              </w:rPr>
              <w:t>Oleśnica (gmina wiejska)</w:t>
            </w:r>
            <w:r>
              <w:rPr>
                <w:rFonts w:cstheme="minorHAnsi"/>
                <w:sz w:val="24"/>
                <w:szCs w:val="24"/>
              </w:rPr>
              <w:t xml:space="preserve">, </w:t>
            </w:r>
            <w:r w:rsidRPr="00CD5751">
              <w:rPr>
                <w:rFonts w:cstheme="minorHAnsi"/>
                <w:sz w:val="24"/>
                <w:szCs w:val="24"/>
              </w:rPr>
              <w:t>Dobroszyce</w:t>
            </w:r>
            <w:r>
              <w:rPr>
                <w:rFonts w:cstheme="minorHAnsi"/>
                <w:sz w:val="24"/>
                <w:szCs w:val="24"/>
              </w:rPr>
              <w:t xml:space="preserve">, </w:t>
            </w:r>
            <w:r w:rsidRPr="00CD5751">
              <w:rPr>
                <w:rFonts w:cstheme="minorHAnsi"/>
                <w:sz w:val="24"/>
                <w:szCs w:val="24"/>
              </w:rPr>
              <w:t>Oława (miasto)</w:t>
            </w:r>
            <w:r>
              <w:rPr>
                <w:rFonts w:cstheme="minorHAnsi"/>
                <w:sz w:val="24"/>
                <w:szCs w:val="24"/>
              </w:rPr>
              <w:t xml:space="preserve">, </w:t>
            </w:r>
            <w:r w:rsidRPr="00CD5751">
              <w:rPr>
                <w:rFonts w:cstheme="minorHAnsi"/>
                <w:sz w:val="24"/>
                <w:szCs w:val="24"/>
              </w:rPr>
              <w:t>Kąty Wrocławskie</w:t>
            </w:r>
            <w:r>
              <w:rPr>
                <w:rFonts w:cstheme="minorHAnsi"/>
                <w:sz w:val="24"/>
                <w:szCs w:val="24"/>
              </w:rPr>
              <w:t xml:space="preserve">, </w:t>
            </w:r>
            <w:r w:rsidRPr="00CD5751">
              <w:rPr>
                <w:rFonts w:cstheme="minorHAnsi"/>
                <w:sz w:val="24"/>
                <w:szCs w:val="24"/>
              </w:rPr>
              <w:t>Jelcz-Laskowice</w:t>
            </w:r>
            <w:r>
              <w:rPr>
                <w:rFonts w:cstheme="minorHAnsi"/>
                <w:sz w:val="24"/>
                <w:szCs w:val="24"/>
              </w:rPr>
              <w:t xml:space="preserve">, </w:t>
            </w:r>
            <w:r w:rsidRPr="00CD5751">
              <w:rPr>
                <w:rFonts w:cstheme="minorHAnsi"/>
                <w:sz w:val="24"/>
                <w:szCs w:val="24"/>
              </w:rPr>
              <w:t>Trzebnica</w:t>
            </w:r>
            <w:r>
              <w:rPr>
                <w:rFonts w:cstheme="minorHAnsi"/>
                <w:sz w:val="24"/>
                <w:szCs w:val="24"/>
              </w:rPr>
              <w:t xml:space="preserve">, </w:t>
            </w:r>
            <w:r w:rsidRPr="00CD5751">
              <w:rPr>
                <w:rFonts w:cstheme="minorHAnsi"/>
                <w:sz w:val="24"/>
                <w:szCs w:val="24"/>
              </w:rPr>
              <w:t>Wisznia Mała</w:t>
            </w:r>
            <w:r>
              <w:rPr>
                <w:rFonts w:cstheme="minorHAnsi"/>
                <w:sz w:val="24"/>
                <w:szCs w:val="24"/>
              </w:rPr>
              <w:t xml:space="preserve">, </w:t>
            </w:r>
            <w:r w:rsidRPr="00CD5751">
              <w:rPr>
                <w:rFonts w:cstheme="minorHAnsi"/>
                <w:sz w:val="24"/>
                <w:szCs w:val="24"/>
              </w:rPr>
              <w:t>Długołęka</w:t>
            </w:r>
            <w:r>
              <w:rPr>
                <w:rFonts w:cstheme="minorHAnsi"/>
                <w:sz w:val="24"/>
                <w:szCs w:val="24"/>
              </w:rPr>
              <w:t xml:space="preserve">, </w:t>
            </w:r>
            <w:r w:rsidRPr="00CD5751">
              <w:rPr>
                <w:rFonts w:cstheme="minorHAnsi"/>
                <w:sz w:val="24"/>
                <w:szCs w:val="24"/>
              </w:rPr>
              <w:t>Miękinia</w:t>
            </w:r>
            <w:r>
              <w:rPr>
                <w:rFonts w:cstheme="minorHAnsi"/>
                <w:sz w:val="24"/>
                <w:szCs w:val="24"/>
              </w:rPr>
              <w:t xml:space="preserve">, </w:t>
            </w:r>
            <w:r w:rsidRPr="00CD5751">
              <w:rPr>
                <w:rFonts w:cstheme="minorHAnsi"/>
                <w:sz w:val="24"/>
                <w:szCs w:val="24"/>
              </w:rPr>
              <w:t>Sobótka</w:t>
            </w:r>
            <w:r>
              <w:rPr>
                <w:rFonts w:cstheme="minorHAnsi"/>
                <w:sz w:val="24"/>
                <w:szCs w:val="24"/>
              </w:rPr>
              <w:t xml:space="preserve">, </w:t>
            </w:r>
            <w:r w:rsidRPr="00CD5751">
              <w:rPr>
                <w:rFonts w:cstheme="minorHAnsi"/>
                <w:sz w:val="24"/>
                <w:szCs w:val="24"/>
              </w:rPr>
              <w:t>Siechnice</w:t>
            </w:r>
            <w:r>
              <w:rPr>
                <w:rFonts w:cstheme="minorHAnsi"/>
                <w:sz w:val="24"/>
                <w:szCs w:val="24"/>
              </w:rPr>
              <w:t xml:space="preserve">, </w:t>
            </w:r>
            <w:r w:rsidRPr="00CD5751">
              <w:rPr>
                <w:rFonts w:cstheme="minorHAnsi"/>
                <w:sz w:val="24"/>
                <w:szCs w:val="24"/>
              </w:rPr>
              <w:t>Żórawina</w:t>
            </w:r>
          </w:p>
        </w:tc>
      </w:tr>
      <w:tr w:rsidR="001E57CD" w:rsidRPr="00CD5751" w:rsidTr="00652ACD">
        <w:trPr>
          <w:trHeight w:val="340"/>
        </w:trPr>
        <w:tc>
          <w:tcPr>
            <w:tcW w:w="3964" w:type="dxa"/>
            <w:vAlign w:val="center"/>
          </w:tcPr>
          <w:p w:rsidR="001E57CD" w:rsidRPr="00CD5751" w:rsidRDefault="001E57CD" w:rsidP="00652ACD">
            <w:pPr>
              <w:spacing w:line="276" w:lineRule="auto"/>
              <w:jc w:val="left"/>
              <w:rPr>
                <w:rFonts w:cstheme="minorHAnsi"/>
                <w:sz w:val="24"/>
                <w:szCs w:val="24"/>
              </w:rPr>
            </w:pPr>
            <w:r w:rsidRPr="00CD5751">
              <w:rPr>
                <w:rFonts w:cstheme="minorHAnsi"/>
                <w:sz w:val="24"/>
                <w:szCs w:val="24"/>
              </w:rPr>
              <w:t>Sekcja F – Budownictwo</w:t>
            </w:r>
          </w:p>
        </w:tc>
        <w:tc>
          <w:tcPr>
            <w:tcW w:w="5103" w:type="dxa"/>
            <w:vAlign w:val="center"/>
          </w:tcPr>
          <w:p w:rsidR="001E57CD" w:rsidRPr="00CD5751" w:rsidRDefault="001E57CD" w:rsidP="00652ACD">
            <w:pPr>
              <w:spacing w:line="276" w:lineRule="auto"/>
              <w:jc w:val="left"/>
              <w:rPr>
                <w:rFonts w:cstheme="minorHAnsi"/>
                <w:color w:val="000000"/>
                <w:sz w:val="24"/>
                <w:szCs w:val="24"/>
              </w:rPr>
            </w:pPr>
            <w:r w:rsidRPr="00CD5751">
              <w:rPr>
                <w:rFonts w:cstheme="minorHAnsi"/>
                <w:color w:val="000000"/>
                <w:sz w:val="24"/>
                <w:szCs w:val="24"/>
              </w:rPr>
              <w:t>Zawonia</w:t>
            </w:r>
            <w:r>
              <w:rPr>
                <w:rFonts w:cstheme="minorHAnsi"/>
                <w:color w:val="000000"/>
                <w:sz w:val="24"/>
                <w:szCs w:val="24"/>
              </w:rPr>
              <w:t xml:space="preserve">, </w:t>
            </w:r>
            <w:r w:rsidRPr="00CD5751">
              <w:rPr>
                <w:rFonts w:cstheme="minorHAnsi"/>
                <w:color w:val="000000"/>
                <w:sz w:val="24"/>
                <w:szCs w:val="24"/>
              </w:rPr>
              <w:t>Czernica</w:t>
            </w:r>
            <w:r>
              <w:rPr>
                <w:rFonts w:cstheme="minorHAnsi"/>
                <w:color w:val="000000"/>
                <w:sz w:val="24"/>
                <w:szCs w:val="24"/>
              </w:rPr>
              <w:t xml:space="preserve">, </w:t>
            </w:r>
            <w:r w:rsidRPr="00CD5751">
              <w:rPr>
                <w:rFonts w:cstheme="minorHAnsi"/>
                <w:color w:val="000000"/>
                <w:sz w:val="24"/>
                <w:szCs w:val="24"/>
              </w:rPr>
              <w:t>Gmina Oława</w:t>
            </w:r>
            <w:r>
              <w:rPr>
                <w:rFonts w:cstheme="minorHAnsi"/>
                <w:color w:val="000000"/>
                <w:sz w:val="24"/>
                <w:szCs w:val="24"/>
              </w:rPr>
              <w:t xml:space="preserve">, </w:t>
            </w:r>
            <w:r w:rsidRPr="00CD5751">
              <w:rPr>
                <w:rFonts w:cstheme="minorHAnsi"/>
                <w:color w:val="000000"/>
                <w:sz w:val="24"/>
                <w:szCs w:val="24"/>
              </w:rPr>
              <w:t>Oborniki Śląskie</w:t>
            </w:r>
          </w:p>
        </w:tc>
      </w:tr>
      <w:tr w:rsidR="001E57CD" w:rsidRPr="00CD5751" w:rsidTr="00652ACD">
        <w:trPr>
          <w:trHeight w:val="340"/>
        </w:trPr>
        <w:tc>
          <w:tcPr>
            <w:tcW w:w="3964" w:type="dxa"/>
            <w:vAlign w:val="center"/>
          </w:tcPr>
          <w:p w:rsidR="001E57CD" w:rsidRPr="00CD5751" w:rsidRDefault="001E57CD" w:rsidP="00652ACD">
            <w:pPr>
              <w:spacing w:line="276" w:lineRule="auto"/>
              <w:jc w:val="left"/>
              <w:rPr>
                <w:rFonts w:cstheme="minorHAnsi"/>
                <w:sz w:val="24"/>
                <w:szCs w:val="24"/>
              </w:rPr>
            </w:pPr>
            <w:r w:rsidRPr="00CD5751">
              <w:rPr>
                <w:rFonts w:cstheme="minorHAnsi"/>
                <w:sz w:val="24"/>
                <w:szCs w:val="24"/>
              </w:rPr>
              <w:t>Sekcja M – Działalność profesjonalna, naukowa i techniczna</w:t>
            </w:r>
          </w:p>
        </w:tc>
        <w:tc>
          <w:tcPr>
            <w:tcW w:w="5103" w:type="dxa"/>
            <w:vAlign w:val="center"/>
          </w:tcPr>
          <w:p w:rsidR="001E57CD" w:rsidRPr="00CD5751" w:rsidRDefault="001E57CD" w:rsidP="00652ACD">
            <w:pPr>
              <w:spacing w:line="276" w:lineRule="auto"/>
              <w:jc w:val="left"/>
              <w:rPr>
                <w:rFonts w:cstheme="minorHAnsi"/>
                <w:color w:val="000000"/>
                <w:sz w:val="24"/>
                <w:szCs w:val="24"/>
              </w:rPr>
            </w:pPr>
            <w:r w:rsidRPr="00CD5751">
              <w:rPr>
                <w:rFonts w:cstheme="minorHAnsi"/>
                <w:color w:val="000000"/>
                <w:sz w:val="24"/>
                <w:szCs w:val="24"/>
              </w:rPr>
              <w:t>Wrocław</w:t>
            </w:r>
            <w:r>
              <w:rPr>
                <w:rFonts w:cstheme="minorHAnsi"/>
                <w:color w:val="000000"/>
                <w:sz w:val="24"/>
                <w:szCs w:val="24"/>
              </w:rPr>
              <w:t xml:space="preserve">, </w:t>
            </w:r>
            <w:r w:rsidRPr="00CD5751">
              <w:rPr>
                <w:rFonts w:cstheme="minorHAnsi"/>
                <w:color w:val="000000"/>
                <w:sz w:val="24"/>
                <w:szCs w:val="24"/>
              </w:rPr>
              <w:t>Kobierzyce</w:t>
            </w:r>
          </w:p>
        </w:tc>
      </w:tr>
    </w:tbl>
    <w:p w:rsidR="000178B1" w:rsidRDefault="000178B1" w:rsidP="000178B1">
      <w:pPr>
        <w:pStyle w:val="PODWrof"/>
        <w:rPr>
          <w:i w:val="0"/>
        </w:rPr>
      </w:pPr>
      <w:r w:rsidRPr="00B27A13">
        <w:rPr>
          <w:rFonts w:asciiTheme="minorHAnsi" w:hAnsiTheme="minorHAnsi" w:cstheme="minorHAnsi"/>
        </w:rPr>
        <w:t xml:space="preserve">Źródło: </w:t>
      </w:r>
      <w:r w:rsidRPr="00D77F9C">
        <w:rPr>
          <w:rFonts w:asciiTheme="minorHAnsi" w:hAnsiTheme="minorHAnsi" w:cstheme="minorHAnsi"/>
        </w:rPr>
        <w:t>opracowanie własne na podstawie danych BDL G</w:t>
      </w:r>
      <w:r w:rsidRPr="002F3FDC">
        <w:rPr>
          <w:rFonts w:asciiTheme="minorHAnsi" w:hAnsiTheme="minorHAnsi" w:cstheme="minorHAnsi"/>
        </w:rPr>
        <w:t>US</w:t>
      </w:r>
      <w:r w:rsidRPr="002F3FDC">
        <w:t>[Stan na: 31.12.2021].</w:t>
      </w:r>
    </w:p>
    <w:p w:rsidR="00DE6B20" w:rsidRPr="001E57CD" w:rsidRDefault="00DE6B20" w:rsidP="001E57CD">
      <w:pPr>
        <w:jc w:val="left"/>
        <w:rPr>
          <w:rFonts w:cs="Calibri"/>
          <w:sz w:val="24"/>
        </w:rPr>
      </w:pPr>
      <w:r w:rsidRPr="001E57CD">
        <w:rPr>
          <w:rFonts w:cs="Calibri"/>
          <w:sz w:val="24"/>
        </w:rPr>
        <w:t>W liczbach bezwzględnych najliczniej występujące podm</w:t>
      </w:r>
      <w:r w:rsidR="00180408">
        <w:rPr>
          <w:rFonts w:cs="Calibri"/>
          <w:sz w:val="24"/>
        </w:rPr>
        <w:t>ioty to te związane z handlem i </w:t>
      </w:r>
      <w:r w:rsidRPr="001E57CD">
        <w:rPr>
          <w:rFonts w:cs="Calibri"/>
          <w:sz w:val="24"/>
        </w:rPr>
        <w:t>handlem hurtowym, w następnej kolejności związane z działalnością profesjon</w:t>
      </w:r>
      <w:r w:rsidR="00760A34" w:rsidRPr="001E57CD">
        <w:rPr>
          <w:rFonts w:cs="Calibri"/>
          <w:sz w:val="24"/>
        </w:rPr>
        <w:t>alną, naukową i techniczną oraz </w:t>
      </w:r>
      <w:r w:rsidRPr="001E57CD">
        <w:rPr>
          <w:rFonts w:cs="Calibri"/>
          <w:sz w:val="24"/>
        </w:rPr>
        <w:t>budownictwem. Licznie występującymi podmiotami są takż</w:t>
      </w:r>
      <w:r w:rsidR="002F7F15" w:rsidRPr="001E57CD">
        <w:rPr>
          <w:rFonts w:cs="Calibri"/>
          <w:sz w:val="24"/>
        </w:rPr>
        <w:t>e firmy związane z informacją i </w:t>
      </w:r>
      <w:r w:rsidRPr="001E57CD">
        <w:rPr>
          <w:rFonts w:cs="Calibri"/>
          <w:sz w:val="24"/>
        </w:rPr>
        <w:t>komunikacją, działalnością związaną z obsługą rynku nieruc</w:t>
      </w:r>
      <w:r w:rsidR="00961DE8" w:rsidRPr="001E57CD">
        <w:rPr>
          <w:rFonts w:cs="Calibri"/>
          <w:sz w:val="24"/>
        </w:rPr>
        <w:t>homości oraz opieką zdrowotną i pomocą społeczną</w:t>
      </w:r>
      <w:r w:rsidRPr="001E57CD">
        <w:rPr>
          <w:rFonts w:cs="Calibri"/>
          <w:sz w:val="24"/>
        </w:rPr>
        <w:t>.</w:t>
      </w:r>
    </w:p>
    <w:p w:rsidR="00C9317E" w:rsidRPr="001E57CD" w:rsidRDefault="009F34EC" w:rsidP="001E57CD">
      <w:pPr>
        <w:jc w:val="left"/>
        <w:rPr>
          <w:rFonts w:cs="Calibri"/>
          <w:sz w:val="24"/>
        </w:rPr>
      </w:pPr>
      <w:r w:rsidRPr="001E57CD">
        <w:rPr>
          <w:sz w:val="24"/>
        </w:rPr>
        <w:t xml:space="preserve">Warto podkreślić, że </w:t>
      </w:r>
      <w:r w:rsidR="00C9317E" w:rsidRPr="001E57CD">
        <w:rPr>
          <w:sz w:val="24"/>
        </w:rPr>
        <w:t>Dolny Śląsk to trzeci największy rynek informa</w:t>
      </w:r>
      <w:r w:rsidR="00961DE8" w:rsidRPr="001E57CD">
        <w:rPr>
          <w:sz w:val="24"/>
        </w:rPr>
        <w:t>tyczny w Polsce, po Mazowszu i  </w:t>
      </w:r>
      <w:r w:rsidR="00C9317E" w:rsidRPr="001E57CD">
        <w:rPr>
          <w:sz w:val="24"/>
        </w:rPr>
        <w:t>Małopolsce, zatrudniający ponad 45 tys. wysokiej klasy specjalistów.</w:t>
      </w:r>
      <w:r w:rsidR="00961DE8" w:rsidRPr="001E57CD">
        <w:rPr>
          <w:sz w:val="24"/>
        </w:rPr>
        <w:t xml:space="preserve"> </w:t>
      </w:r>
      <w:r w:rsidRPr="001E57CD">
        <w:rPr>
          <w:sz w:val="24"/>
        </w:rPr>
        <w:t>D</w:t>
      </w:r>
      <w:r w:rsidR="00C9317E" w:rsidRPr="001E57CD">
        <w:rPr>
          <w:sz w:val="24"/>
        </w:rPr>
        <w:t xml:space="preserve">ziałające </w:t>
      </w:r>
      <w:r w:rsidRPr="001E57CD">
        <w:rPr>
          <w:sz w:val="24"/>
        </w:rPr>
        <w:t xml:space="preserve">tu </w:t>
      </w:r>
      <w:r w:rsidR="00C9317E" w:rsidRPr="001E57CD">
        <w:rPr>
          <w:sz w:val="24"/>
        </w:rPr>
        <w:t xml:space="preserve">instytucje akademickie spowodowały, że dobrze wykształceni programiści mogli zakładać </w:t>
      </w:r>
      <w:r w:rsidRPr="001E57CD">
        <w:rPr>
          <w:sz w:val="24"/>
        </w:rPr>
        <w:t xml:space="preserve">tutaj </w:t>
      </w:r>
      <w:r w:rsidR="00C9317E" w:rsidRPr="001E57CD">
        <w:rPr>
          <w:sz w:val="24"/>
        </w:rPr>
        <w:t>własne działalności</w:t>
      </w:r>
      <w:r w:rsidR="00825FEF" w:rsidRPr="001E57CD">
        <w:rPr>
          <w:sz w:val="24"/>
        </w:rPr>
        <w:t xml:space="preserve">. </w:t>
      </w:r>
      <w:r w:rsidRPr="001E57CD">
        <w:rPr>
          <w:sz w:val="24"/>
        </w:rPr>
        <w:t>S</w:t>
      </w:r>
      <w:r w:rsidR="00825FEF" w:rsidRPr="001E57CD">
        <w:rPr>
          <w:sz w:val="24"/>
        </w:rPr>
        <w:t>zacuje</w:t>
      </w:r>
      <w:r w:rsidRPr="001E57CD">
        <w:rPr>
          <w:sz w:val="24"/>
        </w:rPr>
        <w:t xml:space="preserve"> się</w:t>
      </w:r>
      <w:r w:rsidR="00825FEF" w:rsidRPr="001E57CD">
        <w:rPr>
          <w:sz w:val="24"/>
        </w:rPr>
        <w:t>, że w</w:t>
      </w:r>
      <w:r w:rsidRPr="001E57CD">
        <w:rPr>
          <w:sz w:val="24"/>
        </w:rPr>
        <w:t xml:space="preserve"> samym</w:t>
      </w:r>
      <w:r w:rsidR="00825FEF" w:rsidRPr="001E57CD">
        <w:rPr>
          <w:sz w:val="24"/>
        </w:rPr>
        <w:t xml:space="preserve"> Wrocławiu w </w:t>
      </w:r>
      <w:r w:rsidRPr="001E57CD">
        <w:rPr>
          <w:sz w:val="24"/>
        </w:rPr>
        <w:t xml:space="preserve">branży </w:t>
      </w:r>
      <w:r w:rsidR="00825FEF" w:rsidRPr="001E57CD">
        <w:rPr>
          <w:sz w:val="24"/>
        </w:rPr>
        <w:t>IT pracuje około 36 tys. osób.</w:t>
      </w:r>
      <w:r w:rsidR="00825FEF" w:rsidRPr="001E57CD">
        <w:rPr>
          <w:rStyle w:val="Odwoanieprzypisudolnego"/>
          <w:sz w:val="24"/>
        </w:rPr>
        <w:footnoteReference w:id="31"/>
      </w:r>
    </w:p>
    <w:p w:rsidR="000178B1" w:rsidRPr="001E57CD" w:rsidRDefault="000178B1" w:rsidP="001E57CD">
      <w:pPr>
        <w:spacing w:after="0"/>
        <w:jc w:val="left"/>
        <w:rPr>
          <w:rFonts w:cstheme="minorHAnsi"/>
          <w:b/>
          <w:color w:val="276E8B"/>
          <w:sz w:val="24"/>
        </w:rPr>
      </w:pPr>
      <w:r w:rsidRPr="001E57CD">
        <w:rPr>
          <w:rFonts w:cstheme="minorHAnsi"/>
          <w:b/>
          <w:color w:val="276E8B"/>
          <w:sz w:val="24"/>
        </w:rPr>
        <w:t>Rynek pracy</w:t>
      </w:r>
    </w:p>
    <w:p w:rsidR="000178B1" w:rsidRPr="001E57CD" w:rsidRDefault="000178B1" w:rsidP="001E57CD">
      <w:pPr>
        <w:jc w:val="left"/>
        <w:rPr>
          <w:rFonts w:cstheme="minorHAnsi"/>
          <w:sz w:val="24"/>
        </w:rPr>
      </w:pPr>
      <w:r w:rsidRPr="001E57CD">
        <w:rPr>
          <w:rFonts w:cstheme="minorHAnsi"/>
          <w:sz w:val="24"/>
        </w:rPr>
        <w:t xml:space="preserve">W latach 2017-2020 bezwzględna liczba osób pracujących </w:t>
      </w:r>
      <w:r w:rsidR="00180408">
        <w:rPr>
          <w:rFonts w:cstheme="minorHAnsi"/>
          <w:sz w:val="24"/>
        </w:rPr>
        <w:t>we WrOF wzrosła o 23 587 osób i </w:t>
      </w:r>
      <w:r w:rsidRPr="001E57CD">
        <w:rPr>
          <w:rFonts w:cstheme="minorHAnsi"/>
          <w:sz w:val="24"/>
        </w:rPr>
        <w:t>w 2020 r. wyniosła łącznie 400 936</w:t>
      </w:r>
      <w:r w:rsidRPr="001E57CD">
        <w:rPr>
          <w:rStyle w:val="Odwoanieprzypisudolnego"/>
          <w:rFonts w:cstheme="minorHAnsi"/>
          <w:sz w:val="24"/>
        </w:rPr>
        <w:footnoteReference w:id="32"/>
      </w:r>
      <w:r w:rsidRPr="001E57CD">
        <w:rPr>
          <w:rFonts w:cstheme="minorHAnsi"/>
          <w:sz w:val="24"/>
        </w:rPr>
        <w:t>. Oznacza to, że w 2020 r. blisko 40% mieszkańców obszaru WrOF stanowiły osoby pracujące. W przeliczeniu na 1000 mieszkańców wartość wskaźnika dla WrOF wynosi 682 i zdecydowanie przewyższa wartość ogólnopolską (424) oraz wojewódzką (468). Najwyższy wskaźnik osób pracujących w stosunku do liczby mieszkańców odnotowano w </w:t>
      </w:r>
      <w:r w:rsidR="00FD4548" w:rsidRPr="001E57CD">
        <w:rPr>
          <w:rFonts w:cstheme="minorHAnsi"/>
          <w:sz w:val="24"/>
        </w:rPr>
        <w:t xml:space="preserve">gminie </w:t>
      </w:r>
      <w:r w:rsidRPr="001E57CD">
        <w:rPr>
          <w:rFonts w:cstheme="minorHAnsi"/>
          <w:sz w:val="24"/>
        </w:rPr>
        <w:t>Kobierzyc</w:t>
      </w:r>
      <w:r w:rsidR="00FD4548" w:rsidRPr="001E57CD">
        <w:rPr>
          <w:rFonts w:cstheme="minorHAnsi"/>
          <w:sz w:val="24"/>
        </w:rPr>
        <w:t>e,</w:t>
      </w:r>
      <w:r w:rsidRPr="001E57CD">
        <w:rPr>
          <w:rFonts w:cstheme="minorHAnsi"/>
          <w:sz w:val="24"/>
        </w:rPr>
        <w:t xml:space="preserve"> wyniósł on 2 216 osób na 1</w:t>
      </w:r>
      <w:r w:rsidR="001F39DB" w:rsidRPr="001E57CD">
        <w:rPr>
          <w:rFonts w:cstheme="minorHAnsi"/>
          <w:sz w:val="24"/>
        </w:rPr>
        <w:t xml:space="preserve"> </w:t>
      </w:r>
      <w:r w:rsidRPr="001E57CD">
        <w:rPr>
          <w:rFonts w:cstheme="minorHAnsi"/>
          <w:sz w:val="24"/>
        </w:rPr>
        <w:t>000 mieszkańców, co związane jest z funkcjonowaniem w tej jednostce parku przemysłowego „Euro-Park Kobierzyce” (przy 22 154 mieszkańc</w:t>
      </w:r>
      <w:r w:rsidR="00045DDB" w:rsidRPr="001E57CD">
        <w:rPr>
          <w:rFonts w:cstheme="minorHAnsi"/>
          <w:sz w:val="24"/>
        </w:rPr>
        <w:t>ach,</w:t>
      </w:r>
      <w:r w:rsidR="001F39DB" w:rsidRPr="001E57CD">
        <w:rPr>
          <w:rFonts w:cstheme="minorHAnsi"/>
          <w:sz w:val="24"/>
        </w:rPr>
        <w:t xml:space="preserve"> </w:t>
      </w:r>
      <w:r w:rsidRPr="001E57CD">
        <w:rPr>
          <w:rFonts w:cstheme="minorHAnsi"/>
          <w:sz w:val="24"/>
        </w:rPr>
        <w:t xml:space="preserve">liczba pracujących wyniosła 30 129 osób). Dodatkowym czynnikiem, dla którego </w:t>
      </w:r>
      <w:r w:rsidR="00FD4548" w:rsidRPr="001E57CD">
        <w:rPr>
          <w:rFonts w:cstheme="minorHAnsi"/>
          <w:sz w:val="24"/>
        </w:rPr>
        <w:t xml:space="preserve">gmina </w:t>
      </w:r>
      <w:r w:rsidRPr="001E57CD">
        <w:rPr>
          <w:rFonts w:cstheme="minorHAnsi"/>
          <w:sz w:val="24"/>
        </w:rPr>
        <w:t xml:space="preserve">Kobierzyce </w:t>
      </w:r>
      <w:r w:rsidR="0008651E" w:rsidRPr="001E57CD">
        <w:rPr>
          <w:rFonts w:cstheme="minorHAnsi"/>
          <w:sz w:val="24"/>
        </w:rPr>
        <w:t>jest</w:t>
      </w:r>
      <w:r w:rsidRPr="001E57CD">
        <w:rPr>
          <w:rFonts w:cstheme="minorHAnsi"/>
          <w:sz w:val="24"/>
        </w:rPr>
        <w:t xml:space="preserve"> atrakcyjnym miejscem pracy, jest dynamiczny rozwój działalności profesjonalnej, naukowej i technicznej, który przyciąga zasoby kapitału ludzkiego również spoza gminy. </w:t>
      </w:r>
    </w:p>
    <w:p w:rsidR="00AA4B23" w:rsidRPr="001E57CD" w:rsidRDefault="00AA4B23" w:rsidP="001E57CD">
      <w:pPr>
        <w:jc w:val="left"/>
        <w:rPr>
          <w:rFonts w:cstheme="minorHAnsi"/>
          <w:sz w:val="24"/>
        </w:rPr>
      </w:pPr>
      <w:r w:rsidRPr="001E57CD">
        <w:rPr>
          <w:rFonts w:cs="Calibri"/>
          <w:sz w:val="24"/>
        </w:rPr>
        <w:t>Dodatkową zmienną analizowaną w kontekście rynku pr</w:t>
      </w:r>
      <w:r w:rsidR="00180408">
        <w:rPr>
          <w:rFonts w:cs="Calibri"/>
          <w:sz w:val="24"/>
        </w:rPr>
        <w:t>acy są przepływy pracownicze. Z </w:t>
      </w:r>
      <w:r w:rsidRPr="001E57CD">
        <w:rPr>
          <w:rFonts w:cs="Calibri"/>
          <w:sz w:val="24"/>
        </w:rPr>
        <w:t>analizy danych wynika, iż mieszkańcy WrOF najczęściej wybierają Wrocław jako miejsce pracy. Najliczniejsze przepływy pracownicze w 2016 r.</w:t>
      </w:r>
      <w:r w:rsidRPr="001E57CD">
        <w:rPr>
          <w:rStyle w:val="Odwoanieprzypisudolnego"/>
          <w:rFonts w:cs="Calibri"/>
          <w:sz w:val="24"/>
        </w:rPr>
        <w:footnoteReference w:id="33"/>
      </w:r>
      <w:r w:rsidRPr="001E57CD">
        <w:rPr>
          <w:rFonts w:cs="Calibri"/>
          <w:sz w:val="24"/>
        </w:rPr>
        <w:t xml:space="preserve"> odnotowano z </w:t>
      </w:r>
      <w:r w:rsidR="008977AF" w:rsidRPr="001E57CD">
        <w:rPr>
          <w:rFonts w:cs="Calibri"/>
          <w:sz w:val="24"/>
        </w:rPr>
        <w:t xml:space="preserve">gmin: </w:t>
      </w:r>
      <w:r w:rsidRPr="001E57CD">
        <w:rPr>
          <w:rFonts w:cs="Calibri"/>
          <w:sz w:val="24"/>
        </w:rPr>
        <w:t>Oleśnic</w:t>
      </w:r>
      <w:r w:rsidR="008977AF" w:rsidRPr="001E57CD">
        <w:rPr>
          <w:rFonts w:cs="Calibri"/>
          <w:sz w:val="24"/>
        </w:rPr>
        <w:t>a</w:t>
      </w:r>
      <w:r w:rsidRPr="001E57CD">
        <w:rPr>
          <w:rFonts w:cs="Calibri"/>
          <w:sz w:val="24"/>
        </w:rPr>
        <w:t xml:space="preserve"> (miasto), Długołęk</w:t>
      </w:r>
      <w:r w:rsidR="008977AF" w:rsidRPr="001E57CD">
        <w:rPr>
          <w:rFonts w:cs="Calibri"/>
          <w:sz w:val="24"/>
        </w:rPr>
        <w:t>a</w:t>
      </w:r>
      <w:r w:rsidRPr="001E57CD">
        <w:rPr>
          <w:rFonts w:cs="Calibri"/>
          <w:sz w:val="24"/>
        </w:rPr>
        <w:t>, Kąt</w:t>
      </w:r>
      <w:r w:rsidR="008977AF" w:rsidRPr="001E57CD">
        <w:rPr>
          <w:rFonts w:cs="Calibri"/>
          <w:sz w:val="24"/>
        </w:rPr>
        <w:t>y</w:t>
      </w:r>
      <w:r w:rsidRPr="001E57CD">
        <w:rPr>
          <w:rFonts w:cs="Calibri"/>
          <w:sz w:val="24"/>
        </w:rPr>
        <w:t xml:space="preserve"> Wrocławski</w:t>
      </w:r>
      <w:r w:rsidR="008977AF" w:rsidRPr="001E57CD">
        <w:rPr>
          <w:rFonts w:cs="Calibri"/>
          <w:sz w:val="24"/>
        </w:rPr>
        <w:t>e</w:t>
      </w:r>
      <w:r w:rsidR="001F39DB" w:rsidRPr="001E57CD">
        <w:rPr>
          <w:rFonts w:cs="Calibri"/>
          <w:sz w:val="24"/>
        </w:rPr>
        <w:t xml:space="preserve"> </w:t>
      </w:r>
      <w:r w:rsidR="008977AF" w:rsidRPr="001E57CD">
        <w:rPr>
          <w:rFonts w:cs="Calibri"/>
          <w:sz w:val="24"/>
        </w:rPr>
        <w:t>i</w:t>
      </w:r>
      <w:r w:rsidRPr="001E57CD">
        <w:rPr>
          <w:rFonts w:cs="Calibri"/>
          <w:sz w:val="24"/>
        </w:rPr>
        <w:t xml:space="preserve"> Siechnic</w:t>
      </w:r>
      <w:r w:rsidR="008977AF" w:rsidRPr="001E57CD">
        <w:rPr>
          <w:rFonts w:cs="Calibri"/>
          <w:sz w:val="24"/>
        </w:rPr>
        <w:t>e</w:t>
      </w:r>
      <w:r w:rsidRPr="001E57CD">
        <w:rPr>
          <w:rFonts w:cs="Calibri"/>
          <w:sz w:val="24"/>
        </w:rPr>
        <w:t xml:space="preserve"> do Wrocławia. Widać tu wyraźną zależność związaną z odległością i dobrym skomunikowaniem miasta wojewódzkiego ze wskazanymi jednostkami i w konsekwencji wzmożonym ruchem pracowników w kierunku stolicy województwa.</w:t>
      </w:r>
    </w:p>
    <w:p w:rsidR="000178B1" w:rsidRPr="001E57CD" w:rsidRDefault="000178B1" w:rsidP="001E57CD">
      <w:pPr>
        <w:jc w:val="left"/>
        <w:rPr>
          <w:rFonts w:cstheme="minorHAnsi"/>
          <w:sz w:val="24"/>
        </w:rPr>
      </w:pPr>
      <w:r w:rsidRPr="001E57CD">
        <w:rPr>
          <w:rFonts w:cstheme="minorHAnsi"/>
          <w:sz w:val="24"/>
        </w:rPr>
        <w:t>Na koniec 2021 r. liczba bezrobotnych na terenie WrOF wyniosła 12 670 osób, co stanowi około 1,3% ogólnej liczby ludności WrOF. Problem bezrobocia różnicuje się pod względem terytorialnym. Widoczna jest zależność – im bliżej rdzenia WrOF, tym poziom bezrobocia (mierzony liczbą osób bezrobotnych w liczbie osób w wieku produkcyjnym) jest niższy. Przeciętna wartość wskaźnika dla całego obszaru WrOF w 2021 r. wyniosła 2,2% i była korzy</w:t>
      </w:r>
      <w:r w:rsidR="001F39DB" w:rsidRPr="001E57CD">
        <w:rPr>
          <w:rFonts w:cstheme="minorHAnsi"/>
          <w:sz w:val="24"/>
        </w:rPr>
        <w:t>stniejsza niż w Polsce (4,0%) i </w:t>
      </w:r>
      <w:r w:rsidRPr="001E57CD">
        <w:rPr>
          <w:rFonts w:cstheme="minorHAnsi"/>
          <w:sz w:val="24"/>
        </w:rPr>
        <w:t>województwie dolnośląskim (3,5%). Dynamika liczby osób bezrobotnych wpisuje</w:t>
      </w:r>
      <w:r w:rsidR="00752127" w:rsidRPr="001E57CD">
        <w:rPr>
          <w:rFonts w:cstheme="minorHAnsi"/>
          <w:sz w:val="24"/>
        </w:rPr>
        <w:t xml:space="preserve"> się w ogólnopolskie trendy i w </w:t>
      </w:r>
      <w:r w:rsidRPr="001E57CD">
        <w:rPr>
          <w:rFonts w:cstheme="minorHAnsi"/>
          <w:sz w:val="24"/>
        </w:rPr>
        <w:t>większości badanych jednostek</w:t>
      </w:r>
      <w:r w:rsidR="00E60890" w:rsidRPr="001E57CD">
        <w:rPr>
          <w:rFonts w:cstheme="minorHAnsi"/>
          <w:sz w:val="24"/>
        </w:rPr>
        <w:t>,</w:t>
      </w:r>
      <w:r w:rsidRPr="001E57CD">
        <w:rPr>
          <w:rFonts w:cstheme="minorHAnsi"/>
          <w:sz w:val="24"/>
        </w:rPr>
        <w:t xml:space="preserve"> odsetek osób bezrobotnych w liczbie osób w wieku produkcyjnym zmniejsza się</w:t>
      </w:r>
      <w:r w:rsidR="00CC6D72" w:rsidRPr="001E57CD">
        <w:rPr>
          <w:rFonts w:cstheme="minorHAnsi"/>
          <w:sz w:val="24"/>
        </w:rPr>
        <w:t>,</w:t>
      </w:r>
      <w:r w:rsidRPr="001E57CD">
        <w:rPr>
          <w:rFonts w:cstheme="minorHAnsi"/>
          <w:sz w:val="24"/>
        </w:rPr>
        <w:t xml:space="preserve"> bądź pozostaje bez zmian. Największe jego spadki dotyczą Oławy, zarówno gminy wiejskiej</w:t>
      </w:r>
      <w:r w:rsidR="001F39DB" w:rsidRPr="001E57CD">
        <w:rPr>
          <w:rFonts w:cstheme="minorHAnsi"/>
          <w:sz w:val="24"/>
        </w:rPr>
        <w:t>,</w:t>
      </w:r>
      <w:r w:rsidRPr="001E57CD">
        <w:rPr>
          <w:rFonts w:cstheme="minorHAnsi"/>
          <w:sz w:val="24"/>
        </w:rPr>
        <w:t xml:space="preserve"> jak i miasta. Wzrost udziału liczby osób bezrobotnych odnotowano w czterech </w:t>
      </w:r>
      <w:r w:rsidR="00CC6D72" w:rsidRPr="001E57CD">
        <w:rPr>
          <w:rFonts w:cstheme="minorHAnsi"/>
          <w:sz w:val="24"/>
        </w:rPr>
        <w:t>gminach</w:t>
      </w:r>
      <w:r w:rsidRPr="001E57CD">
        <w:rPr>
          <w:rFonts w:cstheme="minorHAnsi"/>
          <w:sz w:val="24"/>
        </w:rPr>
        <w:t>: Dobroszyc</w:t>
      </w:r>
      <w:r w:rsidR="00CC6D72" w:rsidRPr="001E57CD">
        <w:rPr>
          <w:rFonts w:cstheme="minorHAnsi"/>
          <w:sz w:val="24"/>
        </w:rPr>
        <w:t>e</w:t>
      </w:r>
      <w:r w:rsidRPr="001E57CD">
        <w:rPr>
          <w:rFonts w:cstheme="minorHAnsi"/>
          <w:sz w:val="24"/>
        </w:rPr>
        <w:t>, Długołę</w:t>
      </w:r>
      <w:r w:rsidR="00CC6D72" w:rsidRPr="001E57CD">
        <w:rPr>
          <w:rFonts w:cstheme="minorHAnsi"/>
          <w:sz w:val="24"/>
        </w:rPr>
        <w:t>ka</w:t>
      </w:r>
      <w:r w:rsidRPr="001E57CD">
        <w:rPr>
          <w:rFonts w:cstheme="minorHAnsi"/>
          <w:sz w:val="24"/>
        </w:rPr>
        <w:t>, Oleśnic</w:t>
      </w:r>
      <w:r w:rsidR="00CC6D72" w:rsidRPr="001E57CD">
        <w:rPr>
          <w:rFonts w:cstheme="minorHAnsi"/>
          <w:sz w:val="24"/>
        </w:rPr>
        <w:t>a</w:t>
      </w:r>
      <w:r w:rsidRPr="001E57CD">
        <w:rPr>
          <w:rFonts w:cstheme="minorHAnsi"/>
          <w:sz w:val="24"/>
        </w:rPr>
        <w:t xml:space="preserve"> (gmina wiejska) i Sobót</w:t>
      </w:r>
      <w:r w:rsidR="00CC6D72" w:rsidRPr="001E57CD">
        <w:rPr>
          <w:rFonts w:cstheme="minorHAnsi"/>
          <w:sz w:val="24"/>
        </w:rPr>
        <w:t>ka</w:t>
      </w:r>
      <w:r w:rsidRPr="001E57CD">
        <w:rPr>
          <w:rFonts w:cstheme="minorHAnsi"/>
          <w:sz w:val="24"/>
        </w:rPr>
        <w:t>, choć ich wartość jest niewielka i waha się od 0,3 pp. do 0,1 pp. Należy za</w:t>
      </w:r>
      <w:r w:rsidR="002F7F15" w:rsidRPr="001E57CD">
        <w:rPr>
          <w:rFonts w:cstheme="minorHAnsi"/>
          <w:sz w:val="24"/>
        </w:rPr>
        <w:t>tem stwierdzić, że bezrobocie w </w:t>
      </w:r>
      <w:r w:rsidRPr="001E57CD">
        <w:rPr>
          <w:rFonts w:cstheme="minorHAnsi"/>
          <w:sz w:val="24"/>
        </w:rPr>
        <w:t>ostatnich latach to raczej problem marginalny dla badanego obszaru.</w:t>
      </w:r>
    </w:p>
    <w:p w:rsidR="000178B1" w:rsidRPr="001E57CD" w:rsidRDefault="000178B1" w:rsidP="001E57CD">
      <w:pPr>
        <w:spacing w:after="0"/>
        <w:jc w:val="left"/>
        <w:rPr>
          <w:rFonts w:cstheme="minorHAnsi"/>
          <w:sz w:val="24"/>
        </w:rPr>
      </w:pPr>
      <w:r w:rsidRPr="001E57CD">
        <w:rPr>
          <w:rFonts w:cstheme="minorHAnsi"/>
          <w:sz w:val="24"/>
        </w:rPr>
        <w:t>Analizując problem bezrobocia pod kątem różnych grup funkcjonalnych posłużono się wskaźnikami dotyczącymi udziału długotrwale bezrobotnych w ogólnej liczbie osób bezrobotnych oraz udziału osób z niepełnosprawnościami pozbawionych pracy w liczbie bezrobotnych ogółem.</w:t>
      </w:r>
    </w:p>
    <w:p w:rsidR="000178B1" w:rsidRPr="001E57CD" w:rsidRDefault="000178B1" w:rsidP="001E57CD">
      <w:pPr>
        <w:jc w:val="left"/>
        <w:rPr>
          <w:rFonts w:cstheme="minorHAnsi"/>
          <w:sz w:val="24"/>
        </w:rPr>
      </w:pPr>
      <w:r w:rsidRPr="001E57CD">
        <w:rPr>
          <w:rFonts w:cstheme="minorHAnsi"/>
          <w:sz w:val="24"/>
        </w:rPr>
        <w:t xml:space="preserve">W Polsce udział osób długotrwale bezrobotnych w liczbie osób bezrobotnych ogółem w 2021 r. wyniósł 56,6% i był wyższy w porównaniu z województwem dolnośląskim (54,5%) </w:t>
      </w:r>
      <w:r w:rsidR="00180408">
        <w:rPr>
          <w:rFonts w:cstheme="minorHAnsi"/>
          <w:sz w:val="24"/>
        </w:rPr>
        <w:t>i </w:t>
      </w:r>
      <w:r w:rsidRPr="001E57CD">
        <w:rPr>
          <w:rFonts w:cstheme="minorHAnsi"/>
          <w:sz w:val="24"/>
        </w:rPr>
        <w:t>obszarem WrOF (50,9%). Zarówno w Polsce, województwie dolnośląskim, jak i WrOF w latach 2017-2021 odnotowuje się wzrost liczby osób w tej kategorii przy czym we WrOF osób tych przybywa w nieco szybszym tempie. Ogólna tendencja wzrostowa w zakresie liczby osób długotrwale bezrobotnych związana jest przede ws</w:t>
      </w:r>
      <w:r w:rsidR="00180408">
        <w:rPr>
          <w:rFonts w:cstheme="minorHAnsi"/>
          <w:sz w:val="24"/>
        </w:rPr>
        <w:t>zystkim ze wzrastającą liczbą i </w:t>
      </w:r>
      <w:r w:rsidRPr="001E57CD">
        <w:rPr>
          <w:rFonts w:cstheme="minorHAnsi"/>
          <w:sz w:val="24"/>
        </w:rPr>
        <w:t>kwotą transferów socjalnych</w:t>
      </w:r>
      <w:r w:rsidRPr="001E57CD">
        <w:rPr>
          <w:rStyle w:val="Odwoanieprzypisudolnego"/>
          <w:rFonts w:cstheme="minorHAnsi"/>
          <w:sz w:val="24"/>
        </w:rPr>
        <w:footnoteReference w:id="34"/>
      </w:r>
      <w:r w:rsidRPr="001E57CD">
        <w:rPr>
          <w:rFonts w:cstheme="minorHAnsi"/>
          <w:sz w:val="24"/>
        </w:rPr>
        <w:t xml:space="preserve">, brakiem pracy na rynku lokalnym oraz wzrostem kosztów, związanych z komunikacją i transportem. </w:t>
      </w:r>
    </w:p>
    <w:p w:rsidR="000178B1" w:rsidRPr="001E57CD" w:rsidRDefault="000178B1" w:rsidP="001E57CD">
      <w:pPr>
        <w:jc w:val="left"/>
        <w:rPr>
          <w:rFonts w:cstheme="minorHAnsi"/>
          <w:sz w:val="24"/>
        </w:rPr>
      </w:pPr>
      <w:r w:rsidRPr="001E57CD">
        <w:rPr>
          <w:rFonts w:cstheme="minorHAnsi"/>
          <w:sz w:val="24"/>
        </w:rPr>
        <w:t>Ostatnią analizowaną grupą są osoby bezrobotne z niepełnosprawnościami. Ich ogólna liczba w 2020 r. na terenie WrOF wyniosła około 1 013 osób</w:t>
      </w:r>
      <w:r w:rsidRPr="001E57CD">
        <w:rPr>
          <w:rStyle w:val="Odwoanieprzypisudolnego"/>
          <w:rFonts w:cstheme="minorHAnsi"/>
          <w:sz w:val="24"/>
        </w:rPr>
        <w:footnoteReference w:id="35"/>
      </w:r>
      <w:r w:rsidR="001F39DB" w:rsidRPr="001E57CD">
        <w:rPr>
          <w:rFonts w:cstheme="minorHAnsi"/>
          <w:sz w:val="24"/>
        </w:rPr>
        <w:t xml:space="preserve">, </w:t>
      </w:r>
      <w:r w:rsidRPr="001E57CD">
        <w:rPr>
          <w:rFonts w:cstheme="minorHAnsi"/>
          <w:sz w:val="24"/>
        </w:rPr>
        <w:t>przy czym połowa (55%) z nich zamieszkuje Wrocław. Analizując zmiany liczby osób bezrobotnych z niepełnosprawnościami w kontekście terytorialnym zauważa się, iż wyższy udział bezrobotnych z niepełnosprawnościami cechuje gminy najbardziej oddalone od rdzenia WrOF.</w:t>
      </w:r>
    </w:p>
    <w:p w:rsidR="002F7F15" w:rsidRDefault="002F7F15" w:rsidP="001E57CD">
      <w:pPr>
        <w:jc w:val="left"/>
        <w:rPr>
          <w:rFonts w:cstheme="minorHAnsi"/>
          <w:sz w:val="24"/>
        </w:rPr>
      </w:pPr>
      <w:r w:rsidRPr="001E57CD">
        <w:rPr>
          <w:rFonts w:cstheme="minorHAnsi"/>
          <w:sz w:val="24"/>
        </w:rPr>
        <w:t>Jak wspomniano, w latach 2017-2020 na terenie WrOF bezrobocie nie było istotnym problemem, jednak należy dołożyć wszelkich starań w celu aktywizacji osób w szczeg</w:t>
      </w:r>
      <w:r w:rsidR="001E57CD">
        <w:rPr>
          <w:rFonts w:cstheme="minorHAnsi"/>
          <w:sz w:val="24"/>
        </w:rPr>
        <w:t xml:space="preserve">ólnej sytuacji na rynku pracy. </w:t>
      </w:r>
      <w:r w:rsidRPr="001E57CD">
        <w:rPr>
          <w:rFonts w:cstheme="minorHAnsi"/>
          <w:sz w:val="24"/>
        </w:rPr>
        <w:t>Co więcej, należy mieć na względzie, iż sytuacja na rynku prac</w:t>
      </w:r>
      <w:r w:rsidR="001E57CD">
        <w:rPr>
          <w:rFonts w:cstheme="minorHAnsi"/>
          <w:sz w:val="24"/>
        </w:rPr>
        <w:t xml:space="preserve">y może dynamicznie się zmienić </w:t>
      </w:r>
      <w:r w:rsidRPr="001E57CD">
        <w:rPr>
          <w:rFonts w:cstheme="minorHAnsi"/>
          <w:sz w:val="24"/>
        </w:rPr>
        <w:t>– w szczególności za sprawą ruchów migracyjnych (zarówno wewnętrznych, jak i zewnętrznych).</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1E57CD" w:rsidRPr="00800D30" w:rsidTr="00652ACD">
        <w:trPr>
          <w:trHeight w:val="510"/>
          <w:tblHeader/>
        </w:trPr>
        <w:tc>
          <w:tcPr>
            <w:tcW w:w="9062" w:type="dxa"/>
            <w:vAlign w:val="center"/>
          </w:tcPr>
          <w:p w:rsidR="001E57CD" w:rsidRPr="00800D30" w:rsidRDefault="001E57CD" w:rsidP="00652ACD">
            <w:pPr>
              <w:spacing w:line="240" w:lineRule="auto"/>
              <w:jc w:val="left"/>
              <w:rPr>
                <w:b/>
                <w:sz w:val="24"/>
              </w:rPr>
            </w:pPr>
            <w:r w:rsidRPr="00800D30">
              <w:rPr>
                <w:b/>
                <w:sz w:val="24"/>
              </w:rPr>
              <w:t>Kluczowe wyzwania strategiczne</w:t>
            </w:r>
          </w:p>
        </w:tc>
      </w:tr>
      <w:tr w:rsidR="001E57CD" w:rsidTr="00652ACD">
        <w:trPr>
          <w:trHeight w:val="737"/>
        </w:trPr>
        <w:tc>
          <w:tcPr>
            <w:tcW w:w="9062" w:type="dxa"/>
            <w:vAlign w:val="center"/>
          </w:tcPr>
          <w:p w:rsidR="001E57CD" w:rsidRPr="000530A7" w:rsidRDefault="001E57CD" w:rsidP="001E57CD">
            <w:pPr>
              <w:spacing w:line="240" w:lineRule="auto"/>
              <w:jc w:val="left"/>
              <w:rPr>
                <w:rFonts w:cstheme="minorHAnsi"/>
                <w:szCs w:val="20"/>
              </w:rPr>
            </w:pPr>
            <w:r w:rsidRPr="000530A7">
              <w:rPr>
                <w:rFonts w:cstheme="minorHAnsi"/>
                <w:szCs w:val="20"/>
              </w:rPr>
              <w:t xml:space="preserve">W celu pozyskiwania i zwiększenia skali inwestycji gospodarczych oraz wzmocnienia konkurencyjności WrOF na tle innych ośrodków, kluczowe jest ograniczenie występujących braków w </w:t>
            </w:r>
            <w:r>
              <w:rPr>
                <w:rFonts w:cstheme="minorHAnsi"/>
                <w:szCs w:val="20"/>
              </w:rPr>
              <w:t xml:space="preserve">obszarze </w:t>
            </w:r>
            <w:r w:rsidRPr="000530A7">
              <w:rPr>
                <w:rFonts w:cstheme="minorHAnsi"/>
                <w:szCs w:val="20"/>
              </w:rPr>
              <w:t>infrastruktury komunikacyjnej.</w:t>
            </w:r>
          </w:p>
        </w:tc>
      </w:tr>
      <w:tr w:rsidR="001E57CD" w:rsidTr="00652ACD">
        <w:trPr>
          <w:trHeight w:val="737"/>
        </w:trPr>
        <w:tc>
          <w:tcPr>
            <w:tcW w:w="9062" w:type="dxa"/>
            <w:vAlign w:val="center"/>
          </w:tcPr>
          <w:p w:rsidR="001E57CD" w:rsidRPr="00D74575" w:rsidRDefault="001E57CD" w:rsidP="001E57CD">
            <w:pPr>
              <w:spacing w:line="240" w:lineRule="auto"/>
              <w:jc w:val="left"/>
              <w:rPr>
                <w:rFonts w:cstheme="minorHAnsi"/>
                <w:color w:val="FF0000"/>
                <w:szCs w:val="20"/>
              </w:rPr>
            </w:pPr>
            <w:r w:rsidRPr="000530A7">
              <w:rPr>
                <w:rFonts w:cstheme="minorHAnsi"/>
                <w:szCs w:val="20"/>
              </w:rPr>
              <w:t xml:space="preserve">Istotne jest dalsze tworzenie miejsc pracy poza </w:t>
            </w:r>
            <w:r>
              <w:rPr>
                <w:rFonts w:cstheme="minorHAnsi"/>
                <w:szCs w:val="20"/>
              </w:rPr>
              <w:t>Wrocławiem</w:t>
            </w:r>
            <w:r w:rsidRPr="000530A7">
              <w:rPr>
                <w:rFonts w:cstheme="minorHAnsi"/>
                <w:szCs w:val="20"/>
              </w:rPr>
              <w:t xml:space="preserve"> – w gminach ościennych. Będzie to prowadziło do ograniczenia zjawiska migracji zarobkowej do rdzenia obszaru i przyczyni się do zrównoważonego rozwoju gospodarczego. </w:t>
            </w:r>
          </w:p>
        </w:tc>
      </w:tr>
      <w:tr w:rsidR="001E57CD" w:rsidTr="00652ACD">
        <w:trPr>
          <w:trHeight w:val="737"/>
        </w:trPr>
        <w:tc>
          <w:tcPr>
            <w:tcW w:w="9062" w:type="dxa"/>
            <w:vAlign w:val="center"/>
          </w:tcPr>
          <w:p w:rsidR="001E57CD" w:rsidRPr="000530A7" w:rsidRDefault="001E57CD" w:rsidP="001E57CD">
            <w:pPr>
              <w:spacing w:line="240" w:lineRule="auto"/>
              <w:jc w:val="left"/>
              <w:rPr>
                <w:rFonts w:cstheme="minorHAnsi"/>
                <w:szCs w:val="20"/>
              </w:rPr>
            </w:pPr>
            <w:r w:rsidRPr="005C3404">
              <w:rPr>
                <w:rFonts w:cstheme="minorHAnsi"/>
                <w:szCs w:val="20"/>
              </w:rPr>
              <w:t>Kluczowym potencjałem do wykorzystania jest rozwój branży informatycznej oraz wprowadzenie rozwiązań innowacyjnych i technologicznych, do czego konieczn</w:t>
            </w:r>
            <w:r w:rsidR="00180408">
              <w:rPr>
                <w:rFonts w:cstheme="minorHAnsi"/>
                <w:szCs w:val="20"/>
              </w:rPr>
              <w:t>e jest zwiększenie współpracy z </w:t>
            </w:r>
            <w:r w:rsidRPr="005C3404">
              <w:rPr>
                <w:rFonts w:cstheme="minorHAnsi"/>
                <w:szCs w:val="20"/>
              </w:rPr>
              <w:t xml:space="preserve">sektorem akademickim. </w:t>
            </w:r>
          </w:p>
        </w:tc>
      </w:tr>
      <w:tr w:rsidR="001E57CD" w:rsidTr="00652ACD">
        <w:trPr>
          <w:trHeight w:val="737"/>
        </w:trPr>
        <w:tc>
          <w:tcPr>
            <w:tcW w:w="9062" w:type="dxa"/>
            <w:vAlign w:val="center"/>
          </w:tcPr>
          <w:p w:rsidR="001E57CD" w:rsidRPr="005C3404" w:rsidRDefault="001E57CD" w:rsidP="001E57CD">
            <w:pPr>
              <w:spacing w:line="240" w:lineRule="auto"/>
              <w:jc w:val="left"/>
              <w:rPr>
                <w:rFonts w:cstheme="minorHAnsi"/>
                <w:szCs w:val="20"/>
              </w:rPr>
            </w:pPr>
            <w:r w:rsidRPr="000530A7">
              <w:rPr>
                <w:rFonts w:cstheme="minorHAnsi"/>
                <w:szCs w:val="20"/>
              </w:rPr>
              <w:t>Niewątpliwym wyzwaniem w najbliższej perspektywie jest wypracowanie narzędzi aktywizujących osoby w szczególnej sytuacji na rynku pracy oraz mechanizmów adaptacyjnych do możliwych dynamicznych zmian na rynku pracy</w:t>
            </w:r>
          </w:p>
        </w:tc>
      </w:tr>
    </w:tbl>
    <w:p w:rsidR="000178B1" w:rsidRPr="008D2AB6" w:rsidRDefault="000530A7" w:rsidP="002F3FDC">
      <w:pPr>
        <w:pStyle w:val="Nagwek2"/>
        <w:spacing w:before="480"/>
      </w:pPr>
      <w:bookmarkStart w:id="52" w:name="_Toc121148919"/>
      <w:bookmarkStart w:id="53" w:name="_Toc124767662"/>
      <w:bookmarkStart w:id="54" w:name="_Toc125707444"/>
      <w:bookmarkStart w:id="55" w:name="_Toc143673209"/>
      <w:r w:rsidRPr="008D2AB6">
        <w:t>II.</w:t>
      </w:r>
      <w:r w:rsidR="00187AED" w:rsidRPr="008D2AB6">
        <w:t>6</w:t>
      </w:r>
      <w:r w:rsidR="001F39DB">
        <w:t xml:space="preserve"> </w:t>
      </w:r>
      <w:r w:rsidR="000178B1" w:rsidRPr="008D2AB6">
        <w:t>Środowisko naturalne</w:t>
      </w:r>
      <w:bookmarkEnd w:id="52"/>
      <w:bookmarkEnd w:id="53"/>
      <w:bookmarkEnd w:id="54"/>
      <w:bookmarkEnd w:id="55"/>
    </w:p>
    <w:p w:rsidR="00C26CEE" w:rsidRPr="001E57CD" w:rsidRDefault="00B76684" w:rsidP="001E57CD">
      <w:pPr>
        <w:jc w:val="left"/>
        <w:rPr>
          <w:color w:val="000000" w:themeColor="text1"/>
          <w:sz w:val="24"/>
        </w:rPr>
      </w:pPr>
      <w:r w:rsidRPr="001E57CD">
        <w:rPr>
          <w:color w:val="000000" w:themeColor="text1"/>
          <w:sz w:val="24"/>
        </w:rPr>
        <w:t>Obszar  WrOF charakteryzuje się du</w:t>
      </w:r>
      <w:r w:rsidR="002F7F15" w:rsidRPr="001E57CD">
        <w:rPr>
          <w:color w:val="000000" w:themeColor="text1"/>
          <w:sz w:val="24"/>
        </w:rPr>
        <w:t>żymi walorami przyrodniczymi, z </w:t>
      </w:r>
      <w:r w:rsidRPr="001E57CD">
        <w:rPr>
          <w:color w:val="000000" w:themeColor="text1"/>
          <w:sz w:val="24"/>
        </w:rPr>
        <w:t>których część objęta jest ochroną pr</w:t>
      </w:r>
      <w:r w:rsidR="002F7F15" w:rsidRPr="001E57CD">
        <w:rPr>
          <w:color w:val="000000" w:themeColor="text1"/>
          <w:sz w:val="24"/>
        </w:rPr>
        <w:t>awną. Układ przyrodniczy WrOF w </w:t>
      </w:r>
      <w:r w:rsidRPr="001E57CD">
        <w:rPr>
          <w:color w:val="000000" w:themeColor="text1"/>
          <w:sz w:val="24"/>
        </w:rPr>
        <w:t>dużej mierze opiera się na dolinach rzecznych, obszarach rolniczyc</w:t>
      </w:r>
      <w:r w:rsidR="002F7F15" w:rsidRPr="001E57CD">
        <w:rPr>
          <w:color w:val="000000" w:themeColor="text1"/>
          <w:sz w:val="24"/>
        </w:rPr>
        <w:t>h i </w:t>
      </w:r>
      <w:r w:rsidRPr="001E57CD">
        <w:rPr>
          <w:color w:val="000000" w:themeColor="text1"/>
          <w:sz w:val="24"/>
        </w:rPr>
        <w:t>leśnych, ważną rolę pełni również zieleń miejska.</w:t>
      </w:r>
    </w:p>
    <w:p w:rsidR="00E366EA" w:rsidRPr="001E57CD" w:rsidRDefault="00E366EA" w:rsidP="001E57CD">
      <w:pPr>
        <w:spacing w:before="120" w:after="0"/>
        <w:jc w:val="left"/>
        <w:rPr>
          <w:rFonts w:cstheme="minorHAnsi"/>
          <w:b/>
          <w:color w:val="000000" w:themeColor="text1"/>
          <w:sz w:val="24"/>
        </w:rPr>
      </w:pPr>
      <w:r w:rsidRPr="001E57CD">
        <w:rPr>
          <w:rFonts w:cstheme="minorHAnsi"/>
          <w:b/>
          <w:color w:val="000000" w:themeColor="text1"/>
          <w:sz w:val="24"/>
        </w:rPr>
        <w:t>Wody</w:t>
      </w:r>
    </w:p>
    <w:p w:rsidR="00E366EA" w:rsidRPr="001E57CD" w:rsidRDefault="00E366EA" w:rsidP="001E57CD">
      <w:pPr>
        <w:jc w:val="left"/>
        <w:rPr>
          <w:color w:val="000000" w:themeColor="text1"/>
          <w:sz w:val="24"/>
        </w:rPr>
      </w:pPr>
      <w:r w:rsidRPr="001E57CD">
        <w:rPr>
          <w:color w:val="000000" w:themeColor="text1"/>
          <w:sz w:val="24"/>
        </w:rPr>
        <w:t>WrOF leży na obszarze Dorzecza Odry, w regionie wodnym środkowej Odry. Prz</w:t>
      </w:r>
      <w:r w:rsidR="001F39DB" w:rsidRPr="001E57CD">
        <w:rPr>
          <w:color w:val="000000" w:themeColor="text1"/>
          <w:sz w:val="24"/>
        </w:rPr>
        <w:t xml:space="preserve">ez teren WrOF przepływają </w:t>
      </w:r>
      <w:r w:rsidRPr="001E57CD">
        <w:rPr>
          <w:color w:val="000000" w:themeColor="text1"/>
          <w:sz w:val="24"/>
        </w:rPr>
        <w:t>rzeki: Odra, Widawa, Ślęza, Bystrzyca i Oława</w:t>
      </w:r>
      <w:r w:rsidR="001F39DB" w:rsidRPr="001E57CD">
        <w:rPr>
          <w:color w:val="000000" w:themeColor="text1"/>
          <w:sz w:val="24"/>
        </w:rPr>
        <w:t xml:space="preserve"> </w:t>
      </w:r>
      <w:r w:rsidR="005D306D" w:rsidRPr="001E57CD">
        <w:rPr>
          <w:color w:val="000000" w:themeColor="text1"/>
          <w:sz w:val="24"/>
        </w:rPr>
        <w:t>oraz ich dopływy</w:t>
      </w:r>
      <w:r w:rsidRPr="001E57CD">
        <w:rPr>
          <w:color w:val="000000" w:themeColor="text1"/>
          <w:sz w:val="24"/>
        </w:rPr>
        <w:t>. Obszar znajduje się w</w:t>
      </w:r>
      <w:r w:rsidR="001F39DB" w:rsidRPr="001E57CD">
        <w:rPr>
          <w:color w:val="000000" w:themeColor="text1"/>
          <w:sz w:val="24"/>
        </w:rPr>
        <w:t> </w:t>
      </w:r>
      <w:r w:rsidRPr="001E57CD">
        <w:rPr>
          <w:color w:val="000000" w:themeColor="text1"/>
          <w:sz w:val="24"/>
        </w:rPr>
        <w:t xml:space="preserve">zasięgu 82 zlewni jednolitych części wód powierzchniowych </w:t>
      </w:r>
      <w:r w:rsidR="006A396E" w:rsidRPr="001E57CD">
        <w:rPr>
          <w:color w:val="000000" w:themeColor="text1"/>
          <w:sz w:val="24"/>
        </w:rPr>
        <w:t xml:space="preserve">(JCWP) </w:t>
      </w:r>
      <w:r w:rsidRPr="001E57CD">
        <w:rPr>
          <w:color w:val="000000" w:themeColor="text1"/>
          <w:sz w:val="24"/>
        </w:rPr>
        <w:t xml:space="preserve">oraz 5 jednolitych części wód podziemnych: nr 79, 95, 96, 108, 109. Niektóre JCWP obejmują niewielkie powierzchnie gmin. Problemem środowiskowym w całym województwie dolnośląskim, w tym na terenie WrOF jest niedostateczna jakość jednolitych części wód powierzchniowych. Do ich złego stanu przyczynia się </w:t>
      </w:r>
      <w:r w:rsidR="008D2AB6" w:rsidRPr="001E57CD">
        <w:rPr>
          <w:color w:val="000000" w:themeColor="text1"/>
          <w:sz w:val="24"/>
        </w:rPr>
        <w:t>głównie odprowadzanie ścieków z </w:t>
      </w:r>
      <w:r w:rsidRPr="001E57CD">
        <w:rPr>
          <w:color w:val="000000" w:themeColor="text1"/>
          <w:sz w:val="24"/>
        </w:rPr>
        <w:t>gospodarstw domowych, działalność turystyczna, zakłady przemysłowe i rolnictwo</w:t>
      </w:r>
      <w:r w:rsidRPr="001E57CD">
        <w:rPr>
          <w:rStyle w:val="Odwoanieprzypisudolnego"/>
          <w:color w:val="000000" w:themeColor="text1"/>
          <w:sz w:val="24"/>
        </w:rPr>
        <w:footnoteReference w:id="36"/>
      </w:r>
      <w:r w:rsidRPr="001E57CD">
        <w:rPr>
          <w:color w:val="000000" w:themeColor="text1"/>
          <w:sz w:val="24"/>
        </w:rPr>
        <w:t>. Natomiast jednolite części wód podziemnych na obszarze WrOF mają dobry stan</w:t>
      </w:r>
      <w:r w:rsidRPr="001E57CD">
        <w:rPr>
          <w:rStyle w:val="Odwoanieprzypisudolnego"/>
          <w:color w:val="000000" w:themeColor="text1"/>
          <w:sz w:val="24"/>
        </w:rPr>
        <w:footnoteReference w:id="37"/>
      </w:r>
      <w:r w:rsidRPr="001E57CD">
        <w:rPr>
          <w:color w:val="000000" w:themeColor="text1"/>
          <w:sz w:val="24"/>
        </w:rPr>
        <w:t xml:space="preserve">, za wyjątkiem </w:t>
      </w:r>
      <w:r w:rsidR="00BF0327" w:rsidRPr="001E57CD">
        <w:rPr>
          <w:color w:val="000000" w:themeColor="text1"/>
          <w:sz w:val="24"/>
        </w:rPr>
        <w:t>JCWP</w:t>
      </w:r>
      <w:r w:rsidRPr="001E57CD">
        <w:rPr>
          <w:color w:val="000000" w:themeColor="text1"/>
          <w:sz w:val="24"/>
        </w:rPr>
        <w:t xml:space="preserve"> numer 79 zlokalizowanej na terenie gmin: Zawonia, Trzebnica oraz północnej części gminy Oborniki Śląskie – ze względu na </w:t>
      </w:r>
      <w:proofErr w:type="spellStart"/>
      <w:r w:rsidRPr="001E57CD">
        <w:rPr>
          <w:color w:val="000000" w:themeColor="text1"/>
          <w:sz w:val="24"/>
        </w:rPr>
        <w:t>ascenzję</w:t>
      </w:r>
      <w:proofErr w:type="spellEnd"/>
      <w:r w:rsidRPr="001E57CD">
        <w:rPr>
          <w:color w:val="000000" w:themeColor="text1"/>
          <w:sz w:val="24"/>
        </w:rPr>
        <w:t xml:space="preserve"> wód słonych oraz występowanie związków azotu pochodzenia rolniczego</w:t>
      </w:r>
      <w:r w:rsidRPr="001E57CD">
        <w:rPr>
          <w:rStyle w:val="Odwoanieprzypisudolnego"/>
          <w:color w:val="000000" w:themeColor="text1"/>
          <w:sz w:val="24"/>
        </w:rPr>
        <w:footnoteReference w:id="38"/>
      </w:r>
      <w:r w:rsidRPr="001E57CD">
        <w:rPr>
          <w:color w:val="000000" w:themeColor="text1"/>
          <w:sz w:val="24"/>
        </w:rPr>
        <w:t xml:space="preserve">. WrOF wkracza swoim terenem na </w:t>
      </w:r>
      <w:r w:rsidR="001F39DB" w:rsidRPr="001E57CD">
        <w:rPr>
          <w:color w:val="000000" w:themeColor="text1"/>
          <w:sz w:val="24"/>
        </w:rPr>
        <w:t>cztery</w:t>
      </w:r>
      <w:r w:rsidRPr="001E57CD">
        <w:rPr>
          <w:color w:val="000000" w:themeColor="text1"/>
          <w:sz w:val="24"/>
        </w:rPr>
        <w:t> Główne Zbiorniki Wód Podziemnych – Prochowice Środa Śląska, Pradolina rzeki Odra (S Wrocław), Pradolina Barycz Głogów oraz Zbiornik Oleśnica.</w:t>
      </w:r>
    </w:p>
    <w:p w:rsidR="00E366EA" w:rsidRPr="001E57CD" w:rsidRDefault="00E366EA" w:rsidP="001E57CD">
      <w:pPr>
        <w:spacing w:before="120" w:after="0"/>
        <w:jc w:val="left"/>
        <w:rPr>
          <w:rFonts w:cstheme="minorHAnsi"/>
          <w:b/>
          <w:color w:val="000000" w:themeColor="text1"/>
          <w:sz w:val="24"/>
        </w:rPr>
      </w:pPr>
      <w:r w:rsidRPr="001E57CD">
        <w:rPr>
          <w:rFonts w:cstheme="minorHAnsi"/>
          <w:b/>
          <w:color w:val="000000" w:themeColor="text1"/>
          <w:sz w:val="24"/>
        </w:rPr>
        <w:t xml:space="preserve">Gleby </w:t>
      </w:r>
    </w:p>
    <w:p w:rsidR="00E366EA" w:rsidRPr="001E57CD" w:rsidRDefault="00E366EA" w:rsidP="001E57CD">
      <w:pPr>
        <w:jc w:val="left"/>
        <w:rPr>
          <w:color w:val="000000" w:themeColor="text1"/>
          <w:sz w:val="24"/>
        </w:rPr>
      </w:pPr>
      <w:r w:rsidRPr="001E57CD">
        <w:rPr>
          <w:color w:val="000000" w:themeColor="text1"/>
          <w:sz w:val="24"/>
        </w:rPr>
        <w:t xml:space="preserve">Gleby obszaru WrOF to głównie piaski luźne i </w:t>
      </w:r>
      <w:proofErr w:type="spellStart"/>
      <w:r w:rsidRPr="001E57CD">
        <w:rPr>
          <w:color w:val="000000" w:themeColor="text1"/>
          <w:sz w:val="24"/>
        </w:rPr>
        <w:t>słabogliniaste</w:t>
      </w:r>
      <w:proofErr w:type="spellEnd"/>
      <w:r w:rsidRPr="001E57CD">
        <w:rPr>
          <w:color w:val="000000" w:themeColor="text1"/>
          <w:sz w:val="24"/>
        </w:rPr>
        <w:t>. Szczególnie rozpowszechnione są piaski pokrywowe podścielone glinami morenowymi. Większość obszaru WrOF leży w</w:t>
      </w:r>
      <w:r w:rsidR="00180408">
        <w:rPr>
          <w:color w:val="000000" w:themeColor="text1"/>
          <w:sz w:val="24"/>
        </w:rPr>
        <w:t> </w:t>
      </w:r>
      <w:r w:rsidRPr="001E57CD">
        <w:rPr>
          <w:color w:val="000000" w:themeColor="text1"/>
          <w:sz w:val="24"/>
        </w:rPr>
        <w:t xml:space="preserve">subregionie północno </w:t>
      </w:r>
      <w:r w:rsidR="001F39DB" w:rsidRPr="001E57CD">
        <w:rPr>
          <w:color w:val="000000" w:themeColor="text1"/>
          <w:sz w:val="24"/>
        </w:rPr>
        <w:t>-</w:t>
      </w:r>
      <w:r w:rsidRPr="001E57CD">
        <w:rPr>
          <w:color w:val="000000" w:themeColor="text1"/>
          <w:sz w:val="24"/>
        </w:rPr>
        <w:t xml:space="preserve">wschodnim charakteryzującym się najbardziej urozmaiconą rzeźbą polodowcową. W równych ilościach występują tu gleby rdzawe, płowe oraz mady. Dominujący udział gruntów klas </w:t>
      </w:r>
      <w:proofErr w:type="spellStart"/>
      <w:r w:rsidRPr="001E57CD">
        <w:rPr>
          <w:color w:val="000000" w:themeColor="text1"/>
          <w:sz w:val="24"/>
        </w:rPr>
        <w:t>IIIa</w:t>
      </w:r>
      <w:proofErr w:type="spellEnd"/>
      <w:r w:rsidRPr="001E57CD">
        <w:rPr>
          <w:color w:val="000000" w:themeColor="text1"/>
          <w:sz w:val="24"/>
        </w:rPr>
        <w:t xml:space="preserve"> i </w:t>
      </w:r>
      <w:proofErr w:type="spellStart"/>
      <w:r w:rsidRPr="001E57CD">
        <w:rPr>
          <w:color w:val="000000" w:themeColor="text1"/>
          <w:sz w:val="24"/>
        </w:rPr>
        <w:t>IIIb</w:t>
      </w:r>
      <w:proofErr w:type="spellEnd"/>
      <w:r w:rsidRPr="001E57CD">
        <w:rPr>
          <w:color w:val="000000" w:themeColor="text1"/>
          <w:sz w:val="24"/>
        </w:rPr>
        <w:t xml:space="preserve"> w stosunku do ogólnej powierzchni gruntów ornych występuje w powiatach: oławskim, wrocławskim. Grunty orne przyporządkowane do klas </w:t>
      </w:r>
      <w:proofErr w:type="spellStart"/>
      <w:r w:rsidRPr="001E57CD">
        <w:rPr>
          <w:color w:val="000000" w:themeColor="text1"/>
          <w:sz w:val="24"/>
        </w:rPr>
        <w:t>IVa</w:t>
      </w:r>
      <w:proofErr w:type="spellEnd"/>
      <w:r w:rsidRPr="001E57CD">
        <w:rPr>
          <w:color w:val="000000" w:themeColor="text1"/>
          <w:sz w:val="24"/>
        </w:rPr>
        <w:t xml:space="preserve"> i </w:t>
      </w:r>
      <w:proofErr w:type="spellStart"/>
      <w:r w:rsidRPr="001E57CD">
        <w:rPr>
          <w:color w:val="000000" w:themeColor="text1"/>
          <w:sz w:val="24"/>
        </w:rPr>
        <w:t>IVb</w:t>
      </w:r>
      <w:proofErr w:type="spellEnd"/>
      <w:r w:rsidRPr="001E57CD">
        <w:rPr>
          <w:color w:val="000000" w:themeColor="text1"/>
          <w:sz w:val="24"/>
        </w:rPr>
        <w:t xml:space="preserve"> występują w większym stopniu w powiatach: oławskim, oleśnickim, średzkim. Okolice gmin Zawoni i Trzebnicy charakteryzują się glebami słabymi, natomiast w Wiszni Małej dominują najbardziej urodzajne czarne ziemie i czarnoziemy. Najlepsze warunki glebowe występują w powiecie wrocławskim, niewiele gorsze w powiecie oławskim. Zdecydowanie najmniej korzystne</w:t>
      </w:r>
      <w:r w:rsidR="001F39DB" w:rsidRPr="001E57CD">
        <w:rPr>
          <w:color w:val="000000" w:themeColor="text1"/>
          <w:sz w:val="24"/>
        </w:rPr>
        <w:t xml:space="preserve"> warunki stwierdza się</w:t>
      </w:r>
      <w:r w:rsidRPr="001E57CD">
        <w:rPr>
          <w:color w:val="000000" w:themeColor="text1"/>
          <w:sz w:val="24"/>
        </w:rPr>
        <w:t xml:space="preserve"> w powiecie oleśnickim.</w:t>
      </w:r>
    </w:p>
    <w:p w:rsidR="00E366EA" w:rsidRPr="001E57CD" w:rsidRDefault="00E366EA" w:rsidP="001E57CD">
      <w:pPr>
        <w:jc w:val="left"/>
        <w:rPr>
          <w:color w:val="000000" w:themeColor="text1"/>
          <w:sz w:val="24"/>
        </w:rPr>
      </w:pPr>
      <w:r w:rsidRPr="001E57CD">
        <w:rPr>
          <w:color w:val="000000" w:themeColor="text1"/>
          <w:sz w:val="24"/>
        </w:rPr>
        <w:t xml:space="preserve">Najbardziej urodzajnymi glebami Dolnego Śląska są czarnoziemy i czarne ziemie. Czarne ziemie występują na Dolnym Śląsku w różnych wariantach. „Czarne ziemie wrocławskie” wytworzone z lessów i </w:t>
      </w:r>
      <w:proofErr w:type="spellStart"/>
      <w:r w:rsidRPr="001E57CD">
        <w:rPr>
          <w:color w:val="000000" w:themeColor="text1"/>
          <w:sz w:val="24"/>
        </w:rPr>
        <w:t>lessopodobnych</w:t>
      </w:r>
      <w:proofErr w:type="spellEnd"/>
      <w:r w:rsidRPr="001E57CD">
        <w:rPr>
          <w:color w:val="000000" w:themeColor="text1"/>
          <w:sz w:val="24"/>
        </w:rPr>
        <w:t xml:space="preserve"> pyłów zajmują wielki areał na południe od Wrocławia. W wielu gminach tego rejonu udział czarnych ziem przekracza 50%, maksymalnie osiągając 73% w gminie Kobierzyce i 91% w gminie</w:t>
      </w:r>
      <w:r w:rsidR="001F39DB" w:rsidRPr="001E57CD">
        <w:rPr>
          <w:color w:val="000000" w:themeColor="text1"/>
          <w:sz w:val="24"/>
        </w:rPr>
        <w:t xml:space="preserve"> </w:t>
      </w:r>
      <w:r w:rsidRPr="001E57CD">
        <w:rPr>
          <w:color w:val="000000" w:themeColor="text1"/>
          <w:sz w:val="24"/>
        </w:rPr>
        <w:t>Żórawina.</w:t>
      </w:r>
    </w:p>
    <w:p w:rsidR="00E366EA" w:rsidRPr="001E57CD" w:rsidRDefault="00E366EA" w:rsidP="001E57CD">
      <w:pPr>
        <w:jc w:val="left"/>
        <w:rPr>
          <w:color w:val="000000" w:themeColor="text1"/>
          <w:sz w:val="24"/>
        </w:rPr>
      </w:pPr>
      <w:r w:rsidRPr="001E57CD">
        <w:rPr>
          <w:color w:val="000000" w:themeColor="text1"/>
          <w:sz w:val="24"/>
        </w:rPr>
        <w:t>Coraz częstszym problemem staje się zajmowanie wysokiej jakości gleb na cele inwestycyjne dedykowane przemysłowi oraz centrom logistycznym, skutkując bezpowrotną utratą tych gleb. Przykładem jest tworzenie olbrzymich centrów handlowych, logistycznych oraz fabryk na bardzo żyznych czarnych ziemiach wrocławskich</w:t>
      </w:r>
      <w:r w:rsidRPr="001E57CD">
        <w:rPr>
          <w:rStyle w:val="Odwoanieprzypisudolnego"/>
          <w:color w:val="000000" w:themeColor="text1"/>
          <w:sz w:val="24"/>
        </w:rPr>
        <w:footnoteReference w:id="39"/>
      </w:r>
      <w:r w:rsidRPr="001E57CD">
        <w:rPr>
          <w:color w:val="000000" w:themeColor="text1"/>
          <w:sz w:val="24"/>
        </w:rPr>
        <w:t>.</w:t>
      </w:r>
    </w:p>
    <w:p w:rsidR="000178B1" w:rsidRPr="001E57CD" w:rsidRDefault="000178B1" w:rsidP="001E57CD">
      <w:pPr>
        <w:spacing w:before="120" w:after="0"/>
        <w:jc w:val="left"/>
        <w:rPr>
          <w:rFonts w:cstheme="minorHAnsi"/>
          <w:b/>
          <w:color w:val="000000" w:themeColor="text1"/>
          <w:sz w:val="24"/>
        </w:rPr>
      </w:pPr>
      <w:r w:rsidRPr="001E57CD">
        <w:rPr>
          <w:rFonts w:cstheme="minorHAnsi"/>
          <w:b/>
          <w:color w:val="000000" w:themeColor="text1"/>
          <w:sz w:val="24"/>
        </w:rPr>
        <w:t>Jakość powietrza</w:t>
      </w:r>
    </w:p>
    <w:p w:rsidR="002321A5" w:rsidRPr="001E57CD" w:rsidRDefault="002321A5" w:rsidP="001E57CD">
      <w:pPr>
        <w:spacing w:after="0"/>
        <w:jc w:val="left"/>
        <w:rPr>
          <w:color w:val="000000" w:themeColor="text1"/>
          <w:sz w:val="24"/>
        </w:rPr>
      </w:pPr>
      <w:r w:rsidRPr="001E57CD">
        <w:rPr>
          <w:color w:val="000000" w:themeColor="text1"/>
          <w:sz w:val="24"/>
        </w:rPr>
        <w:t>Zła jakość powietrza ma niekorzystny wpływ na zdrowie</w:t>
      </w:r>
      <w:r w:rsidR="001F39DB" w:rsidRPr="001E57CD">
        <w:rPr>
          <w:color w:val="000000" w:themeColor="text1"/>
          <w:sz w:val="24"/>
        </w:rPr>
        <w:t xml:space="preserve"> ludzi. Na obszarze WrOF pomiary ja</w:t>
      </w:r>
      <w:r w:rsidRPr="001E57CD">
        <w:rPr>
          <w:color w:val="000000" w:themeColor="text1"/>
          <w:sz w:val="24"/>
        </w:rPr>
        <w:t>kości powietrza prowadzone są głównie we Wrocławiu, jednak ze względu na dużą łatwość przemieszczania się zanieczyszczeń na znaczne odległości dotyczy to całego obszaru. Głównymi źródłami zanieczyszczeń we WrOF są emisje z indywidualnych źródeł ciepła (nieefektywne piece grzewcze) oraz zanieczyszczenia komunikacyjne. Ponadto, także transport tranzytowy, przemysł, rolnictwo i napływ zanieczyszczeń spoza granic WrOF.</w:t>
      </w:r>
      <w:r w:rsidR="001F39DB" w:rsidRPr="001E57CD">
        <w:rPr>
          <w:color w:val="000000" w:themeColor="text1"/>
          <w:sz w:val="24"/>
        </w:rPr>
        <w:t xml:space="preserve"> </w:t>
      </w:r>
      <w:r w:rsidRPr="001E57CD">
        <w:rPr>
          <w:color w:val="000000" w:themeColor="text1"/>
          <w:sz w:val="24"/>
        </w:rPr>
        <w:t>Najbardziej zanieczyszczone powietrze wystę</w:t>
      </w:r>
      <w:r w:rsidR="001F39DB" w:rsidRPr="001E57CD">
        <w:rPr>
          <w:color w:val="000000" w:themeColor="text1"/>
          <w:sz w:val="24"/>
        </w:rPr>
        <w:t>puje w sezonie jesienno-zimowym –</w:t>
      </w:r>
      <w:r w:rsidRPr="001E57CD">
        <w:rPr>
          <w:color w:val="000000" w:themeColor="text1"/>
          <w:sz w:val="24"/>
        </w:rPr>
        <w:t xml:space="preserve"> o</w:t>
      </w:r>
      <w:r w:rsidR="001F39DB" w:rsidRPr="001E57CD">
        <w:rPr>
          <w:color w:val="000000" w:themeColor="text1"/>
          <w:sz w:val="24"/>
        </w:rPr>
        <w:t xml:space="preserve">d listopada do lutego – </w:t>
      </w:r>
      <w:r w:rsidRPr="001E57CD">
        <w:rPr>
          <w:color w:val="000000" w:themeColor="text1"/>
          <w:sz w:val="24"/>
        </w:rPr>
        <w:t>co ma związek z sezonem grzewczym, kiedy wzrasta zapotrzebowanie na ciepło. Z raportów publikowanych przez Główny Inspektorat Ochrony Środowiska w całej Aglomeracji Wrocławsk</w:t>
      </w:r>
      <w:r w:rsidR="001F39DB" w:rsidRPr="001E57CD">
        <w:rPr>
          <w:color w:val="000000" w:themeColor="text1"/>
          <w:sz w:val="24"/>
        </w:rPr>
        <w:t>iej w 2021 r. od</w:t>
      </w:r>
      <w:r w:rsidRPr="001E57CD">
        <w:rPr>
          <w:color w:val="000000" w:themeColor="text1"/>
          <w:sz w:val="24"/>
        </w:rPr>
        <w:t>notowano przekroczenia poziomów dopuszczalnych: dwutlenku azotu i pyłu zawieszonego PM2,5 oraz poziomu docel</w:t>
      </w:r>
      <w:r w:rsidR="00180408">
        <w:rPr>
          <w:color w:val="000000" w:themeColor="text1"/>
          <w:sz w:val="24"/>
        </w:rPr>
        <w:t xml:space="preserve">owego </w:t>
      </w:r>
      <w:proofErr w:type="spellStart"/>
      <w:r w:rsidR="00180408">
        <w:rPr>
          <w:color w:val="000000" w:themeColor="text1"/>
          <w:sz w:val="24"/>
        </w:rPr>
        <w:t>benzo</w:t>
      </w:r>
      <w:proofErr w:type="spellEnd"/>
      <w:r w:rsidR="00180408">
        <w:rPr>
          <w:color w:val="000000" w:themeColor="text1"/>
          <w:sz w:val="24"/>
        </w:rPr>
        <w:t>(a)</w:t>
      </w:r>
      <w:proofErr w:type="spellStart"/>
      <w:r w:rsidR="00180408">
        <w:rPr>
          <w:color w:val="000000" w:themeColor="text1"/>
          <w:sz w:val="24"/>
        </w:rPr>
        <w:t>pirenu</w:t>
      </w:r>
      <w:proofErr w:type="spellEnd"/>
      <w:r w:rsidR="00180408">
        <w:rPr>
          <w:color w:val="000000" w:themeColor="text1"/>
          <w:sz w:val="24"/>
        </w:rPr>
        <w:t xml:space="preserve"> w </w:t>
      </w:r>
      <w:r w:rsidRPr="001E57CD">
        <w:rPr>
          <w:color w:val="000000" w:themeColor="text1"/>
          <w:sz w:val="24"/>
        </w:rPr>
        <w:t>pyle zawieszonym PM10. Działania w zakresie poprawy jak</w:t>
      </w:r>
      <w:r w:rsidR="00180408">
        <w:rPr>
          <w:color w:val="000000" w:themeColor="text1"/>
          <w:sz w:val="24"/>
        </w:rPr>
        <w:t>ości powietrza są realizowane w </w:t>
      </w:r>
      <w:r w:rsidRPr="001E57CD">
        <w:rPr>
          <w:color w:val="000000" w:themeColor="text1"/>
          <w:sz w:val="24"/>
        </w:rPr>
        <w:t>ramach programów ochrony powietrza (POP) dla województwa dolnoślą</w:t>
      </w:r>
      <w:r w:rsidR="00760A34" w:rsidRPr="001E57CD">
        <w:rPr>
          <w:color w:val="000000" w:themeColor="text1"/>
          <w:sz w:val="24"/>
        </w:rPr>
        <w:t>skiego od roku 2010. Obecnie na </w:t>
      </w:r>
      <w:r w:rsidRPr="001E57CD">
        <w:rPr>
          <w:color w:val="000000" w:themeColor="text1"/>
          <w:sz w:val="24"/>
        </w:rPr>
        <w:t>terenie województwa obowiązuje uchwalony przez Sejmik Województwa Dolnośląskiego w lipcu 2020 r. „Program ochrony powietrza dla stref w województwie dolnośląskim, w których w 2018 r. zostały przekroczone poziomy dopuszczalne i docelowe substancji w powietrzu wraz z planem działań krótkoterminowych”</w:t>
      </w:r>
      <w:r w:rsidRPr="001E57CD">
        <w:rPr>
          <w:color w:val="000000" w:themeColor="text1"/>
          <w:sz w:val="24"/>
          <w:vertAlign w:val="superscript"/>
        </w:rPr>
        <w:footnoteReference w:id="40"/>
      </w:r>
      <w:r w:rsidR="00DC0C2B" w:rsidRPr="001E57CD">
        <w:rPr>
          <w:color w:val="000000" w:themeColor="text1"/>
          <w:sz w:val="24"/>
        </w:rPr>
        <w:t>.</w:t>
      </w:r>
    </w:p>
    <w:p w:rsidR="00C26CEE" w:rsidRPr="001E57CD" w:rsidRDefault="002321A5" w:rsidP="001E57CD">
      <w:pPr>
        <w:spacing w:before="120" w:after="0"/>
        <w:jc w:val="left"/>
        <w:rPr>
          <w:rFonts w:cs="Calibri"/>
          <w:color w:val="000000" w:themeColor="text1"/>
          <w:sz w:val="24"/>
        </w:rPr>
      </w:pPr>
      <w:r w:rsidRPr="001E57CD">
        <w:rPr>
          <w:rFonts w:cs="Calibri"/>
          <w:color w:val="000000" w:themeColor="text1"/>
          <w:sz w:val="24"/>
        </w:rPr>
        <w:t>W związku z tym, iż większość budynków z terenu WrOF nadal ogrzewana jest przez indywidualne źródła ciepła oparte o spalanie paliw kopalnych, konieczna jest kontynuacja prowadzonych działań związanych z wymianą starych, nieefektywnych kotłów na źródła niskoemisyjne lub OZE. Dobrym przykładem są tu plany Wrocławia, które mają na celu przeznaczenie 330 mln zł do</w:t>
      </w:r>
      <w:r w:rsidR="00760A34" w:rsidRPr="001E57CD">
        <w:rPr>
          <w:rFonts w:cs="Calibri"/>
          <w:color w:val="000000" w:themeColor="text1"/>
          <w:sz w:val="24"/>
        </w:rPr>
        <w:t xml:space="preserve"> 2024 roku na </w:t>
      </w:r>
      <w:r w:rsidRPr="001E57CD">
        <w:rPr>
          <w:rFonts w:cs="Calibri"/>
          <w:color w:val="000000" w:themeColor="text1"/>
          <w:sz w:val="24"/>
        </w:rPr>
        <w:t>działania związane z likwidacją pieców w ramach akcji „Zmień piec” będącej elementem kampanii „Wrocław bez smogu”.</w:t>
      </w:r>
    </w:p>
    <w:p w:rsidR="007D41B2" w:rsidRPr="001E57CD" w:rsidRDefault="002321A5" w:rsidP="001E57CD">
      <w:pPr>
        <w:spacing w:before="120"/>
        <w:jc w:val="left"/>
        <w:rPr>
          <w:rFonts w:eastAsia="font339" w:cstheme="minorHAnsi"/>
          <w:b/>
          <w:color w:val="000000" w:themeColor="text1"/>
          <w:sz w:val="28"/>
          <w:szCs w:val="26"/>
        </w:rPr>
      </w:pPr>
      <w:r w:rsidRPr="001E57CD">
        <w:rPr>
          <w:rFonts w:cstheme="minorHAnsi"/>
          <w:color w:val="000000" w:themeColor="text1"/>
          <w:sz w:val="24"/>
        </w:rPr>
        <w:t xml:space="preserve">Należy podkreślić, że </w:t>
      </w:r>
      <w:r w:rsidRPr="001E57CD">
        <w:rPr>
          <w:rFonts w:cstheme="minorHAnsi"/>
          <w:bCs/>
          <w:color w:val="000000" w:themeColor="text1"/>
          <w:sz w:val="24"/>
        </w:rPr>
        <w:t>zasadnicze znaczenie dla unijnej polityki efektywności energetycznej przypisuje się budynkom</w:t>
      </w:r>
      <w:r w:rsidRPr="001E57CD">
        <w:rPr>
          <w:rFonts w:cstheme="minorHAnsi"/>
          <w:color w:val="000000" w:themeColor="text1"/>
          <w:sz w:val="24"/>
        </w:rPr>
        <w:t>, które odpowiadają za ok. 40% zużycia energii końcowej</w:t>
      </w:r>
      <w:r w:rsidRPr="001E57CD">
        <w:rPr>
          <w:rStyle w:val="Odwoanieprzypisudolnego"/>
          <w:rFonts w:cstheme="minorHAnsi"/>
          <w:color w:val="000000" w:themeColor="text1"/>
          <w:sz w:val="24"/>
        </w:rPr>
        <w:footnoteReference w:id="41"/>
      </w:r>
      <w:r w:rsidRPr="001E57CD">
        <w:rPr>
          <w:rFonts w:cstheme="minorHAnsi"/>
          <w:color w:val="000000" w:themeColor="text1"/>
          <w:sz w:val="24"/>
        </w:rPr>
        <w:t>. Wszelkie modernizacje energetyczne budynków, w tym termomodernizacje budynków użyteczności publicznej, zamieszkania zbiorowego, wielorodzinnych budynków mieszalnych czy budynków aktywności lokalnej są istotne z</w:t>
      </w:r>
      <w:r w:rsidR="00362096" w:rsidRPr="001E57CD">
        <w:rPr>
          <w:rFonts w:cstheme="minorHAnsi"/>
          <w:color w:val="000000" w:themeColor="text1"/>
          <w:sz w:val="24"/>
        </w:rPr>
        <w:t> </w:t>
      </w:r>
      <w:r w:rsidRPr="001E57CD">
        <w:rPr>
          <w:rFonts w:cstheme="minorHAnsi"/>
          <w:color w:val="000000" w:themeColor="text1"/>
          <w:sz w:val="24"/>
        </w:rPr>
        <w:t>punktu widzenia adaptacji do zmian klimatu</w:t>
      </w:r>
      <w:r w:rsidR="00E16D66" w:rsidRPr="001E57CD">
        <w:rPr>
          <w:rFonts w:cstheme="minorHAnsi"/>
          <w:color w:val="000000" w:themeColor="text1"/>
          <w:sz w:val="24"/>
        </w:rPr>
        <w:t>,</w:t>
      </w:r>
      <w:r w:rsidR="001F39DB" w:rsidRPr="001E57CD">
        <w:rPr>
          <w:rFonts w:cstheme="minorHAnsi"/>
          <w:color w:val="000000" w:themeColor="text1"/>
          <w:sz w:val="24"/>
        </w:rPr>
        <w:t xml:space="preserve"> </w:t>
      </w:r>
      <w:r w:rsidRPr="001E57CD">
        <w:rPr>
          <w:rFonts w:cstheme="minorHAnsi"/>
          <w:color w:val="000000" w:themeColor="text1"/>
          <w:sz w:val="24"/>
        </w:rPr>
        <w:t>umożliwiają bowiem realne ograniczenie bądź nawet eliminację zużycia paliw kopalnych, których wykorzystywanie</w:t>
      </w:r>
      <w:r w:rsidR="00E16D66" w:rsidRPr="001E57CD">
        <w:rPr>
          <w:rFonts w:cstheme="minorHAnsi"/>
          <w:color w:val="000000" w:themeColor="text1"/>
          <w:sz w:val="24"/>
        </w:rPr>
        <w:t>,</w:t>
      </w:r>
      <w:r w:rsidR="001F39DB" w:rsidRPr="001E57CD">
        <w:rPr>
          <w:rFonts w:cstheme="minorHAnsi"/>
          <w:color w:val="000000" w:themeColor="text1"/>
          <w:sz w:val="24"/>
        </w:rPr>
        <w:t xml:space="preserve"> </w:t>
      </w:r>
      <w:r w:rsidRPr="001E57CD">
        <w:rPr>
          <w:rFonts w:cstheme="minorHAnsi"/>
          <w:color w:val="000000" w:themeColor="text1"/>
          <w:sz w:val="24"/>
        </w:rPr>
        <w:t>w tym również ich wydobycie</w:t>
      </w:r>
      <w:r w:rsidR="00E16D66" w:rsidRPr="001E57CD">
        <w:rPr>
          <w:rFonts w:cstheme="minorHAnsi"/>
          <w:color w:val="000000" w:themeColor="text1"/>
          <w:sz w:val="24"/>
        </w:rPr>
        <w:t>,</w:t>
      </w:r>
      <w:r w:rsidRPr="001E57CD">
        <w:rPr>
          <w:rFonts w:cstheme="minorHAnsi"/>
          <w:color w:val="000000" w:themeColor="text1"/>
          <w:sz w:val="24"/>
        </w:rPr>
        <w:t xml:space="preserve"> generuje znaczne ilości substancji zanieczyszczających. </w:t>
      </w:r>
      <w:r w:rsidRPr="001E57CD">
        <w:rPr>
          <w:rFonts w:cstheme="minorHAnsi"/>
          <w:bCs/>
          <w:color w:val="000000" w:themeColor="text1"/>
          <w:sz w:val="24"/>
        </w:rPr>
        <w:t>Cel w zakresie efektywności energetycznej na poziomie unijnym</w:t>
      </w:r>
      <w:r w:rsidRPr="001E57CD">
        <w:rPr>
          <w:rFonts w:cstheme="minorHAnsi"/>
          <w:color w:val="000000" w:themeColor="text1"/>
          <w:sz w:val="24"/>
        </w:rPr>
        <w:t xml:space="preserve">, wyrażony w postaci zmniejszonego zużycia energii pierwotnej lub końcowej, został ustalony na poziomie </w:t>
      </w:r>
      <w:r w:rsidRPr="001E57CD">
        <w:rPr>
          <w:rFonts w:cstheme="minorHAnsi"/>
          <w:bCs/>
          <w:color w:val="000000" w:themeColor="text1"/>
          <w:sz w:val="24"/>
        </w:rPr>
        <w:t xml:space="preserve">co najmniej o 32,5% </w:t>
      </w:r>
      <w:r w:rsidR="002F4687" w:rsidRPr="001E57CD">
        <w:rPr>
          <w:rFonts w:cstheme="minorHAnsi"/>
          <w:bCs/>
          <w:color w:val="000000" w:themeColor="text1"/>
          <w:sz w:val="24"/>
        </w:rPr>
        <w:t>do</w:t>
      </w:r>
      <w:r w:rsidRPr="001E57CD">
        <w:rPr>
          <w:rFonts w:cstheme="minorHAnsi"/>
          <w:bCs/>
          <w:color w:val="000000" w:themeColor="text1"/>
          <w:sz w:val="24"/>
        </w:rPr>
        <w:t xml:space="preserve"> 2030 r., </w:t>
      </w:r>
      <w:r w:rsidRPr="001E57CD">
        <w:rPr>
          <w:rFonts w:cstheme="minorHAnsi"/>
          <w:color w:val="000000" w:themeColor="text1"/>
          <w:sz w:val="24"/>
        </w:rPr>
        <w:t xml:space="preserve">przy czym unijne zużycie energii do 2030 r. nie może być większe niż 1 273 </w:t>
      </w:r>
      <w:proofErr w:type="spellStart"/>
      <w:r w:rsidRPr="001E57CD">
        <w:rPr>
          <w:rFonts w:cstheme="minorHAnsi"/>
          <w:color w:val="000000" w:themeColor="text1"/>
          <w:sz w:val="24"/>
        </w:rPr>
        <w:t>M</w:t>
      </w:r>
      <w:r w:rsidRPr="001E57CD">
        <w:rPr>
          <w:rFonts w:cstheme="minorHAnsi"/>
          <w:color w:val="000000" w:themeColor="text1"/>
          <w:sz w:val="24"/>
          <w:vertAlign w:val="subscript"/>
        </w:rPr>
        <w:t>toe</w:t>
      </w:r>
      <w:proofErr w:type="spellEnd"/>
      <w:r w:rsidRPr="001E57CD">
        <w:rPr>
          <w:rFonts w:cstheme="minorHAnsi"/>
          <w:color w:val="000000" w:themeColor="text1"/>
          <w:sz w:val="24"/>
        </w:rPr>
        <w:t xml:space="preserve"> energii pierwotnej lub 956 </w:t>
      </w:r>
      <w:proofErr w:type="spellStart"/>
      <w:r w:rsidRPr="001E57CD">
        <w:rPr>
          <w:rFonts w:cstheme="minorHAnsi"/>
          <w:color w:val="000000" w:themeColor="text1"/>
          <w:sz w:val="24"/>
        </w:rPr>
        <w:t>M</w:t>
      </w:r>
      <w:r w:rsidRPr="001E57CD">
        <w:rPr>
          <w:rFonts w:cstheme="minorHAnsi"/>
          <w:color w:val="000000" w:themeColor="text1"/>
          <w:sz w:val="24"/>
          <w:vertAlign w:val="subscript"/>
        </w:rPr>
        <w:t>toe</w:t>
      </w:r>
      <w:proofErr w:type="spellEnd"/>
      <w:r w:rsidRPr="001E57CD">
        <w:rPr>
          <w:rFonts w:cstheme="minorHAnsi"/>
          <w:color w:val="000000" w:themeColor="text1"/>
          <w:sz w:val="24"/>
        </w:rPr>
        <w:t xml:space="preserve"> e</w:t>
      </w:r>
      <w:r w:rsidR="001F39DB" w:rsidRPr="001E57CD">
        <w:rPr>
          <w:rFonts w:cstheme="minorHAnsi"/>
          <w:color w:val="000000" w:themeColor="text1"/>
          <w:sz w:val="24"/>
        </w:rPr>
        <w:t>nergii końcowej. Oznacza to, że </w:t>
      </w:r>
      <w:r w:rsidRPr="001E57CD">
        <w:rPr>
          <w:rFonts w:cstheme="minorHAnsi"/>
          <w:bCs/>
          <w:color w:val="000000" w:themeColor="text1"/>
          <w:sz w:val="24"/>
        </w:rPr>
        <w:t>w porównaniu z poziomami z 2005 r. zużycie energii pierwotnej należy zmniejszyć w Unii Europejskiej o 26%, a zużycie energii końcowej – o 20%</w:t>
      </w:r>
      <w:r w:rsidRPr="001E57CD">
        <w:rPr>
          <w:rStyle w:val="Odwoanieprzypisudolnego"/>
          <w:rFonts w:cstheme="minorHAnsi"/>
          <w:bCs/>
          <w:color w:val="000000" w:themeColor="text1"/>
          <w:sz w:val="24"/>
        </w:rPr>
        <w:footnoteReference w:id="42"/>
      </w:r>
      <w:r w:rsidRPr="001E57CD">
        <w:rPr>
          <w:rFonts w:cstheme="minorHAnsi"/>
          <w:color w:val="000000" w:themeColor="text1"/>
          <w:sz w:val="24"/>
        </w:rPr>
        <w:t>. W związku z powyższym, należy bezwzględnie wspierać zarówno wszelkie działania zmierzające do zmniejszenia energochłonności wszelkiego rodzaju budynków jak i działania ograniczające emisję pochodzącą z innych źródeł, np. komunikacji samochodowej. Działania takie powinny obejmować wsparcie budowy nowych budynków, w tym demonstracyjnych o niskim bądź zerowym zapotrzebowaniu na energię, renowację budynków mającą na celu zmniejszenie ich energochłonność oraz zastosowanie wszelkich systemów do zarząd</w:t>
      </w:r>
      <w:r w:rsidR="008D2AB6" w:rsidRPr="001E57CD">
        <w:rPr>
          <w:rFonts w:cstheme="minorHAnsi"/>
          <w:color w:val="000000" w:themeColor="text1"/>
          <w:sz w:val="24"/>
        </w:rPr>
        <w:t>zania, monitorowania i </w:t>
      </w:r>
      <w:r w:rsidRPr="001E57CD">
        <w:rPr>
          <w:rFonts w:cstheme="minorHAnsi"/>
          <w:color w:val="000000" w:themeColor="text1"/>
          <w:sz w:val="24"/>
        </w:rPr>
        <w:t>oszczędzania energii.</w:t>
      </w:r>
    </w:p>
    <w:p w:rsidR="000178B1" w:rsidRPr="001E57CD" w:rsidRDefault="00C13EDF" w:rsidP="001E57CD">
      <w:pPr>
        <w:spacing w:before="120" w:after="0"/>
        <w:jc w:val="left"/>
        <w:rPr>
          <w:rFonts w:cstheme="minorHAnsi"/>
          <w:b/>
          <w:color w:val="000000" w:themeColor="text1"/>
          <w:sz w:val="24"/>
        </w:rPr>
      </w:pPr>
      <w:proofErr w:type="spellStart"/>
      <w:r w:rsidRPr="001E57CD">
        <w:rPr>
          <w:rFonts w:cstheme="minorHAnsi"/>
          <w:b/>
          <w:color w:val="000000" w:themeColor="text1"/>
          <w:sz w:val="24"/>
        </w:rPr>
        <w:t>Mitygacja</w:t>
      </w:r>
      <w:proofErr w:type="spellEnd"/>
      <w:r w:rsidRPr="001E57CD">
        <w:rPr>
          <w:rFonts w:cstheme="minorHAnsi"/>
          <w:b/>
          <w:color w:val="000000" w:themeColor="text1"/>
          <w:sz w:val="24"/>
        </w:rPr>
        <w:t xml:space="preserve"> i </w:t>
      </w:r>
      <w:r w:rsidR="001F39DB" w:rsidRPr="001E57CD">
        <w:rPr>
          <w:rFonts w:cstheme="minorHAnsi"/>
          <w:b/>
          <w:color w:val="000000" w:themeColor="text1"/>
          <w:sz w:val="24"/>
        </w:rPr>
        <w:t>a</w:t>
      </w:r>
      <w:r w:rsidR="000178B1" w:rsidRPr="001E57CD">
        <w:rPr>
          <w:rFonts w:cstheme="minorHAnsi"/>
          <w:b/>
          <w:color w:val="000000" w:themeColor="text1"/>
          <w:sz w:val="24"/>
        </w:rPr>
        <w:t>daptacja do zmian klimatu</w:t>
      </w:r>
    </w:p>
    <w:p w:rsidR="000178B1" w:rsidRPr="001E57CD" w:rsidRDefault="000178B1" w:rsidP="001E57CD">
      <w:pPr>
        <w:jc w:val="left"/>
        <w:rPr>
          <w:color w:val="000000" w:themeColor="text1"/>
          <w:sz w:val="24"/>
        </w:rPr>
      </w:pPr>
      <w:r w:rsidRPr="001E57CD">
        <w:rPr>
          <w:rFonts w:cs="Calibri"/>
          <w:color w:val="000000" w:themeColor="text1"/>
          <w:sz w:val="24"/>
        </w:rPr>
        <w:t>Zmiany klimatu następują z coraz większą intensywnością. Skutki zmieniającego się klimatu, zwłaszcza wzrost temperatury, częstotliwości i nasilenia zjawisk ekstremalnych, występujące w ostatnich kilku dekadach pogłębiają się, stanowi</w:t>
      </w:r>
      <w:r w:rsidR="00180408">
        <w:rPr>
          <w:rFonts w:cs="Calibri"/>
          <w:color w:val="000000" w:themeColor="text1"/>
          <w:sz w:val="24"/>
        </w:rPr>
        <w:t>ąc zagrożenie dla społecznego i </w:t>
      </w:r>
      <w:r w:rsidRPr="001E57CD">
        <w:rPr>
          <w:rFonts w:cs="Calibri"/>
          <w:color w:val="000000" w:themeColor="text1"/>
          <w:sz w:val="24"/>
        </w:rPr>
        <w:t xml:space="preserve">gospodarczego rozwoju wielu krajów na świecie, w tym także dla Polski. </w:t>
      </w:r>
      <w:r w:rsidRPr="001E57CD">
        <w:rPr>
          <w:color w:val="000000" w:themeColor="text1"/>
          <w:sz w:val="24"/>
        </w:rPr>
        <w:t xml:space="preserve">W związku </w:t>
      </w:r>
      <w:r w:rsidR="00FB6C0F" w:rsidRPr="001E57CD">
        <w:rPr>
          <w:color w:val="000000" w:themeColor="text1"/>
          <w:sz w:val="24"/>
        </w:rPr>
        <w:t>z</w:t>
      </w:r>
      <w:r w:rsidR="00180408">
        <w:rPr>
          <w:color w:val="000000" w:themeColor="text1"/>
          <w:sz w:val="24"/>
        </w:rPr>
        <w:t> </w:t>
      </w:r>
      <w:r w:rsidR="00FB6C0F" w:rsidRPr="001E57CD">
        <w:rPr>
          <w:color w:val="000000" w:themeColor="text1"/>
          <w:sz w:val="24"/>
        </w:rPr>
        <w:t xml:space="preserve">powyższym konieczna jest </w:t>
      </w:r>
      <w:proofErr w:type="spellStart"/>
      <w:r w:rsidR="00FB6C0F" w:rsidRPr="001E57CD">
        <w:rPr>
          <w:color w:val="000000" w:themeColor="text1"/>
          <w:sz w:val="24"/>
        </w:rPr>
        <w:t>mitygacja</w:t>
      </w:r>
      <w:proofErr w:type="spellEnd"/>
      <w:r w:rsidR="00FB6C0F" w:rsidRPr="001E57CD">
        <w:rPr>
          <w:color w:val="000000" w:themeColor="text1"/>
          <w:sz w:val="24"/>
        </w:rPr>
        <w:t xml:space="preserve"> zmian klimatu, czyli próba zahamowania zmian klimatu oraz</w:t>
      </w:r>
      <w:r w:rsidR="001F39DB" w:rsidRPr="001E57CD">
        <w:rPr>
          <w:color w:val="000000" w:themeColor="text1"/>
          <w:sz w:val="24"/>
        </w:rPr>
        <w:t xml:space="preserve"> </w:t>
      </w:r>
      <w:r w:rsidR="00FB6C0F" w:rsidRPr="001E57CD">
        <w:rPr>
          <w:color w:val="000000" w:themeColor="text1"/>
          <w:sz w:val="24"/>
        </w:rPr>
        <w:t>adaptacja</w:t>
      </w:r>
      <w:r w:rsidR="00E8722F" w:rsidRPr="001E57CD">
        <w:rPr>
          <w:color w:val="000000" w:themeColor="text1"/>
          <w:sz w:val="24"/>
        </w:rPr>
        <w:t xml:space="preserve"> </w:t>
      </w:r>
      <w:r w:rsidRPr="001E57CD">
        <w:rPr>
          <w:color w:val="000000" w:themeColor="text1"/>
          <w:sz w:val="24"/>
        </w:rPr>
        <w:t xml:space="preserve">do </w:t>
      </w:r>
      <w:r w:rsidR="001F39DB" w:rsidRPr="001E57CD">
        <w:rPr>
          <w:color w:val="000000" w:themeColor="text1"/>
          <w:sz w:val="24"/>
        </w:rPr>
        <w:t>nich</w:t>
      </w:r>
      <w:r w:rsidR="00FB6C0F" w:rsidRPr="001E57CD">
        <w:rPr>
          <w:color w:val="000000" w:themeColor="text1"/>
          <w:sz w:val="24"/>
        </w:rPr>
        <w:t xml:space="preserve">, wymagają one podjęcia odpowiednich kroków </w:t>
      </w:r>
      <w:r w:rsidRPr="001E57CD">
        <w:rPr>
          <w:color w:val="000000" w:themeColor="text1"/>
          <w:sz w:val="24"/>
        </w:rPr>
        <w:t>mając na celu przygotowanie</w:t>
      </w:r>
      <w:r w:rsidR="001F39DB" w:rsidRPr="001E57CD">
        <w:rPr>
          <w:color w:val="000000" w:themeColor="text1"/>
          <w:sz w:val="24"/>
        </w:rPr>
        <w:t xml:space="preserve"> </w:t>
      </w:r>
      <w:r w:rsidRPr="001E57CD">
        <w:rPr>
          <w:color w:val="000000" w:themeColor="text1"/>
          <w:sz w:val="24"/>
        </w:rPr>
        <w:t>WrOF</w:t>
      </w:r>
      <w:r w:rsidR="001F39DB" w:rsidRPr="001E57CD">
        <w:rPr>
          <w:color w:val="000000" w:themeColor="text1"/>
          <w:sz w:val="24"/>
        </w:rPr>
        <w:t xml:space="preserve"> </w:t>
      </w:r>
      <w:r w:rsidR="00FB6C0F" w:rsidRPr="001E57CD">
        <w:rPr>
          <w:color w:val="000000" w:themeColor="text1"/>
          <w:sz w:val="24"/>
        </w:rPr>
        <w:t>uniknięcia lub zminimalizowania ich  niekorzystnych</w:t>
      </w:r>
      <w:r w:rsidR="001F39DB" w:rsidRPr="001E57CD">
        <w:rPr>
          <w:color w:val="000000" w:themeColor="text1"/>
          <w:sz w:val="24"/>
        </w:rPr>
        <w:t xml:space="preserve"> </w:t>
      </w:r>
      <w:r w:rsidRPr="001E57CD">
        <w:rPr>
          <w:color w:val="000000" w:themeColor="text1"/>
          <w:sz w:val="24"/>
        </w:rPr>
        <w:t>skutk</w:t>
      </w:r>
      <w:r w:rsidR="00FB6C0F" w:rsidRPr="001E57CD">
        <w:rPr>
          <w:color w:val="000000" w:themeColor="text1"/>
          <w:sz w:val="24"/>
        </w:rPr>
        <w:t>ów</w:t>
      </w:r>
      <w:r w:rsidR="001F39DB" w:rsidRPr="001E57CD">
        <w:rPr>
          <w:color w:val="000000" w:themeColor="text1"/>
          <w:sz w:val="24"/>
        </w:rPr>
        <w:t xml:space="preserve"> </w:t>
      </w:r>
      <w:r w:rsidRPr="001E57CD">
        <w:rPr>
          <w:color w:val="000000" w:themeColor="text1"/>
          <w:sz w:val="24"/>
        </w:rPr>
        <w:t xml:space="preserve">tego procesu. </w:t>
      </w:r>
    </w:p>
    <w:p w:rsidR="000178B1" w:rsidRPr="001E57CD" w:rsidRDefault="000178B1" w:rsidP="001E57CD">
      <w:pPr>
        <w:jc w:val="left"/>
        <w:rPr>
          <w:rFonts w:cstheme="minorHAnsi"/>
          <w:color w:val="000000" w:themeColor="text1"/>
          <w:sz w:val="24"/>
        </w:rPr>
      </w:pPr>
      <w:r w:rsidRPr="001E57CD">
        <w:rPr>
          <w:rFonts w:cstheme="minorHAnsi"/>
          <w:color w:val="000000" w:themeColor="text1"/>
          <w:sz w:val="24"/>
        </w:rPr>
        <w:t>Kraje członkowskie Unii Europejskiej, już od prawie dekady opracowują strategie i plany adaptacji do zmian klimatu. Działania takie zostały podjęte również w Polsce. Realizując politykę UE w zakresie adaptacji do zmian klimatu Rada Ministrów Rzeczypospolitej Polskiej w październiku 2013 r. przyjęła opracowany przez Ministerstwo Środowiska „Strategiczny Plan Adaptacji dla sektorów i obszarów wrażliwych n</w:t>
      </w:r>
      <w:r w:rsidR="00180408">
        <w:rPr>
          <w:rFonts w:cstheme="minorHAnsi"/>
          <w:color w:val="000000" w:themeColor="text1"/>
          <w:sz w:val="24"/>
        </w:rPr>
        <w:t>a zmiany klimatu do roku 2020 z </w:t>
      </w:r>
      <w:r w:rsidRPr="001E57CD">
        <w:rPr>
          <w:rFonts w:cstheme="minorHAnsi"/>
          <w:color w:val="000000" w:themeColor="text1"/>
          <w:sz w:val="24"/>
        </w:rPr>
        <w:t>perspektywą do roku 2030” (SPA 2020).</w:t>
      </w:r>
    </w:p>
    <w:p w:rsidR="00503AB8" w:rsidRPr="001E57CD" w:rsidRDefault="000178B1" w:rsidP="001E57CD">
      <w:pPr>
        <w:jc w:val="left"/>
        <w:rPr>
          <w:color w:val="000000" w:themeColor="text1"/>
          <w:sz w:val="24"/>
        </w:rPr>
      </w:pPr>
      <w:r w:rsidRPr="001E57CD">
        <w:rPr>
          <w:color w:val="000000" w:themeColor="text1"/>
          <w:sz w:val="24"/>
        </w:rPr>
        <w:t>Aktualnie jednym z ważniejszych działań we WrOF</w:t>
      </w:r>
      <w:r w:rsidR="00E8722F" w:rsidRPr="001E57CD">
        <w:rPr>
          <w:color w:val="000000" w:themeColor="text1"/>
          <w:sz w:val="24"/>
        </w:rPr>
        <w:t xml:space="preserve"> </w:t>
      </w:r>
      <w:r w:rsidRPr="001E57CD">
        <w:rPr>
          <w:color w:val="000000" w:themeColor="text1"/>
          <w:sz w:val="24"/>
        </w:rPr>
        <w:t xml:space="preserve">jest opracowanie systemu gospodarowania wodami opadowymi wraz z budową układu retencjonowania wód opadowych i spowalniania ich odpływu. Do najistotniejszych działań technicznych należą działania związane z budową i rozwojem błękitnej i zielonej infrastruktury. </w:t>
      </w:r>
      <w:r w:rsidR="00B76684" w:rsidRPr="001E57CD">
        <w:rPr>
          <w:color w:val="000000" w:themeColor="text1"/>
          <w:sz w:val="24"/>
        </w:rPr>
        <w:t>Przy kreowaniu błękitnej i zielonej infrastruktury należy uwzględniać zas</w:t>
      </w:r>
      <w:r w:rsidR="00180408">
        <w:rPr>
          <w:color w:val="000000" w:themeColor="text1"/>
          <w:sz w:val="24"/>
        </w:rPr>
        <w:t>oby przyrodnicze oraz warunki i </w:t>
      </w:r>
      <w:r w:rsidR="00B76684" w:rsidRPr="001E57CD">
        <w:rPr>
          <w:color w:val="000000" w:themeColor="text1"/>
          <w:sz w:val="24"/>
        </w:rPr>
        <w:t>jakość życia mieszkańców WrOF. Warto wykorzystywać różnorodne ich formy wprowadzania, np. zielone dachy, ściany, czy zieleń przyuliczną.</w:t>
      </w:r>
    </w:p>
    <w:p w:rsidR="000178B1" w:rsidRPr="001E57CD" w:rsidRDefault="00503AB8" w:rsidP="001E57CD">
      <w:pPr>
        <w:jc w:val="left"/>
        <w:rPr>
          <w:color w:val="000000" w:themeColor="text1"/>
          <w:sz w:val="24"/>
        </w:rPr>
      </w:pPr>
      <w:r w:rsidRPr="001E57CD">
        <w:rPr>
          <w:color w:val="000000" w:themeColor="text1"/>
          <w:sz w:val="24"/>
        </w:rPr>
        <w:t>Systemy gospodarowania powinny s</w:t>
      </w:r>
      <w:r w:rsidR="000178B1" w:rsidRPr="001E57CD">
        <w:rPr>
          <w:color w:val="000000" w:themeColor="text1"/>
          <w:sz w:val="24"/>
        </w:rPr>
        <w:t>kupia</w:t>
      </w:r>
      <w:r w:rsidRPr="001E57CD">
        <w:rPr>
          <w:color w:val="000000" w:themeColor="text1"/>
          <w:sz w:val="24"/>
        </w:rPr>
        <w:t>ć</w:t>
      </w:r>
      <w:r w:rsidR="000178B1" w:rsidRPr="001E57CD">
        <w:rPr>
          <w:color w:val="000000" w:themeColor="text1"/>
          <w:sz w:val="24"/>
        </w:rPr>
        <w:t xml:space="preserve"> się na rozw</w:t>
      </w:r>
      <w:r w:rsidRPr="001E57CD">
        <w:rPr>
          <w:color w:val="000000" w:themeColor="text1"/>
          <w:sz w:val="24"/>
        </w:rPr>
        <w:t>o</w:t>
      </w:r>
      <w:r w:rsidR="000178B1" w:rsidRPr="001E57CD">
        <w:rPr>
          <w:color w:val="000000" w:themeColor="text1"/>
          <w:sz w:val="24"/>
        </w:rPr>
        <w:t>j</w:t>
      </w:r>
      <w:r w:rsidRPr="001E57CD">
        <w:rPr>
          <w:color w:val="000000" w:themeColor="text1"/>
          <w:sz w:val="24"/>
        </w:rPr>
        <w:t>u</w:t>
      </w:r>
      <w:r w:rsidR="000178B1" w:rsidRPr="001E57CD">
        <w:rPr>
          <w:color w:val="000000" w:themeColor="text1"/>
          <w:sz w:val="24"/>
        </w:rPr>
        <w:t xml:space="preserve"> istniejących si</w:t>
      </w:r>
      <w:r w:rsidR="00801B43" w:rsidRPr="001E57CD">
        <w:rPr>
          <w:color w:val="000000" w:themeColor="text1"/>
          <w:sz w:val="24"/>
        </w:rPr>
        <w:t>eci powiązanych przestrzennie i </w:t>
      </w:r>
      <w:r w:rsidR="000178B1" w:rsidRPr="001E57CD">
        <w:rPr>
          <w:color w:val="000000" w:themeColor="text1"/>
          <w:sz w:val="24"/>
        </w:rPr>
        <w:t xml:space="preserve">funkcjonalnie obszarów naturalnych i półnaturalnych, obejmujących wszystkie możliwe formy zieleni urządzonej i nieurządzonej ze szczególnym uwzględnieniem obiektów </w:t>
      </w:r>
      <w:r w:rsidR="00DD2DE1" w:rsidRPr="001E57CD">
        <w:rPr>
          <w:color w:val="000000" w:themeColor="text1"/>
          <w:sz w:val="24"/>
        </w:rPr>
        <w:t>retencyjnych</w:t>
      </w:r>
      <w:r w:rsidR="000178B1" w:rsidRPr="001E57CD">
        <w:rPr>
          <w:color w:val="000000" w:themeColor="text1"/>
          <w:sz w:val="24"/>
          <w:vertAlign w:val="superscript"/>
        </w:rPr>
        <w:footnoteReference w:id="43"/>
      </w:r>
      <w:r w:rsidR="000178B1" w:rsidRPr="001E57CD">
        <w:rPr>
          <w:color w:val="000000" w:themeColor="text1"/>
          <w:sz w:val="24"/>
        </w:rPr>
        <w:t>.</w:t>
      </w:r>
      <w:r w:rsidR="00760A34" w:rsidRPr="001E57CD">
        <w:rPr>
          <w:color w:val="000000" w:themeColor="text1"/>
          <w:sz w:val="24"/>
        </w:rPr>
        <w:t xml:space="preserve"> </w:t>
      </w:r>
      <w:r w:rsidR="000178B1" w:rsidRPr="001E57CD">
        <w:rPr>
          <w:color w:val="000000" w:themeColor="text1"/>
          <w:sz w:val="24"/>
        </w:rPr>
        <w:t>W obliczu zagrożeń suszą niezwykle istotne są inwestycje związane z małą i</w:t>
      </w:r>
      <w:r w:rsidR="00DD2DE1" w:rsidRPr="001E57CD">
        <w:rPr>
          <w:color w:val="000000" w:themeColor="text1"/>
          <w:sz w:val="24"/>
        </w:rPr>
        <w:t> </w:t>
      </w:r>
      <w:proofErr w:type="spellStart"/>
      <w:r w:rsidR="00DD2DE1" w:rsidRPr="001E57CD">
        <w:rPr>
          <w:color w:val="000000" w:themeColor="text1"/>
          <w:sz w:val="24"/>
        </w:rPr>
        <w:t>mikroretencją</w:t>
      </w:r>
      <w:proofErr w:type="spellEnd"/>
      <w:r w:rsidR="000178B1" w:rsidRPr="001E57CD">
        <w:rPr>
          <w:color w:val="000000" w:themeColor="text1"/>
          <w:sz w:val="24"/>
        </w:rPr>
        <w:t xml:space="preserve">. Fundacja </w:t>
      </w:r>
      <w:r w:rsidR="0080533F" w:rsidRPr="001E57CD">
        <w:rPr>
          <w:color w:val="000000" w:themeColor="text1"/>
          <w:sz w:val="24"/>
        </w:rPr>
        <w:t>Sendzimira</w:t>
      </w:r>
      <w:r w:rsidR="000178B1" w:rsidRPr="001E57CD">
        <w:rPr>
          <w:color w:val="000000" w:themeColor="text1"/>
          <w:sz w:val="24"/>
        </w:rPr>
        <w:t xml:space="preserve"> opracowała mapę miejsc sprzyjających retencji, które stanowią ogrody deszczowe, niecki retencyjne, zielone ściany, dachy czy torowiska</w:t>
      </w:r>
      <w:r w:rsidR="000178B1" w:rsidRPr="001E57CD">
        <w:rPr>
          <w:rStyle w:val="Odwoanieprzypisudolnego"/>
          <w:color w:val="000000" w:themeColor="text1"/>
          <w:sz w:val="24"/>
        </w:rPr>
        <w:footnoteReference w:id="44"/>
      </w:r>
      <w:r w:rsidR="000178B1" w:rsidRPr="001E57CD">
        <w:rPr>
          <w:color w:val="000000" w:themeColor="text1"/>
          <w:sz w:val="24"/>
        </w:rPr>
        <w:t>.</w:t>
      </w:r>
    </w:p>
    <w:p w:rsidR="00BB1E72" w:rsidRPr="001E57CD" w:rsidRDefault="000178B1" w:rsidP="001E57CD">
      <w:pPr>
        <w:spacing w:after="120"/>
        <w:jc w:val="left"/>
        <w:rPr>
          <w:color w:val="000000" w:themeColor="text1"/>
          <w:sz w:val="24"/>
        </w:rPr>
      </w:pPr>
      <w:r w:rsidRPr="001E57CD">
        <w:rPr>
          <w:color w:val="000000" w:themeColor="text1"/>
          <w:sz w:val="24"/>
        </w:rPr>
        <w:t xml:space="preserve">Podkreślić należy, iż działania w tym zakresie </w:t>
      </w:r>
      <w:r w:rsidR="007838A0" w:rsidRPr="001E57CD">
        <w:rPr>
          <w:color w:val="000000" w:themeColor="text1"/>
          <w:sz w:val="24"/>
        </w:rPr>
        <w:t>na terenie WrOF</w:t>
      </w:r>
      <w:r w:rsidR="003B579C" w:rsidRPr="001E57CD">
        <w:rPr>
          <w:color w:val="000000" w:themeColor="text1"/>
          <w:sz w:val="24"/>
        </w:rPr>
        <w:t xml:space="preserve"> </w:t>
      </w:r>
      <w:r w:rsidRPr="001E57CD">
        <w:rPr>
          <w:color w:val="000000" w:themeColor="text1"/>
          <w:sz w:val="24"/>
        </w:rPr>
        <w:t>są już prowadzone</w:t>
      </w:r>
      <w:r w:rsidR="00517275" w:rsidRPr="001E57CD">
        <w:rPr>
          <w:color w:val="000000" w:themeColor="text1"/>
          <w:sz w:val="24"/>
        </w:rPr>
        <w:t xml:space="preserve"> m.in. przez Lasy Państwowe</w:t>
      </w:r>
      <w:r w:rsidR="007838A0" w:rsidRPr="001E57CD">
        <w:rPr>
          <w:rStyle w:val="Odwoanieprzypisudolnego"/>
          <w:color w:val="000000" w:themeColor="text1"/>
          <w:sz w:val="24"/>
        </w:rPr>
        <w:footnoteReference w:id="45"/>
      </w:r>
      <w:r w:rsidR="00517275" w:rsidRPr="001E57CD">
        <w:rPr>
          <w:color w:val="000000" w:themeColor="text1"/>
          <w:sz w:val="24"/>
        </w:rPr>
        <w:t xml:space="preserve">, </w:t>
      </w:r>
      <w:r w:rsidR="0036721D" w:rsidRPr="001E57CD">
        <w:rPr>
          <w:color w:val="000000" w:themeColor="text1"/>
          <w:sz w:val="24"/>
        </w:rPr>
        <w:t>g</w:t>
      </w:r>
      <w:r w:rsidR="00517275" w:rsidRPr="001E57CD">
        <w:rPr>
          <w:color w:val="000000" w:themeColor="text1"/>
          <w:sz w:val="24"/>
        </w:rPr>
        <w:t>miny WrOF</w:t>
      </w:r>
      <w:r w:rsidR="007838A0" w:rsidRPr="001E57CD">
        <w:rPr>
          <w:color w:val="000000" w:themeColor="text1"/>
          <w:sz w:val="24"/>
        </w:rPr>
        <w:t xml:space="preserve">, wspólnoty oraz </w:t>
      </w:r>
      <w:r w:rsidR="000F5700" w:rsidRPr="001E57CD">
        <w:rPr>
          <w:color w:val="000000" w:themeColor="text1"/>
          <w:sz w:val="24"/>
        </w:rPr>
        <w:t>spółdzielnie</w:t>
      </w:r>
      <w:r w:rsidR="001F39DB" w:rsidRPr="001E57CD">
        <w:rPr>
          <w:color w:val="000000" w:themeColor="text1"/>
          <w:sz w:val="24"/>
        </w:rPr>
        <w:t xml:space="preserve"> mieszkaniowe</w:t>
      </w:r>
      <w:r w:rsidRPr="001E57CD">
        <w:rPr>
          <w:color w:val="000000" w:themeColor="text1"/>
          <w:sz w:val="24"/>
        </w:rPr>
        <w:t xml:space="preserve">. </w:t>
      </w:r>
      <w:r w:rsidR="007838A0" w:rsidRPr="001E57CD">
        <w:rPr>
          <w:color w:val="000000" w:themeColor="text1"/>
          <w:sz w:val="24"/>
        </w:rPr>
        <w:t xml:space="preserve">Lasy Państwowe od lat prowadzą </w:t>
      </w:r>
      <w:r w:rsidRPr="001E57CD">
        <w:rPr>
          <w:color w:val="000000" w:themeColor="text1"/>
          <w:sz w:val="24"/>
        </w:rPr>
        <w:t xml:space="preserve">kompleksowe działania mające na celu poprawę warunków hydrogeologicznych i do roku 2015 </w:t>
      </w:r>
      <w:r w:rsidR="007838A0" w:rsidRPr="001E57CD">
        <w:rPr>
          <w:color w:val="000000" w:themeColor="text1"/>
          <w:sz w:val="24"/>
        </w:rPr>
        <w:t xml:space="preserve">na terenie województwa dolnośląskiego </w:t>
      </w:r>
      <w:r w:rsidRPr="001E57CD">
        <w:rPr>
          <w:color w:val="000000" w:themeColor="text1"/>
          <w:sz w:val="24"/>
        </w:rPr>
        <w:t xml:space="preserve">odbudowano </w:t>
      </w:r>
      <w:r w:rsidRPr="001E57CD">
        <w:rPr>
          <w:bCs/>
          <w:color w:val="000000" w:themeColor="text1"/>
          <w:sz w:val="24"/>
        </w:rPr>
        <w:t>166 zbiorników retencyjnych</w:t>
      </w:r>
      <w:r w:rsidRPr="001E57CD">
        <w:rPr>
          <w:color w:val="000000" w:themeColor="text1"/>
          <w:sz w:val="24"/>
        </w:rPr>
        <w:t xml:space="preserve"> oraz wybudowano </w:t>
      </w:r>
      <w:r w:rsidRPr="001E57CD">
        <w:rPr>
          <w:bCs/>
          <w:color w:val="000000" w:themeColor="text1"/>
          <w:sz w:val="24"/>
        </w:rPr>
        <w:t>101 nowych obiektów</w:t>
      </w:r>
      <w:r w:rsidR="003B579C" w:rsidRPr="001E57CD">
        <w:rPr>
          <w:bCs/>
          <w:color w:val="000000" w:themeColor="text1"/>
          <w:sz w:val="24"/>
        </w:rPr>
        <w:t xml:space="preserve"> </w:t>
      </w:r>
      <w:r w:rsidRPr="001E57CD">
        <w:rPr>
          <w:color w:val="000000" w:themeColor="text1"/>
          <w:sz w:val="24"/>
        </w:rPr>
        <w:t xml:space="preserve">mających na celu </w:t>
      </w:r>
      <w:r w:rsidRPr="001E57CD">
        <w:rPr>
          <w:bCs/>
          <w:color w:val="000000" w:themeColor="text1"/>
          <w:sz w:val="24"/>
        </w:rPr>
        <w:t>retencjonowanie wody</w:t>
      </w:r>
      <w:r w:rsidR="003B579C" w:rsidRPr="001E57CD">
        <w:rPr>
          <w:bCs/>
          <w:color w:val="000000" w:themeColor="text1"/>
          <w:sz w:val="24"/>
        </w:rPr>
        <w:t xml:space="preserve"> </w:t>
      </w:r>
      <w:r w:rsidR="003B579C" w:rsidRPr="001E57CD">
        <w:rPr>
          <w:color w:val="000000" w:themeColor="text1"/>
          <w:sz w:val="24"/>
        </w:rPr>
        <w:t>Dodatkowo na terenie WrOF w niektórych miejscowościach z uwagi na brak sieci wodociągowej, zaopatrzenie w wodę mieszkańców</w:t>
      </w:r>
      <w:r w:rsidR="00E8722F" w:rsidRPr="001E57CD">
        <w:rPr>
          <w:color w:val="000000" w:themeColor="text1"/>
          <w:sz w:val="24"/>
        </w:rPr>
        <w:t xml:space="preserve"> </w:t>
      </w:r>
      <w:r w:rsidR="003B579C" w:rsidRPr="001E57CD">
        <w:rPr>
          <w:color w:val="000000" w:themeColor="text1"/>
          <w:sz w:val="24"/>
        </w:rPr>
        <w:t>odbywa Dodatkowo na terenie WrOF w niektórych miejscowościach z uwagi na brak sieci wodociągowej, zaopatrzenie w wodę mieszkańców</w:t>
      </w:r>
      <w:r w:rsidR="00E8722F" w:rsidRPr="001E57CD">
        <w:rPr>
          <w:color w:val="000000" w:themeColor="text1"/>
          <w:sz w:val="24"/>
        </w:rPr>
        <w:t xml:space="preserve"> </w:t>
      </w:r>
      <w:r w:rsidR="003B579C" w:rsidRPr="001E57CD">
        <w:rPr>
          <w:color w:val="000000" w:themeColor="text1"/>
          <w:sz w:val="24"/>
        </w:rPr>
        <w:t xml:space="preserve">odbywa </w:t>
      </w:r>
      <w:r w:rsidRPr="001E57CD">
        <w:rPr>
          <w:color w:val="000000" w:themeColor="text1"/>
          <w:sz w:val="24"/>
        </w:rPr>
        <w:t>i umożliwienie racjonalne</w:t>
      </w:r>
      <w:r w:rsidR="00034193" w:rsidRPr="001E57CD">
        <w:rPr>
          <w:color w:val="000000" w:themeColor="text1"/>
          <w:sz w:val="24"/>
        </w:rPr>
        <w:t>go</w:t>
      </w:r>
      <w:r w:rsidR="001F39DB" w:rsidRPr="001E57CD">
        <w:rPr>
          <w:color w:val="000000" w:themeColor="text1"/>
          <w:sz w:val="24"/>
        </w:rPr>
        <w:t xml:space="preserve"> </w:t>
      </w:r>
      <w:r w:rsidRPr="001E57CD">
        <w:rPr>
          <w:color w:val="000000" w:themeColor="text1"/>
          <w:sz w:val="24"/>
        </w:rPr>
        <w:t>gospodarowani</w:t>
      </w:r>
      <w:r w:rsidR="00034193" w:rsidRPr="001E57CD">
        <w:rPr>
          <w:color w:val="000000" w:themeColor="text1"/>
          <w:sz w:val="24"/>
        </w:rPr>
        <w:t>a</w:t>
      </w:r>
      <w:r w:rsidR="001F39DB" w:rsidRPr="001E57CD">
        <w:rPr>
          <w:color w:val="000000" w:themeColor="text1"/>
          <w:sz w:val="24"/>
        </w:rPr>
        <w:t xml:space="preserve"> </w:t>
      </w:r>
      <w:r w:rsidRPr="001E57CD">
        <w:rPr>
          <w:bCs/>
          <w:color w:val="000000" w:themeColor="text1"/>
          <w:sz w:val="24"/>
        </w:rPr>
        <w:t xml:space="preserve">zasobami wodnymi </w:t>
      </w:r>
      <w:r w:rsidRPr="001E57CD">
        <w:rPr>
          <w:color w:val="000000" w:themeColor="text1"/>
          <w:sz w:val="24"/>
        </w:rPr>
        <w:t>w okresach suchych.</w:t>
      </w:r>
      <w:r w:rsidR="001F39DB" w:rsidRPr="001E57CD">
        <w:rPr>
          <w:color w:val="000000" w:themeColor="text1"/>
          <w:sz w:val="24"/>
        </w:rPr>
        <w:t xml:space="preserve"> </w:t>
      </w:r>
      <w:r w:rsidR="008D2AB6" w:rsidRPr="001E57CD">
        <w:rPr>
          <w:color w:val="000000" w:themeColor="text1"/>
          <w:sz w:val="24"/>
        </w:rPr>
        <w:t>Gminy WrOF licznie korzystały z </w:t>
      </w:r>
      <w:r w:rsidR="00BB1E72" w:rsidRPr="001E57CD">
        <w:rPr>
          <w:color w:val="000000" w:themeColor="text1"/>
          <w:sz w:val="24"/>
        </w:rPr>
        <w:t xml:space="preserve">dofinansowań </w:t>
      </w:r>
      <w:r w:rsidR="005D2349" w:rsidRPr="001E57CD">
        <w:rPr>
          <w:color w:val="000000" w:themeColor="text1"/>
          <w:sz w:val="24"/>
        </w:rPr>
        <w:t xml:space="preserve">ze środków </w:t>
      </w:r>
      <w:r w:rsidR="00BB1E72" w:rsidRPr="001E57CD">
        <w:rPr>
          <w:color w:val="000000" w:themeColor="text1"/>
          <w:sz w:val="24"/>
        </w:rPr>
        <w:t>RPO WD 2014-2020, w ramach Działania 4.5. Bezpieczeństwo. Dofinansowani</w:t>
      </w:r>
      <w:r w:rsidR="005D2349" w:rsidRPr="001E57CD">
        <w:rPr>
          <w:color w:val="000000" w:themeColor="text1"/>
          <w:sz w:val="24"/>
        </w:rPr>
        <w:t>a</w:t>
      </w:r>
      <w:r w:rsidR="001F39DB" w:rsidRPr="001E57CD">
        <w:rPr>
          <w:color w:val="000000" w:themeColor="text1"/>
          <w:sz w:val="24"/>
        </w:rPr>
        <w:t xml:space="preserve"> </w:t>
      </w:r>
      <w:r w:rsidR="00BB1E72" w:rsidRPr="001E57CD">
        <w:rPr>
          <w:color w:val="000000" w:themeColor="text1"/>
          <w:sz w:val="24"/>
        </w:rPr>
        <w:t>skierowane był</w:t>
      </w:r>
      <w:r w:rsidR="005D2349" w:rsidRPr="001E57CD">
        <w:rPr>
          <w:color w:val="000000" w:themeColor="text1"/>
          <w:sz w:val="24"/>
        </w:rPr>
        <w:t>y</w:t>
      </w:r>
      <w:r w:rsidR="00BB1E72" w:rsidRPr="001E57CD">
        <w:rPr>
          <w:color w:val="000000" w:themeColor="text1"/>
          <w:sz w:val="24"/>
        </w:rPr>
        <w:t xml:space="preserve"> na projekty dotyczące zabezpieczenia obszarów miejskich do 100 tys. mieszkańców przed niekorzystnymi zjawiskami pogodowymi i ich n</w:t>
      </w:r>
      <w:r w:rsidR="008D2AB6" w:rsidRPr="001E57CD">
        <w:rPr>
          <w:color w:val="000000" w:themeColor="text1"/>
          <w:sz w:val="24"/>
        </w:rPr>
        <w:t>astępstwami (przede wszystkim w </w:t>
      </w:r>
      <w:r w:rsidR="00BB1E72" w:rsidRPr="001E57CD">
        <w:rPr>
          <w:color w:val="000000" w:themeColor="text1"/>
          <w:sz w:val="24"/>
        </w:rPr>
        <w:t>zakresie zagospodarowania wód opadowych), w tym: systemy zbierania i retencjonowania wody opadowej, budowa/modernizacja sieci kanalizacji deszczowej wraz z infrastrukturą towarzyszącą</w:t>
      </w:r>
      <w:r w:rsidR="00BB1E72" w:rsidRPr="001E57CD">
        <w:rPr>
          <w:rStyle w:val="Odwoanieprzypisudolnego"/>
          <w:color w:val="000000" w:themeColor="text1"/>
          <w:sz w:val="24"/>
        </w:rPr>
        <w:footnoteReference w:id="46"/>
      </w:r>
      <w:r w:rsidR="001F7A2C" w:rsidRPr="001E57CD">
        <w:rPr>
          <w:color w:val="000000" w:themeColor="text1"/>
          <w:sz w:val="24"/>
        </w:rPr>
        <w:t xml:space="preserve">. </w:t>
      </w:r>
      <w:r w:rsidR="00BB1E72" w:rsidRPr="001E57CD">
        <w:rPr>
          <w:color w:val="000000" w:themeColor="text1"/>
          <w:sz w:val="24"/>
        </w:rPr>
        <w:t>Osoby fizyczne oraz spółdzie</w:t>
      </w:r>
      <w:r w:rsidR="001F39DB" w:rsidRPr="001E57CD">
        <w:rPr>
          <w:color w:val="000000" w:themeColor="text1"/>
          <w:sz w:val="24"/>
        </w:rPr>
        <w:t>lnie i wspólnoty mieszkaniowe z </w:t>
      </w:r>
      <w:r w:rsidR="00BB1E72" w:rsidRPr="001E57CD">
        <w:rPr>
          <w:color w:val="000000" w:themeColor="text1"/>
          <w:sz w:val="24"/>
        </w:rPr>
        <w:t xml:space="preserve">Wrocławia </w:t>
      </w:r>
      <w:r w:rsidR="008D2AB6" w:rsidRPr="001E57CD">
        <w:rPr>
          <w:color w:val="000000" w:themeColor="text1"/>
          <w:sz w:val="24"/>
        </w:rPr>
        <w:t>korzystały z </w:t>
      </w:r>
      <w:r w:rsidR="002E72D1" w:rsidRPr="001E57CD">
        <w:rPr>
          <w:color w:val="000000" w:themeColor="text1"/>
          <w:sz w:val="24"/>
        </w:rPr>
        <w:t>programu dotacyjnego Gminy Wrocław</w:t>
      </w:r>
      <w:r w:rsidR="00607501" w:rsidRPr="001E57CD">
        <w:rPr>
          <w:color w:val="000000" w:themeColor="text1"/>
          <w:sz w:val="24"/>
        </w:rPr>
        <w:t xml:space="preserve"> - </w:t>
      </w:r>
      <w:r w:rsidR="00BB1E72" w:rsidRPr="001E57CD">
        <w:rPr>
          <w:color w:val="000000" w:themeColor="text1"/>
          <w:sz w:val="24"/>
        </w:rPr>
        <w:t>„Złap deszcz”. W ramach tego programu miasto wspiera</w:t>
      </w:r>
      <w:r w:rsidR="00607501" w:rsidRPr="001E57CD">
        <w:rPr>
          <w:color w:val="000000" w:themeColor="text1"/>
          <w:sz w:val="24"/>
        </w:rPr>
        <w:t>ło</w:t>
      </w:r>
      <w:r w:rsidR="00BB1E72" w:rsidRPr="001E57CD">
        <w:rPr>
          <w:color w:val="000000" w:themeColor="text1"/>
          <w:sz w:val="24"/>
        </w:rPr>
        <w:t xml:space="preserve"> finansowo inwestycje związane z</w:t>
      </w:r>
      <w:r w:rsidR="00607501" w:rsidRPr="001E57CD">
        <w:rPr>
          <w:color w:val="000000" w:themeColor="text1"/>
          <w:sz w:val="24"/>
        </w:rPr>
        <w:t>:</w:t>
      </w:r>
      <w:r w:rsidR="00BB1E72" w:rsidRPr="001E57CD">
        <w:rPr>
          <w:color w:val="000000" w:themeColor="text1"/>
          <w:sz w:val="24"/>
        </w:rPr>
        <w:t xml:space="preserve"> realizacją dachu retencyjnego (zielonego lub żwirowego), założeniem ogrodu deszczowego w pojemniku lub w gruncie, wybudowaniem muldy</w:t>
      </w:r>
      <w:r w:rsidR="00F103FE" w:rsidRPr="001E57CD">
        <w:rPr>
          <w:color w:val="000000" w:themeColor="text1"/>
          <w:sz w:val="24"/>
        </w:rPr>
        <w:t xml:space="preserve"> retencyjnej, </w:t>
      </w:r>
      <w:r w:rsidR="00BB1E72" w:rsidRPr="001E57CD">
        <w:rPr>
          <w:color w:val="000000" w:themeColor="text1"/>
          <w:sz w:val="24"/>
        </w:rPr>
        <w:t>studni chłonnej</w:t>
      </w:r>
      <w:r w:rsidR="00F103FE" w:rsidRPr="001E57CD">
        <w:rPr>
          <w:color w:val="000000" w:themeColor="text1"/>
          <w:sz w:val="24"/>
        </w:rPr>
        <w:t xml:space="preserve">, </w:t>
      </w:r>
      <w:r w:rsidR="00BB1E72" w:rsidRPr="001E57CD">
        <w:rPr>
          <w:color w:val="000000" w:themeColor="text1"/>
          <w:sz w:val="24"/>
        </w:rPr>
        <w:t>podziemnego zbiornika na wodę opadową, postawieniem naziemnego wolnostojąc</w:t>
      </w:r>
      <w:r w:rsidR="00180408">
        <w:rPr>
          <w:color w:val="000000" w:themeColor="text1"/>
          <w:sz w:val="24"/>
        </w:rPr>
        <w:t>ego zbiornika na wodę opadową z </w:t>
      </w:r>
      <w:r w:rsidR="00BB1E72" w:rsidRPr="001E57CD">
        <w:rPr>
          <w:color w:val="000000" w:themeColor="text1"/>
          <w:sz w:val="24"/>
        </w:rPr>
        <w:t>dachu</w:t>
      </w:r>
      <w:r w:rsidR="00BB1E72" w:rsidRPr="001E57CD">
        <w:rPr>
          <w:rStyle w:val="Odwoanieprzypisudolnego"/>
          <w:color w:val="000000" w:themeColor="text1"/>
          <w:sz w:val="24"/>
        </w:rPr>
        <w:footnoteReference w:id="47"/>
      </w:r>
      <w:r w:rsidR="00BB1E72" w:rsidRPr="001E57CD">
        <w:rPr>
          <w:color w:val="000000" w:themeColor="text1"/>
          <w:sz w:val="24"/>
        </w:rPr>
        <w:t xml:space="preserve">. </w:t>
      </w:r>
      <w:r w:rsidR="009C7A6F" w:rsidRPr="001E57CD">
        <w:rPr>
          <w:color w:val="000000" w:themeColor="text1"/>
          <w:sz w:val="24"/>
        </w:rPr>
        <w:t>Dodatkowo</w:t>
      </w:r>
      <w:r w:rsidR="002E72D1" w:rsidRPr="001E57CD">
        <w:rPr>
          <w:color w:val="000000" w:themeColor="text1"/>
          <w:sz w:val="24"/>
        </w:rPr>
        <w:t xml:space="preserve"> w</w:t>
      </w:r>
      <w:r w:rsidR="001F39DB" w:rsidRPr="001E57CD">
        <w:rPr>
          <w:color w:val="000000" w:themeColor="text1"/>
          <w:sz w:val="24"/>
        </w:rPr>
        <w:t> </w:t>
      </w:r>
      <w:r w:rsidR="00BB1E72" w:rsidRPr="001E57CD">
        <w:rPr>
          <w:color w:val="000000" w:themeColor="text1"/>
          <w:sz w:val="24"/>
        </w:rPr>
        <w:t xml:space="preserve">ubiegłych latach we Wrocławiu rozpoczęto realizacje inwestycji dotyczących zielonych przystanków. Są to konstrukcje, na których wprowadzania jest roślinność. Takie rozwiązanie jest stosowane nie tylko ze względu na poprawę walorów estetycznych przestrzeni miejskiej dotychczas pozbawionej zieleni, ale przede wszystkim </w:t>
      </w:r>
      <w:r w:rsidR="000F414F" w:rsidRPr="001E57CD">
        <w:rPr>
          <w:color w:val="000000" w:themeColor="text1"/>
          <w:sz w:val="24"/>
        </w:rPr>
        <w:t xml:space="preserve">rozwiązanie to </w:t>
      </w:r>
      <w:r w:rsidR="00BB1E72" w:rsidRPr="001E57CD">
        <w:rPr>
          <w:color w:val="000000" w:themeColor="text1"/>
          <w:sz w:val="24"/>
        </w:rPr>
        <w:t>sprzyja retencjonowaniu wody deszczowej przez</w:t>
      </w:r>
      <w:r w:rsidR="00D76ED9" w:rsidRPr="001E57CD">
        <w:rPr>
          <w:color w:val="000000" w:themeColor="text1"/>
          <w:sz w:val="24"/>
        </w:rPr>
        <w:t xml:space="preserve"> roślinność na dachu</w:t>
      </w:r>
      <w:r w:rsidR="001F39DB" w:rsidRPr="001E57CD">
        <w:rPr>
          <w:color w:val="000000" w:themeColor="text1"/>
          <w:sz w:val="24"/>
        </w:rPr>
        <w:t xml:space="preserve"> </w:t>
      </w:r>
      <w:r w:rsidR="002E72D1" w:rsidRPr="001E57CD">
        <w:rPr>
          <w:color w:val="000000" w:themeColor="text1"/>
          <w:sz w:val="24"/>
        </w:rPr>
        <w:t>oraz</w:t>
      </w:r>
      <w:r w:rsidR="001F39DB" w:rsidRPr="001E57CD">
        <w:rPr>
          <w:color w:val="000000" w:themeColor="text1"/>
          <w:sz w:val="24"/>
        </w:rPr>
        <w:t xml:space="preserve"> </w:t>
      </w:r>
      <w:r w:rsidR="00BB1E72" w:rsidRPr="001E57CD">
        <w:rPr>
          <w:color w:val="000000" w:themeColor="text1"/>
          <w:sz w:val="24"/>
        </w:rPr>
        <w:t>może służyć do nawadnia</w:t>
      </w:r>
      <w:r w:rsidR="00D76ED9" w:rsidRPr="001E57CD">
        <w:rPr>
          <w:color w:val="000000" w:themeColor="text1"/>
          <w:sz w:val="24"/>
        </w:rPr>
        <w:t>nia otaczających</w:t>
      </w:r>
      <w:r w:rsidR="009C7A6F" w:rsidRPr="001E57CD">
        <w:rPr>
          <w:color w:val="000000" w:themeColor="text1"/>
          <w:sz w:val="24"/>
        </w:rPr>
        <w:t xml:space="preserve"> terenów</w:t>
      </w:r>
      <w:r w:rsidR="000F414F" w:rsidRPr="001E57CD">
        <w:rPr>
          <w:color w:val="000000" w:themeColor="text1"/>
          <w:sz w:val="24"/>
        </w:rPr>
        <w:t xml:space="preserve"> zieleni. </w:t>
      </w:r>
      <w:r w:rsidR="00BB1E72" w:rsidRPr="001E57CD">
        <w:rPr>
          <w:color w:val="000000" w:themeColor="text1"/>
          <w:sz w:val="24"/>
        </w:rPr>
        <w:t>Zielony dach i ściana wiaty wpływają także na regulacje warunków termicznych</w:t>
      </w:r>
      <w:r w:rsidR="000F414F" w:rsidRPr="001E57CD">
        <w:rPr>
          <w:color w:val="000000" w:themeColor="text1"/>
          <w:sz w:val="24"/>
        </w:rPr>
        <w:t xml:space="preserve"> terenu, d</w:t>
      </w:r>
      <w:r w:rsidR="00BB1E72" w:rsidRPr="001E57CD">
        <w:rPr>
          <w:color w:val="000000" w:themeColor="text1"/>
          <w:sz w:val="24"/>
        </w:rPr>
        <w:t>odatkową korzyścią jest infiltracja zanieczyszczeń powietrza przez rośliny, co wpływa na poprawę jakości powietrza. Zielony przystanek to t</w:t>
      </w:r>
      <w:r w:rsidR="008D2AB6" w:rsidRPr="001E57CD">
        <w:rPr>
          <w:color w:val="000000" w:themeColor="text1"/>
          <w:sz w:val="24"/>
        </w:rPr>
        <w:t xml:space="preserve">akże </w:t>
      </w:r>
      <w:proofErr w:type="spellStart"/>
      <w:r w:rsidR="008D2AB6" w:rsidRPr="001E57CD">
        <w:rPr>
          <w:color w:val="000000" w:themeColor="text1"/>
          <w:sz w:val="24"/>
        </w:rPr>
        <w:t>minisiedlisko</w:t>
      </w:r>
      <w:proofErr w:type="spellEnd"/>
      <w:r w:rsidR="008D2AB6" w:rsidRPr="001E57CD">
        <w:rPr>
          <w:color w:val="000000" w:themeColor="text1"/>
          <w:sz w:val="24"/>
        </w:rPr>
        <w:t xml:space="preserve"> dla owadów i </w:t>
      </w:r>
      <w:r w:rsidR="00BB1E72" w:rsidRPr="001E57CD">
        <w:rPr>
          <w:color w:val="000000" w:themeColor="text1"/>
          <w:sz w:val="24"/>
        </w:rPr>
        <w:t>ptaków</w:t>
      </w:r>
      <w:r w:rsidR="00BB1E72" w:rsidRPr="001E57CD">
        <w:rPr>
          <w:rStyle w:val="Odwoanieprzypisudolnego"/>
          <w:color w:val="000000" w:themeColor="text1"/>
          <w:sz w:val="24"/>
        </w:rPr>
        <w:footnoteReference w:id="48"/>
      </w:r>
      <w:r w:rsidR="00623C29" w:rsidRPr="001E57CD">
        <w:rPr>
          <w:color w:val="000000" w:themeColor="text1"/>
          <w:sz w:val="24"/>
        </w:rPr>
        <w:t>.</w:t>
      </w:r>
      <w:r w:rsidR="00F31D25" w:rsidRPr="001E57CD">
        <w:rPr>
          <w:color w:val="000000" w:themeColor="text1"/>
          <w:sz w:val="24"/>
        </w:rPr>
        <w:t xml:space="preserve"> Ponadto Gmina </w:t>
      </w:r>
      <w:r w:rsidR="00BB1E72" w:rsidRPr="001E57CD">
        <w:rPr>
          <w:color w:val="000000" w:themeColor="text1"/>
          <w:sz w:val="24"/>
        </w:rPr>
        <w:t>Wrocław</w:t>
      </w:r>
      <w:r w:rsidR="00F31D25" w:rsidRPr="001E57CD">
        <w:rPr>
          <w:color w:val="000000" w:themeColor="text1"/>
          <w:sz w:val="24"/>
        </w:rPr>
        <w:t xml:space="preserve"> prowadzi szereg działań mających na celu przystosowanie miasta do zmian klimatu, w tym realizuje projekt </w:t>
      </w:r>
      <w:r w:rsidR="00BB1E72" w:rsidRPr="001E57CD">
        <w:rPr>
          <w:color w:val="000000" w:themeColor="text1"/>
          <w:sz w:val="24"/>
        </w:rPr>
        <w:t xml:space="preserve"> „</w:t>
      </w:r>
      <w:proofErr w:type="spellStart"/>
      <w:r w:rsidR="00BB1E72" w:rsidRPr="001E57CD">
        <w:rPr>
          <w:color w:val="000000" w:themeColor="text1"/>
          <w:sz w:val="24"/>
        </w:rPr>
        <w:t>Grow</w:t>
      </w:r>
      <w:proofErr w:type="spellEnd"/>
      <w:r w:rsidR="00BB1E72" w:rsidRPr="001E57CD">
        <w:rPr>
          <w:color w:val="000000" w:themeColor="text1"/>
          <w:sz w:val="24"/>
        </w:rPr>
        <w:t xml:space="preserve"> Green”, </w:t>
      </w:r>
      <w:r w:rsidR="00F31D25" w:rsidRPr="001E57CD">
        <w:rPr>
          <w:color w:val="000000" w:themeColor="text1"/>
          <w:sz w:val="24"/>
        </w:rPr>
        <w:t>w ramach którego tworzy katalog</w:t>
      </w:r>
      <w:r w:rsidR="00BB1E72" w:rsidRPr="001E57CD">
        <w:rPr>
          <w:color w:val="000000" w:themeColor="text1"/>
          <w:sz w:val="24"/>
        </w:rPr>
        <w:t xml:space="preserve"> demonstracyjnych rozwiązań zapewniających schronienie przed upałem, lokalne obniżenie temperatury, poprawę jakości powietrza i umożliwienie korzystania z wód opadowych. Przykładowe rozwiązania stanowią parki kieszonkowe oraz zielone ściany i ulice. Ponadto, na zielonych elewacjach zostały zamontow</w:t>
      </w:r>
      <w:r w:rsidR="00F31D25" w:rsidRPr="001E57CD">
        <w:rPr>
          <w:color w:val="000000" w:themeColor="text1"/>
          <w:sz w:val="24"/>
        </w:rPr>
        <w:t>ane budki dla jeżyków,</w:t>
      </w:r>
      <w:r w:rsidR="001F39DB" w:rsidRPr="001E57CD">
        <w:rPr>
          <w:color w:val="000000" w:themeColor="text1"/>
          <w:sz w:val="24"/>
        </w:rPr>
        <w:t xml:space="preserve"> </w:t>
      </w:r>
      <w:r w:rsidR="00BB1E72" w:rsidRPr="001E57CD">
        <w:rPr>
          <w:color w:val="000000" w:themeColor="text1"/>
          <w:sz w:val="24"/>
        </w:rPr>
        <w:t>a</w:t>
      </w:r>
      <w:r w:rsidR="001F39DB" w:rsidRPr="001E57CD">
        <w:rPr>
          <w:color w:val="000000" w:themeColor="text1"/>
          <w:sz w:val="24"/>
        </w:rPr>
        <w:t xml:space="preserve"> </w:t>
      </w:r>
      <w:r w:rsidR="00BB1E72" w:rsidRPr="001E57CD">
        <w:rPr>
          <w:color w:val="000000" w:themeColor="text1"/>
          <w:sz w:val="24"/>
        </w:rPr>
        <w:t>w</w:t>
      </w:r>
      <w:r w:rsidR="001F39DB" w:rsidRPr="001E57CD">
        <w:rPr>
          <w:color w:val="000000" w:themeColor="text1"/>
          <w:sz w:val="24"/>
        </w:rPr>
        <w:t xml:space="preserve"> </w:t>
      </w:r>
      <w:r w:rsidR="00BB1E72" w:rsidRPr="001E57CD">
        <w:rPr>
          <w:color w:val="000000" w:themeColor="text1"/>
          <w:sz w:val="24"/>
        </w:rPr>
        <w:t>parkach zainstalowano domki dla owadów</w:t>
      </w:r>
      <w:r w:rsidR="00BB1E72" w:rsidRPr="001E57CD">
        <w:rPr>
          <w:rStyle w:val="Odwoanieprzypisudolnego"/>
          <w:color w:val="000000" w:themeColor="text1"/>
          <w:sz w:val="24"/>
        </w:rPr>
        <w:footnoteReference w:id="49"/>
      </w:r>
      <w:r w:rsidR="00623C29" w:rsidRPr="001E57CD">
        <w:rPr>
          <w:color w:val="000000" w:themeColor="text1"/>
          <w:sz w:val="24"/>
        </w:rPr>
        <w:t xml:space="preserve">. </w:t>
      </w:r>
      <w:r w:rsidR="009C7A6F" w:rsidRPr="001E57CD">
        <w:rPr>
          <w:color w:val="000000" w:themeColor="text1"/>
          <w:sz w:val="24"/>
        </w:rPr>
        <w:t>Kolejne gminy WrOF dołączają się do niezwykle potrzebnych na obszarze WrOF działań w zakresie adaptacji do zmian klimatu</w:t>
      </w:r>
      <w:r w:rsidR="009B7D62" w:rsidRPr="001E57CD">
        <w:rPr>
          <w:color w:val="000000" w:themeColor="text1"/>
          <w:sz w:val="24"/>
        </w:rPr>
        <w:t>,</w:t>
      </w:r>
      <w:r w:rsidR="001F39DB" w:rsidRPr="001E57CD">
        <w:rPr>
          <w:color w:val="000000" w:themeColor="text1"/>
          <w:sz w:val="24"/>
        </w:rPr>
        <w:t xml:space="preserve"> </w:t>
      </w:r>
      <w:r w:rsidR="009B7D62" w:rsidRPr="001E57CD">
        <w:rPr>
          <w:color w:val="000000" w:themeColor="text1"/>
          <w:sz w:val="24"/>
        </w:rPr>
        <w:t xml:space="preserve">np. </w:t>
      </w:r>
      <w:r w:rsidR="00623C29" w:rsidRPr="001E57CD">
        <w:rPr>
          <w:color w:val="000000" w:themeColor="text1"/>
          <w:sz w:val="24"/>
        </w:rPr>
        <w:t>g</w:t>
      </w:r>
      <w:r w:rsidR="00BB1E72" w:rsidRPr="001E57CD">
        <w:rPr>
          <w:color w:val="000000" w:themeColor="text1"/>
          <w:sz w:val="24"/>
        </w:rPr>
        <w:t>mina Kobierzyce przyjęła dokument pn. „Program poprawy stanu środowiska przyrodniczego i adaptacji do zmian klimatu w gminie Kobierzyce”</w:t>
      </w:r>
      <w:r w:rsidR="009C7A6F" w:rsidRPr="001E57CD">
        <w:rPr>
          <w:color w:val="000000" w:themeColor="text1"/>
          <w:sz w:val="24"/>
        </w:rPr>
        <w:t>, który określa</w:t>
      </w:r>
      <w:r w:rsidR="001F39DB" w:rsidRPr="001E57CD">
        <w:rPr>
          <w:color w:val="000000" w:themeColor="text1"/>
          <w:sz w:val="24"/>
        </w:rPr>
        <w:t xml:space="preserve"> </w:t>
      </w:r>
      <w:r w:rsidR="00BB1E72" w:rsidRPr="001E57CD">
        <w:rPr>
          <w:color w:val="000000" w:themeColor="text1"/>
          <w:sz w:val="24"/>
        </w:rPr>
        <w:t xml:space="preserve">wdrażania przedsięwzięć mających wpływ na poprawę warunków środowiska </w:t>
      </w:r>
      <w:r w:rsidR="009C7A6F" w:rsidRPr="001E57CD">
        <w:rPr>
          <w:color w:val="000000" w:themeColor="text1"/>
          <w:sz w:val="24"/>
        </w:rPr>
        <w:t xml:space="preserve">oraz </w:t>
      </w:r>
      <w:r w:rsidR="00BB1E72" w:rsidRPr="001E57CD">
        <w:rPr>
          <w:color w:val="000000" w:themeColor="text1"/>
          <w:sz w:val="24"/>
        </w:rPr>
        <w:t>działań koniecznych dla łagodzenia niekorzystnych zmian klimatu.</w:t>
      </w:r>
    </w:p>
    <w:p w:rsidR="000178B1" w:rsidRPr="001E57CD" w:rsidRDefault="000178B1" w:rsidP="001E57CD">
      <w:pPr>
        <w:spacing w:after="360"/>
        <w:jc w:val="left"/>
        <w:rPr>
          <w:color w:val="000000" w:themeColor="text1"/>
          <w:sz w:val="24"/>
        </w:rPr>
      </w:pPr>
      <w:r w:rsidRPr="001E57CD">
        <w:rPr>
          <w:color w:val="000000" w:themeColor="text1"/>
          <w:sz w:val="24"/>
        </w:rPr>
        <w:t>W celu przystosowywania całego terenu WrOF do zmian klimatu konieczne jest zapewnienie odpowiedniej powierzchni i dostępności terenów zielonych we wszystkich gminach WrOF</w:t>
      </w:r>
      <w:r w:rsidR="00180408">
        <w:rPr>
          <w:color w:val="000000" w:themeColor="text1"/>
          <w:sz w:val="24"/>
        </w:rPr>
        <w:t>, w </w:t>
      </w:r>
      <w:r w:rsidR="009C7A6F" w:rsidRPr="001E57CD">
        <w:rPr>
          <w:color w:val="000000" w:themeColor="text1"/>
          <w:sz w:val="24"/>
        </w:rPr>
        <w:t>tym na obszarach miejskich</w:t>
      </w:r>
      <w:r w:rsidR="00A16F4F" w:rsidRPr="001E57CD">
        <w:rPr>
          <w:color w:val="000000" w:themeColor="text1"/>
          <w:sz w:val="24"/>
        </w:rPr>
        <w:t xml:space="preserve"> oraz terenach zdegradowanych</w:t>
      </w:r>
      <w:r w:rsidRPr="001E57CD">
        <w:rPr>
          <w:color w:val="000000" w:themeColor="text1"/>
          <w:sz w:val="24"/>
        </w:rPr>
        <w:t>. Tam gdzie to możliwe, sugeruje się tworzenie zielonych przystanków, skwerów, ogrodów kieszonkowych oraz minimalizację uszczelniania powierzchni ziemi na placach/rynkach</w:t>
      </w:r>
      <w:r w:rsidR="00D17D6F" w:rsidRPr="001E57CD">
        <w:rPr>
          <w:color w:val="000000" w:themeColor="text1"/>
          <w:sz w:val="24"/>
        </w:rPr>
        <w:t>, tworzenie nowych terenów zielonych np. parków</w:t>
      </w:r>
      <w:r w:rsidR="00F05E2E" w:rsidRPr="001E57CD">
        <w:rPr>
          <w:color w:val="000000" w:themeColor="text1"/>
          <w:sz w:val="24"/>
        </w:rPr>
        <w:t xml:space="preserve"> oraz zagospodarowanie już is</w:t>
      </w:r>
      <w:r w:rsidR="00180408">
        <w:rPr>
          <w:color w:val="000000" w:themeColor="text1"/>
          <w:sz w:val="24"/>
        </w:rPr>
        <w:t>tniejących zielonych terenów, w </w:t>
      </w:r>
      <w:r w:rsidR="00F05E2E" w:rsidRPr="001E57CD">
        <w:rPr>
          <w:color w:val="000000" w:themeColor="text1"/>
          <w:sz w:val="24"/>
        </w:rPr>
        <w:t>tym z uwzględnieniem dostępności dla mieszkańców</w:t>
      </w:r>
      <w:r w:rsidRPr="001E57CD">
        <w:rPr>
          <w:color w:val="000000" w:themeColor="text1"/>
          <w:sz w:val="24"/>
        </w:rPr>
        <w:t>. W przypadku gmin/miejscowości, które cechują się odpowiednią ilością zieleni także konieczne jest podjęcie odpowiednich kroków, w celu ochrony i konserwacji już istniejących terenów zielonych, tak aby nie były one narażone na degradację wynikającą z działalności antropogenicznej czy zmian klimatu.</w:t>
      </w:r>
    </w:p>
    <w:p w:rsidR="00180408" w:rsidRDefault="00180408" w:rsidP="001E57CD">
      <w:pPr>
        <w:spacing w:before="120" w:after="0"/>
        <w:jc w:val="left"/>
        <w:rPr>
          <w:rFonts w:cstheme="minorHAnsi"/>
          <w:b/>
          <w:color w:val="000000" w:themeColor="text1"/>
          <w:sz w:val="36"/>
          <w:szCs w:val="32"/>
        </w:rPr>
      </w:pPr>
      <w:r>
        <w:rPr>
          <w:rFonts w:cstheme="minorHAnsi"/>
          <w:b/>
          <w:color w:val="000000" w:themeColor="text1"/>
          <w:sz w:val="36"/>
          <w:szCs w:val="32"/>
        </w:rPr>
        <w:br w:type="page"/>
      </w:r>
    </w:p>
    <w:p w:rsidR="00E40F6F" w:rsidRPr="001E57CD" w:rsidRDefault="00E40F6F" w:rsidP="001E57CD">
      <w:pPr>
        <w:spacing w:before="120" w:after="0"/>
        <w:jc w:val="left"/>
        <w:rPr>
          <w:rFonts w:cstheme="minorHAnsi"/>
          <w:b/>
          <w:color w:val="000000" w:themeColor="text1"/>
          <w:sz w:val="36"/>
          <w:szCs w:val="32"/>
        </w:rPr>
      </w:pPr>
      <w:r w:rsidRPr="001E57CD">
        <w:rPr>
          <w:rFonts w:cstheme="minorHAnsi"/>
          <w:b/>
          <w:color w:val="000000" w:themeColor="text1"/>
          <w:sz w:val="36"/>
          <w:szCs w:val="32"/>
        </w:rPr>
        <w:t>Obszary chronione, lasy, tereny zieleni</w:t>
      </w:r>
    </w:p>
    <w:p w:rsidR="00E40F6F" w:rsidRPr="001E57CD" w:rsidRDefault="00E40F6F" w:rsidP="001E57CD">
      <w:pPr>
        <w:spacing w:after="0"/>
        <w:jc w:val="left"/>
        <w:rPr>
          <w:rFonts w:cstheme="minorHAnsi"/>
          <w:b/>
          <w:color w:val="000000" w:themeColor="text1"/>
          <w:sz w:val="24"/>
        </w:rPr>
      </w:pPr>
      <w:r w:rsidRPr="001E57CD">
        <w:rPr>
          <w:rFonts w:cstheme="minorHAnsi"/>
          <w:b/>
          <w:color w:val="000000" w:themeColor="text1"/>
          <w:sz w:val="24"/>
        </w:rPr>
        <w:t>Obszary chronione</w:t>
      </w:r>
    </w:p>
    <w:p w:rsidR="00E40F6F" w:rsidRPr="001E57CD" w:rsidRDefault="00E40F6F" w:rsidP="001E57CD">
      <w:pPr>
        <w:jc w:val="left"/>
        <w:rPr>
          <w:color w:val="000000" w:themeColor="text1"/>
          <w:sz w:val="24"/>
        </w:rPr>
      </w:pPr>
      <w:r w:rsidRPr="001E57CD">
        <w:rPr>
          <w:color w:val="000000" w:themeColor="text1"/>
          <w:sz w:val="24"/>
        </w:rPr>
        <w:t>Środowisko przyrodnicze WrOF wyróżniają wysokie walory krajobrazowe, obecność cennych zbiorowisk chronionych i rzadkich gatunków roślin i zwierząt. Tworzone z myślą o ochronie różnorodności biologicznej</w:t>
      </w:r>
      <w:r w:rsidR="007B5A78" w:rsidRPr="001E57CD">
        <w:rPr>
          <w:color w:val="000000" w:themeColor="text1"/>
          <w:sz w:val="24"/>
        </w:rPr>
        <w:t xml:space="preserve">, </w:t>
      </w:r>
      <w:r w:rsidRPr="001E57CD">
        <w:rPr>
          <w:color w:val="000000" w:themeColor="text1"/>
          <w:sz w:val="24"/>
        </w:rPr>
        <w:t xml:space="preserve">formy ochrony przyrody posiadają wartość naukową i estetyczną, a także są atrakcyjne turystycznie. </w:t>
      </w:r>
    </w:p>
    <w:p w:rsidR="00E40F6F" w:rsidRPr="001E57CD" w:rsidRDefault="00E40F6F" w:rsidP="001E57CD">
      <w:pPr>
        <w:jc w:val="left"/>
        <w:rPr>
          <w:rFonts w:cs="Calibri"/>
          <w:color w:val="000000" w:themeColor="text1"/>
          <w:sz w:val="24"/>
        </w:rPr>
      </w:pPr>
      <w:r w:rsidRPr="001E57CD">
        <w:rPr>
          <w:rFonts w:cs="Calibri"/>
          <w:color w:val="000000" w:themeColor="text1"/>
          <w:sz w:val="24"/>
        </w:rPr>
        <w:t xml:space="preserve">Udział powierzchni prawnie chronionej </w:t>
      </w:r>
      <w:r w:rsidR="001F39DB" w:rsidRPr="001E57CD">
        <w:rPr>
          <w:rFonts w:cs="Calibri"/>
          <w:color w:val="000000" w:themeColor="text1"/>
          <w:sz w:val="24"/>
        </w:rPr>
        <w:t xml:space="preserve">we </w:t>
      </w:r>
      <w:r w:rsidRPr="001E57CD">
        <w:rPr>
          <w:rFonts w:cs="Calibri"/>
          <w:color w:val="000000" w:themeColor="text1"/>
          <w:sz w:val="24"/>
        </w:rPr>
        <w:t>WrOF wynosi 5%. Największy udział tych obszarów mają gminy</w:t>
      </w:r>
      <w:r w:rsidR="007B5A78" w:rsidRPr="001E57CD">
        <w:rPr>
          <w:rFonts w:cs="Calibri"/>
          <w:color w:val="000000" w:themeColor="text1"/>
          <w:sz w:val="24"/>
        </w:rPr>
        <w:t>:</w:t>
      </w:r>
      <w:r w:rsidR="008F1764" w:rsidRPr="001E57CD">
        <w:rPr>
          <w:rFonts w:cs="Calibri"/>
          <w:color w:val="000000" w:themeColor="text1"/>
          <w:sz w:val="24"/>
        </w:rPr>
        <w:t xml:space="preserve"> </w:t>
      </w:r>
      <w:r w:rsidRPr="001E57CD">
        <w:rPr>
          <w:rFonts w:cs="Calibri"/>
          <w:color w:val="000000" w:themeColor="text1"/>
          <w:sz w:val="24"/>
        </w:rPr>
        <w:t>Sobótka (32,6%) – za sprawą obecności na swoim terenie parku krajobrazowego Masyw Ślęży oraz Wisznia Mała (33,3%), której północną część zajmuje Obszar Chronionego Krajobrazu Wzgórza Trzebnickie. Z uwagi na wysoki stopień pokrycia formami ochrony przyrody gminy te odznaczają się wysokimi walorami przyrodniczymi.</w:t>
      </w:r>
    </w:p>
    <w:p w:rsidR="00E40F6F" w:rsidRPr="00B92AF8" w:rsidRDefault="00E40F6F" w:rsidP="00E40F6F">
      <w:pPr>
        <w:pStyle w:val="nadWrOF"/>
      </w:pPr>
      <w:bookmarkStart w:id="56" w:name="_Toc119309224"/>
      <w:bookmarkStart w:id="57" w:name="_Toc125959947"/>
      <w:bookmarkStart w:id="58" w:name="_Toc130466212"/>
      <w:bookmarkStart w:id="59" w:name="_Toc143606995"/>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6</w:t>
      </w:r>
      <w:r w:rsidR="00C73793">
        <w:rPr>
          <w:noProof/>
        </w:rPr>
        <w:fldChar w:fldCharType="end"/>
      </w:r>
      <w:r>
        <w:t xml:space="preserve"> Obszary chronione na terenie WrOF</w:t>
      </w:r>
      <w:bookmarkEnd w:id="56"/>
      <w:bookmarkEnd w:id="57"/>
      <w:bookmarkEnd w:id="58"/>
      <w:bookmarkEnd w:id="59"/>
    </w:p>
    <w:p w:rsidR="00E40F6F" w:rsidRPr="00204380" w:rsidRDefault="00405DA1" w:rsidP="00E40F6F">
      <w:pPr>
        <w:spacing w:after="0" w:line="276" w:lineRule="auto"/>
        <w:rPr>
          <w:rFonts w:cs="Calibri"/>
        </w:rPr>
      </w:pPr>
      <w:r w:rsidRPr="00D74575">
        <w:rPr>
          <w:rFonts w:cs="Calibri"/>
          <w:noProof/>
          <w:lang w:eastAsia="pl-PL"/>
        </w:rPr>
        <w:drawing>
          <wp:inline distT="0" distB="0" distL="0" distR="0" wp14:anchorId="2C601578" wp14:editId="7D2461F9">
            <wp:extent cx="5508000" cy="4924490"/>
            <wp:effectExtent l="0" t="0" r="0" b="9525"/>
            <wp:docPr id="37" name="Obraz 230" descr="Obszary chronione na terenie WrOF" title="Obszary chronione na terenie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0"/>
                    <pic:cNvPicPr>
                      <a:picLocks noChangeAspect="1" noChangeArrowheads="1"/>
                    </pic:cNvPicPr>
                  </pic:nvPicPr>
                  <pic:blipFill>
                    <a:blip r:embed="rId21" cstate="print"/>
                    <a:srcRect/>
                    <a:stretch>
                      <a:fillRect/>
                    </a:stretch>
                  </pic:blipFill>
                  <pic:spPr bwMode="auto">
                    <a:xfrm>
                      <a:off x="0" y="0"/>
                      <a:ext cx="5508000" cy="4924490"/>
                    </a:xfrm>
                    <a:prstGeom prst="rect">
                      <a:avLst/>
                    </a:prstGeom>
                    <a:noFill/>
                    <a:ln w="9525">
                      <a:noFill/>
                      <a:miter lim="800000"/>
                      <a:headEnd/>
                      <a:tailEnd/>
                    </a:ln>
                  </pic:spPr>
                </pic:pic>
              </a:graphicData>
            </a:graphic>
          </wp:inline>
        </w:drawing>
      </w:r>
    </w:p>
    <w:p w:rsidR="00E40F6F" w:rsidRPr="002301BB" w:rsidRDefault="00E40F6F" w:rsidP="00180408">
      <w:pPr>
        <w:pStyle w:val="PODWrof"/>
      </w:pPr>
      <w:r w:rsidRPr="00E605EE">
        <w:t>Źródło: opracowanie własne na podstawie danych BDL GUS</w:t>
      </w:r>
      <w:r>
        <w:t xml:space="preserve"> [Stan na: 31.12.2021].</w:t>
      </w:r>
    </w:p>
    <w:p w:rsidR="00EB2DD1" w:rsidRPr="001E57CD" w:rsidRDefault="00E40F6F" w:rsidP="001E57CD">
      <w:pPr>
        <w:jc w:val="left"/>
        <w:rPr>
          <w:rFonts w:cs="Calibri"/>
          <w:color w:val="000000" w:themeColor="text1"/>
          <w:sz w:val="24"/>
          <w:shd w:val="clear" w:color="auto" w:fill="FFFFFF"/>
        </w:rPr>
      </w:pPr>
      <w:r w:rsidRPr="00204380">
        <w:rPr>
          <w:rFonts w:cs="Calibri"/>
        </w:rPr>
        <w:t xml:space="preserve">W </w:t>
      </w:r>
      <w:r w:rsidRPr="001E57CD">
        <w:rPr>
          <w:rFonts w:cs="Calibri"/>
          <w:color w:val="000000" w:themeColor="text1"/>
          <w:sz w:val="24"/>
        </w:rPr>
        <w:t>obrębie WrOF zn</w:t>
      </w:r>
      <w:r w:rsidR="008F1764" w:rsidRPr="001E57CD">
        <w:rPr>
          <w:rFonts w:cs="Calibri"/>
          <w:color w:val="000000" w:themeColor="text1"/>
          <w:sz w:val="24"/>
        </w:rPr>
        <w:t>ajduje się dziewięć</w:t>
      </w:r>
      <w:r w:rsidRPr="001E57CD">
        <w:rPr>
          <w:rFonts w:cs="Calibri"/>
          <w:color w:val="000000" w:themeColor="text1"/>
          <w:sz w:val="24"/>
        </w:rPr>
        <w:t xml:space="preserve"> rezerwatów przyrody. Wśród nich dominują rezerwaty typu leśnego, których jest 7. Wyznaczono także jeden rezerwat flory</w:t>
      </w:r>
      <w:r w:rsidR="00180408">
        <w:rPr>
          <w:rFonts w:cs="Calibri"/>
          <w:color w:val="000000" w:themeColor="text1"/>
          <w:sz w:val="24"/>
        </w:rPr>
        <w:t>styczny w </w:t>
      </w:r>
      <w:r w:rsidRPr="001E57CD">
        <w:rPr>
          <w:rFonts w:cs="Calibri"/>
          <w:color w:val="000000" w:themeColor="text1"/>
          <w:sz w:val="24"/>
        </w:rPr>
        <w:t xml:space="preserve">gminie Sobótka oraz wodny w gminie Jelcz-Laskowice. W ramach rezerwatów ochroną prawną objęto obszary cenne przyrodniczo, należą do nich m.in. lasy, </w:t>
      </w:r>
      <w:r w:rsidRPr="001E57CD">
        <w:rPr>
          <w:rFonts w:cs="Calibri"/>
          <w:color w:val="000000" w:themeColor="text1"/>
          <w:sz w:val="24"/>
          <w:shd w:val="clear" w:color="auto" w:fill="FFFFFF"/>
        </w:rPr>
        <w:t>zbiorowiska roślinności łąkowej z rzadkimi gatunkami roślin oraz ekosystemy rzeczne. Największy, a zarazem najstarszy rezerwat przyrody na opisywanym obszarze to Góra Ślęża w gminie Sobótka. Jego powierzchnia wynosi 161,43 ha.</w:t>
      </w:r>
      <w:r w:rsidR="00EB2DD1" w:rsidRPr="001E57CD">
        <w:rPr>
          <w:rFonts w:cs="Calibri"/>
          <w:color w:val="000000" w:themeColor="text1"/>
          <w:sz w:val="24"/>
          <w:shd w:val="clear" w:color="auto" w:fill="FFFFFF"/>
        </w:rPr>
        <w:t xml:space="preserve"> Z uwagi na ogromne walo</w:t>
      </w:r>
      <w:r w:rsidR="00180408">
        <w:rPr>
          <w:rFonts w:cs="Calibri"/>
          <w:color w:val="000000" w:themeColor="text1"/>
          <w:sz w:val="24"/>
          <w:shd w:val="clear" w:color="auto" w:fill="FFFFFF"/>
        </w:rPr>
        <w:t>ry przyrodnicze gmina Wrocław w </w:t>
      </w:r>
      <w:r w:rsidR="00EB2DD1" w:rsidRPr="001E57CD">
        <w:rPr>
          <w:rFonts w:cs="Calibri"/>
          <w:color w:val="000000" w:themeColor="text1"/>
          <w:sz w:val="24"/>
          <w:shd w:val="clear" w:color="auto" w:fill="FFFFFF"/>
        </w:rPr>
        <w:t>2022 r. wystąpiła</w:t>
      </w:r>
      <w:r w:rsidR="008F1764" w:rsidRPr="001E57CD">
        <w:rPr>
          <w:rFonts w:cs="Calibri"/>
          <w:color w:val="000000" w:themeColor="text1"/>
          <w:sz w:val="24"/>
          <w:shd w:val="clear" w:color="auto" w:fill="FFFFFF"/>
        </w:rPr>
        <w:t xml:space="preserve"> </w:t>
      </w:r>
      <w:r w:rsidR="00E60AE0" w:rsidRPr="001E57CD">
        <w:rPr>
          <w:rFonts w:cs="Calibri"/>
          <w:color w:val="000000" w:themeColor="text1"/>
          <w:sz w:val="24"/>
          <w:shd w:val="clear" w:color="auto" w:fill="FFFFFF"/>
        </w:rPr>
        <w:t xml:space="preserve">z wnioskiem </w:t>
      </w:r>
      <w:r w:rsidR="00EB2DD1" w:rsidRPr="001E57CD">
        <w:rPr>
          <w:rFonts w:cs="Calibri"/>
          <w:color w:val="000000" w:themeColor="text1"/>
          <w:sz w:val="24"/>
          <w:shd w:val="clear" w:color="auto" w:fill="FFFFFF"/>
        </w:rPr>
        <w:t>do Regionalnej Dyrekcji Ochrony Środowiska</w:t>
      </w:r>
      <w:r w:rsidR="00F258FA" w:rsidRPr="001E57CD">
        <w:rPr>
          <w:rFonts w:cs="Calibri"/>
          <w:color w:val="000000" w:themeColor="text1"/>
          <w:sz w:val="24"/>
          <w:shd w:val="clear" w:color="auto" w:fill="FFFFFF"/>
        </w:rPr>
        <w:t xml:space="preserve"> we </w:t>
      </w:r>
      <w:r w:rsidR="00257DEC" w:rsidRPr="001E57CD">
        <w:rPr>
          <w:rFonts w:cs="Calibri"/>
          <w:color w:val="000000" w:themeColor="text1"/>
          <w:sz w:val="24"/>
          <w:shd w:val="clear" w:color="auto" w:fill="FFFFFF"/>
        </w:rPr>
        <w:t>Wrocławiu</w:t>
      </w:r>
      <w:r w:rsidR="00EB2DD1" w:rsidRPr="001E57CD">
        <w:rPr>
          <w:rFonts w:cs="Calibri"/>
          <w:color w:val="000000" w:themeColor="text1"/>
          <w:sz w:val="24"/>
          <w:shd w:val="clear" w:color="auto" w:fill="FFFFFF"/>
        </w:rPr>
        <w:t xml:space="preserve">, </w:t>
      </w:r>
      <w:r w:rsidR="00E60AE0" w:rsidRPr="001E57CD">
        <w:rPr>
          <w:rFonts w:cs="Calibri"/>
          <w:color w:val="000000" w:themeColor="text1"/>
          <w:sz w:val="24"/>
          <w:shd w:val="clear" w:color="auto" w:fill="FFFFFF"/>
        </w:rPr>
        <w:t xml:space="preserve">o </w:t>
      </w:r>
      <w:r w:rsidR="00EB2DD1" w:rsidRPr="001E57CD">
        <w:rPr>
          <w:rFonts w:cs="Calibri"/>
          <w:color w:val="000000" w:themeColor="text1"/>
          <w:sz w:val="24"/>
          <w:shd w:val="clear" w:color="auto" w:fill="FFFFFF"/>
        </w:rPr>
        <w:t>utworz</w:t>
      </w:r>
      <w:r w:rsidR="00E60AE0" w:rsidRPr="001E57CD">
        <w:rPr>
          <w:rFonts w:cs="Calibri"/>
          <w:color w:val="000000" w:themeColor="text1"/>
          <w:sz w:val="24"/>
          <w:shd w:val="clear" w:color="auto" w:fill="FFFFFF"/>
        </w:rPr>
        <w:t xml:space="preserve">enie </w:t>
      </w:r>
      <w:r w:rsidR="00EB2DD1" w:rsidRPr="001E57CD">
        <w:rPr>
          <w:rFonts w:cs="Calibri"/>
          <w:color w:val="000000" w:themeColor="text1"/>
          <w:sz w:val="24"/>
          <w:shd w:val="clear" w:color="auto" w:fill="FFFFFF"/>
        </w:rPr>
        <w:t>rezerwat</w:t>
      </w:r>
      <w:r w:rsidR="00E60AE0" w:rsidRPr="001E57CD">
        <w:rPr>
          <w:rFonts w:cs="Calibri"/>
          <w:color w:val="000000" w:themeColor="text1"/>
          <w:sz w:val="24"/>
          <w:shd w:val="clear" w:color="auto" w:fill="FFFFFF"/>
        </w:rPr>
        <w:t>u</w:t>
      </w:r>
      <w:r w:rsidR="00EB2DD1" w:rsidRPr="001E57CD">
        <w:rPr>
          <w:rFonts w:cs="Calibri"/>
          <w:color w:val="000000" w:themeColor="text1"/>
          <w:sz w:val="24"/>
          <w:shd w:val="clear" w:color="auto" w:fill="FFFFFF"/>
        </w:rPr>
        <w:t xml:space="preserve"> przyrody na polach irygacyjnych na </w:t>
      </w:r>
      <w:proofErr w:type="spellStart"/>
      <w:r w:rsidR="00EB2DD1" w:rsidRPr="001E57CD">
        <w:rPr>
          <w:rFonts w:cs="Calibri"/>
          <w:color w:val="000000" w:themeColor="text1"/>
          <w:sz w:val="24"/>
          <w:shd w:val="clear" w:color="auto" w:fill="FFFFFF"/>
        </w:rPr>
        <w:t>Osobowicach</w:t>
      </w:r>
      <w:proofErr w:type="spellEnd"/>
      <w:r w:rsidR="00EB2DD1" w:rsidRPr="001E57CD">
        <w:rPr>
          <w:rFonts w:cs="Calibri"/>
          <w:color w:val="000000" w:themeColor="text1"/>
          <w:sz w:val="24"/>
          <w:shd w:val="clear" w:color="auto" w:fill="FFFFFF"/>
        </w:rPr>
        <w:t>. Przez ponad sto lat pola te pełniły funkcję naturalnej, mechaniczno-biolog</w:t>
      </w:r>
      <w:r w:rsidR="00F258FA" w:rsidRPr="001E57CD">
        <w:rPr>
          <w:rFonts w:cs="Calibri"/>
          <w:color w:val="000000" w:themeColor="text1"/>
          <w:sz w:val="24"/>
          <w:shd w:val="clear" w:color="auto" w:fill="FFFFFF"/>
        </w:rPr>
        <w:t>icznej oczyszczalni ścieków dla </w:t>
      </w:r>
      <w:r w:rsidR="00EB2DD1" w:rsidRPr="001E57CD">
        <w:rPr>
          <w:rFonts w:cs="Calibri"/>
          <w:color w:val="000000" w:themeColor="text1"/>
          <w:sz w:val="24"/>
          <w:shd w:val="clear" w:color="auto" w:fill="FFFFFF"/>
        </w:rPr>
        <w:t xml:space="preserve">Wrocławia, przez co na obszarze występuje wiele </w:t>
      </w:r>
      <w:r w:rsidR="00E60AE0" w:rsidRPr="001E57CD">
        <w:rPr>
          <w:rFonts w:cs="Calibri"/>
          <w:color w:val="000000" w:themeColor="text1"/>
          <w:sz w:val="24"/>
          <w:shd w:val="clear" w:color="auto" w:fill="FFFFFF"/>
        </w:rPr>
        <w:t xml:space="preserve">cennych </w:t>
      </w:r>
      <w:r w:rsidR="00EB2DD1" w:rsidRPr="001E57CD">
        <w:rPr>
          <w:rFonts w:cs="Calibri"/>
          <w:color w:val="000000" w:themeColor="text1"/>
          <w:sz w:val="24"/>
          <w:shd w:val="clear" w:color="auto" w:fill="FFFFFF"/>
        </w:rPr>
        <w:t>zbiorowisk roślin, a także wytworzyły się korzystne warunki do życia dla wielu gatunków zwierząt. Obszar przyszłego rezerwatu obejmie ponad tysiąc hektarów</w:t>
      </w:r>
      <w:r w:rsidR="00EB2DD1" w:rsidRPr="001E57CD">
        <w:rPr>
          <w:rStyle w:val="Odwoanieprzypisudolnego"/>
          <w:rFonts w:cs="Calibri"/>
          <w:color w:val="000000" w:themeColor="text1"/>
          <w:sz w:val="24"/>
          <w:shd w:val="clear" w:color="auto" w:fill="FFFFFF"/>
        </w:rPr>
        <w:footnoteReference w:id="50"/>
      </w:r>
      <w:r w:rsidR="00EB2DD1" w:rsidRPr="001E57CD">
        <w:rPr>
          <w:rFonts w:cs="Calibri"/>
          <w:color w:val="000000" w:themeColor="text1"/>
          <w:sz w:val="24"/>
          <w:shd w:val="clear" w:color="auto" w:fill="FFFFFF"/>
        </w:rPr>
        <w:t>.</w:t>
      </w:r>
    </w:p>
    <w:p w:rsidR="003B3B67" w:rsidRPr="001E57CD" w:rsidRDefault="003B3B67" w:rsidP="001E57CD">
      <w:pPr>
        <w:jc w:val="left"/>
        <w:rPr>
          <w:rFonts w:cs="Calibri"/>
          <w:color w:val="000000" w:themeColor="text1"/>
          <w:sz w:val="24"/>
          <w:shd w:val="clear" w:color="auto" w:fill="FFFFFF"/>
        </w:rPr>
      </w:pPr>
      <w:r w:rsidRPr="001E57CD">
        <w:rPr>
          <w:rFonts w:cs="Calibri"/>
          <w:color w:val="000000" w:themeColor="text1"/>
          <w:sz w:val="24"/>
          <w:shd w:val="clear" w:color="auto" w:fill="FFFFFF"/>
        </w:rPr>
        <w:t xml:space="preserve">Na </w:t>
      </w:r>
      <w:r w:rsidR="008F1764" w:rsidRPr="001E57CD">
        <w:rPr>
          <w:rFonts w:cs="Calibri"/>
          <w:color w:val="000000" w:themeColor="text1"/>
          <w:sz w:val="24"/>
          <w:shd w:val="clear" w:color="auto" w:fill="FFFFFF"/>
        </w:rPr>
        <w:t>obszarze WrOF zlokalizowane są trzy</w:t>
      </w:r>
      <w:r w:rsidRPr="001E57CD">
        <w:rPr>
          <w:rFonts w:cs="Calibri"/>
          <w:color w:val="000000" w:themeColor="text1"/>
          <w:sz w:val="24"/>
          <w:shd w:val="clear" w:color="auto" w:fill="FFFFFF"/>
        </w:rPr>
        <w:t xml:space="preserve"> parki krajobrazowe. Park Krajobrazowy </w:t>
      </w:r>
      <w:r w:rsidR="00686BAC" w:rsidRPr="001E57CD">
        <w:rPr>
          <w:rFonts w:cs="Calibri"/>
          <w:color w:val="000000" w:themeColor="text1"/>
          <w:sz w:val="24"/>
          <w:shd w:val="clear" w:color="auto" w:fill="FFFFFF"/>
        </w:rPr>
        <w:t>„</w:t>
      </w:r>
      <w:r w:rsidRPr="001E57CD">
        <w:rPr>
          <w:rFonts w:cs="Calibri"/>
          <w:color w:val="000000" w:themeColor="text1"/>
          <w:sz w:val="24"/>
          <w:shd w:val="clear" w:color="auto" w:fill="FFFFFF"/>
        </w:rPr>
        <w:t>Dolin</w:t>
      </w:r>
      <w:r w:rsidR="00686BAC" w:rsidRPr="001E57CD">
        <w:rPr>
          <w:rFonts w:cs="Calibri"/>
          <w:color w:val="000000" w:themeColor="text1"/>
          <w:sz w:val="24"/>
          <w:shd w:val="clear" w:color="auto" w:fill="FFFFFF"/>
        </w:rPr>
        <w:t>a</w:t>
      </w:r>
      <w:r w:rsidRPr="001E57CD">
        <w:rPr>
          <w:rFonts w:cs="Calibri"/>
          <w:color w:val="000000" w:themeColor="text1"/>
          <w:sz w:val="24"/>
          <w:shd w:val="clear" w:color="auto" w:fill="FFFFFF"/>
        </w:rPr>
        <w:t xml:space="preserve"> Bystrzycy</w:t>
      </w:r>
      <w:r w:rsidR="00686BAC" w:rsidRPr="001E57CD">
        <w:rPr>
          <w:rFonts w:cs="Calibri"/>
          <w:color w:val="000000" w:themeColor="text1"/>
          <w:sz w:val="24"/>
          <w:shd w:val="clear" w:color="auto" w:fill="FFFFFF"/>
        </w:rPr>
        <w:t>”</w:t>
      </w:r>
      <w:r w:rsidRPr="001E57CD">
        <w:rPr>
          <w:rFonts w:cs="Calibri"/>
          <w:color w:val="000000" w:themeColor="text1"/>
          <w:sz w:val="24"/>
          <w:shd w:val="clear" w:color="auto" w:fill="FFFFFF"/>
        </w:rPr>
        <w:t xml:space="preserve"> rozciąga się na terenach gmin WrOF: Wrocław, Sobótka, Miękinia, Kąty Wrocławskie</w:t>
      </w:r>
      <w:r w:rsidRPr="001E57CD">
        <w:rPr>
          <w:rFonts w:cs="Calibri"/>
          <w:color w:val="000000" w:themeColor="text1"/>
          <w:szCs w:val="20"/>
          <w:shd w:val="clear" w:color="auto" w:fill="FFFFFF"/>
        </w:rPr>
        <w:t xml:space="preserve">. </w:t>
      </w:r>
      <w:r w:rsidRPr="001E57CD">
        <w:rPr>
          <w:rFonts w:cs="Calibri"/>
          <w:color w:val="000000" w:themeColor="text1"/>
          <w:sz w:val="24"/>
          <w:shd w:val="clear" w:color="auto" w:fill="FFFFFF"/>
        </w:rPr>
        <w:t>Został powołany w celu ochrony doliny rzeki Bystrzycy z licznymi starorzeczami oraz zbiornika Mietków. Ślężański Park Krajobrazowy położony jest na terenie gminy Sobótka,</w:t>
      </w:r>
      <w:r w:rsidR="008F1764" w:rsidRPr="001E57CD">
        <w:rPr>
          <w:rFonts w:cs="Calibri"/>
          <w:color w:val="000000" w:themeColor="text1"/>
          <w:sz w:val="24"/>
          <w:shd w:val="clear" w:color="auto" w:fill="FFFFFF"/>
        </w:rPr>
        <w:t xml:space="preserve"> </w:t>
      </w:r>
      <w:r w:rsidRPr="001E57CD">
        <w:rPr>
          <w:rFonts w:cs="Calibri"/>
          <w:color w:val="000000" w:themeColor="text1"/>
          <w:sz w:val="24"/>
          <w:shd w:val="clear" w:color="auto" w:fill="FFFFFF"/>
        </w:rPr>
        <w:t xml:space="preserve">którego celem jest </w:t>
      </w:r>
      <w:r w:rsidRPr="001E57CD">
        <w:rPr>
          <w:rFonts w:eastAsia="Times New Roman" w:cs="Arial"/>
          <w:color w:val="000000" w:themeColor="text1"/>
          <w:sz w:val="24"/>
          <w:lang w:eastAsia="pl-PL"/>
        </w:rPr>
        <w:t xml:space="preserve">zachowanie środowiska przyrodniczo-krajobrazowego Masywu Ślęży z przyległymi </w:t>
      </w:r>
      <w:r w:rsidR="008F1764" w:rsidRPr="001E57CD">
        <w:rPr>
          <w:rFonts w:eastAsia="Times New Roman" w:cs="Arial"/>
          <w:color w:val="000000" w:themeColor="text1"/>
          <w:sz w:val="24"/>
          <w:lang w:eastAsia="pl-PL"/>
        </w:rPr>
        <w:t>g</w:t>
      </w:r>
      <w:r w:rsidRPr="001E57CD">
        <w:rPr>
          <w:rFonts w:eastAsia="Times New Roman" w:cs="Arial"/>
          <w:color w:val="000000" w:themeColor="text1"/>
          <w:sz w:val="24"/>
          <w:lang w:eastAsia="pl-PL"/>
        </w:rPr>
        <w:t>órami oraz jego zabytków archeologicznych, wartości przyrodniczo-krajobrazowych, kulturowych i historycznych</w:t>
      </w:r>
      <w:r w:rsidRPr="001E57CD">
        <w:rPr>
          <w:rFonts w:cs="Calibri"/>
          <w:color w:val="000000" w:themeColor="text1"/>
          <w:sz w:val="24"/>
          <w:shd w:val="clear" w:color="auto" w:fill="FFFFFF"/>
        </w:rPr>
        <w:t>.</w:t>
      </w:r>
      <w:r w:rsidR="008F1764" w:rsidRPr="001E57CD">
        <w:rPr>
          <w:rFonts w:cs="Calibri"/>
          <w:color w:val="000000" w:themeColor="text1"/>
          <w:sz w:val="24"/>
          <w:shd w:val="clear" w:color="auto" w:fill="FFFFFF"/>
        </w:rPr>
        <w:t xml:space="preserve"> </w:t>
      </w:r>
      <w:r w:rsidRPr="001E57CD">
        <w:rPr>
          <w:rFonts w:cs="Calibri"/>
          <w:color w:val="000000" w:themeColor="text1"/>
          <w:spacing w:val="-2"/>
          <w:sz w:val="24"/>
          <w:shd w:val="clear" w:color="auto" w:fill="FFFFFF"/>
        </w:rPr>
        <w:t>Niewielka część z zajmującego 86 336,54 hektarów Parku Krajobrazowego</w:t>
      </w:r>
      <w:r w:rsidR="008F1764" w:rsidRPr="001E57CD">
        <w:rPr>
          <w:rFonts w:cs="Calibri"/>
          <w:color w:val="000000" w:themeColor="text1"/>
          <w:spacing w:val="-2"/>
          <w:sz w:val="24"/>
          <w:shd w:val="clear" w:color="auto" w:fill="FFFFFF"/>
        </w:rPr>
        <w:t xml:space="preserve"> </w:t>
      </w:r>
      <w:r w:rsidR="00044904" w:rsidRPr="001E57CD">
        <w:rPr>
          <w:rFonts w:cs="Calibri"/>
          <w:color w:val="000000" w:themeColor="text1"/>
          <w:sz w:val="24"/>
          <w:shd w:val="clear" w:color="auto" w:fill="FFFFFF"/>
        </w:rPr>
        <w:t>„</w:t>
      </w:r>
      <w:r w:rsidRPr="001E57CD">
        <w:rPr>
          <w:rFonts w:cs="Calibri"/>
          <w:color w:val="000000" w:themeColor="text1"/>
          <w:sz w:val="24"/>
          <w:shd w:val="clear" w:color="auto" w:fill="FFFFFF"/>
        </w:rPr>
        <w:t>Dolin</w:t>
      </w:r>
      <w:r w:rsidR="00044904" w:rsidRPr="001E57CD">
        <w:rPr>
          <w:rFonts w:cs="Calibri"/>
          <w:color w:val="000000" w:themeColor="text1"/>
          <w:sz w:val="24"/>
          <w:shd w:val="clear" w:color="auto" w:fill="FFFFFF"/>
        </w:rPr>
        <w:t>a</w:t>
      </w:r>
      <w:r w:rsidRPr="001E57CD">
        <w:rPr>
          <w:rFonts w:cs="Calibri"/>
          <w:color w:val="000000" w:themeColor="text1"/>
          <w:sz w:val="24"/>
          <w:shd w:val="clear" w:color="auto" w:fill="FFFFFF"/>
        </w:rPr>
        <w:t xml:space="preserve"> Baryczy</w:t>
      </w:r>
      <w:r w:rsidR="00044904" w:rsidRPr="001E57CD">
        <w:rPr>
          <w:rFonts w:cs="Calibri"/>
          <w:color w:val="000000" w:themeColor="text1"/>
          <w:sz w:val="24"/>
          <w:shd w:val="clear" w:color="auto" w:fill="FFFFFF"/>
        </w:rPr>
        <w:t>”</w:t>
      </w:r>
      <w:r w:rsidRPr="001E57CD">
        <w:rPr>
          <w:rFonts w:cs="Calibri"/>
          <w:color w:val="000000" w:themeColor="text1"/>
          <w:sz w:val="24"/>
          <w:shd w:val="clear" w:color="auto" w:fill="FFFFFF"/>
        </w:rPr>
        <w:t xml:space="preserve">, powołanego w celu zachowania doliny rzeki Baryczy wraz z łąkami, starorzeczami i terenami podmokłymi, stawami i innymi zbiornikami wodnymi, znajduje się na terenie gminy Trzebnica. </w:t>
      </w:r>
    </w:p>
    <w:p w:rsidR="003B3B67" w:rsidRPr="001E57CD" w:rsidRDefault="003B3B67" w:rsidP="001E57CD">
      <w:pPr>
        <w:jc w:val="left"/>
        <w:rPr>
          <w:rFonts w:cs="Calibri"/>
          <w:color w:val="000000" w:themeColor="text1"/>
          <w:sz w:val="24"/>
          <w:shd w:val="clear" w:color="auto" w:fill="FFFFFF"/>
        </w:rPr>
      </w:pPr>
      <w:r w:rsidRPr="001E57CD">
        <w:rPr>
          <w:rFonts w:cs="Calibri"/>
          <w:color w:val="000000" w:themeColor="text1"/>
          <w:sz w:val="24"/>
          <w:shd w:val="clear" w:color="auto" w:fill="FFFFFF"/>
        </w:rPr>
        <w:t xml:space="preserve">Jedyny obszar chronionego krajobrazu na terenie WrOF – Wzgórza Trzebnickie, położony jest na terenie gmin: Wiszni Małej i Trzebnicy. Teren jest objęty ochroną ze względu na wyjątkowy, bardzo zróżnicowany krajobraz oraz zmienność i bogactwo ekosystemów. </w:t>
      </w:r>
    </w:p>
    <w:p w:rsidR="003B3B67" w:rsidRPr="001E57CD" w:rsidRDefault="003B3B67" w:rsidP="001E57CD">
      <w:pPr>
        <w:jc w:val="left"/>
        <w:rPr>
          <w:rFonts w:cs="Calibri"/>
          <w:color w:val="000000" w:themeColor="text1"/>
          <w:sz w:val="24"/>
          <w:shd w:val="clear" w:color="auto" w:fill="FFFFFF"/>
        </w:rPr>
      </w:pPr>
      <w:r w:rsidRPr="001E57CD">
        <w:rPr>
          <w:rFonts w:cs="Calibri"/>
          <w:color w:val="000000" w:themeColor="text1"/>
          <w:sz w:val="24"/>
          <w:shd w:val="clear" w:color="auto" w:fill="FFFFFF"/>
        </w:rPr>
        <w:t xml:space="preserve">Na analizowanym terenie WrOF występują obszary Natura 2000, w tym </w:t>
      </w:r>
      <w:r w:rsidR="008F1764" w:rsidRPr="001E57CD">
        <w:rPr>
          <w:rFonts w:cs="Calibri"/>
          <w:color w:val="000000" w:themeColor="text1"/>
          <w:sz w:val="24"/>
          <w:shd w:val="clear" w:color="auto" w:fill="FFFFFF"/>
        </w:rPr>
        <w:t>piętnaście</w:t>
      </w:r>
      <w:r w:rsidRPr="001E57CD">
        <w:rPr>
          <w:rFonts w:cs="Calibri"/>
          <w:color w:val="000000" w:themeColor="text1"/>
          <w:sz w:val="24"/>
          <w:shd w:val="clear" w:color="auto" w:fill="FFFFFF"/>
        </w:rPr>
        <w:t xml:space="preserve"> Obszarów Specjalnej Ochrony Siedlisk oraz </w:t>
      </w:r>
      <w:r w:rsidR="008F1764" w:rsidRPr="001E57CD">
        <w:rPr>
          <w:rFonts w:cs="Calibri"/>
          <w:color w:val="000000" w:themeColor="text1"/>
          <w:sz w:val="24"/>
          <w:shd w:val="clear" w:color="auto" w:fill="FFFFFF"/>
        </w:rPr>
        <w:t>trzy</w:t>
      </w:r>
      <w:r w:rsidRPr="001E57CD">
        <w:rPr>
          <w:rFonts w:cs="Calibri"/>
          <w:color w:val="000000" w:themeColor="text1"/>
          <w:sz w:val="24"/>
          <w:shd w:val="clear" w:color="auto" w:fill="FFFFFF"/>
        </w:rPr>
        <w:t xml:space="preserve"> Obszary Specjalnej Ochrony Ptaków.</w:t>
      </w:r>
      <w:r w:rsidR="008F1764" w:rsidRPr="001E57CD">
        <w:rPr>
          <w:rFonts w:cs="Calibri"/>
          <w:color w:val="000000" w:themeColor="text1"/>
          <w:sz w:val="24"/>
          <w:shd w:val="clear" w:color="auto" w:fill="FFFFFF"/>
        </w:rPr>
        <w:t xml:space="preserve"> </w:t>
      </w:r>
      <w:r w:rsidRPr="001E57CD">
        <w:rPr>
          <w:rFonts w:cs="Calibri"/>
          <w:color w:val="000000" w:themeColor="text1"/>
          <w:sz w:val="24"/>
          <w:shd w:val="clear" w:color="auto" w:fill="FFFFFF"/>
        </w:rPr>
        <w:t>Obszary Natura 2000 znajdują się na terenie wszystkich gmin WrOF, za wyjątkiem Kobierzyc oraz Żórawiny. Obszarem Natura 2000 zajmującym największy teren W</w:t>
      </w:r>
      <w:r w:rsidR="00180408">
        <w:rPr>
          <w:rFonts w:cs="Calibri"/>
          <w:color w:val="000000" w:themeColor="text1"/>
          <w:sz w:val="24"/>
          <w:shd w:val="clear" w:color="auto" w:fill="FFFFFF"/>
        </w:rPr>
        <w:t>rOF są „Grądy w Dolinie Odry” o </w:t>
      </w:r>
      <w:r w:rsidRPr="001E57CD">
        <w:rPr>
          <w:rFonts w:cs="Calibri"/>
          <w:color w:val="000000" w:themeColor="text1"/>
          <w:sz w:val="24"/>
          <w:shd w:val="clear" w:color="auto" w:fill="FFFFFF"/>
        </w:rPr>
        <w:t>powierzchni 8 756,24 ha, obejmując terytorium 7 gmin należących do WrOF. Jednakże największym Obszarem Natura 2000, który leży w granicach WrOF, jest Ostoja nad Baryczą. Jego powierzchnia równa się 82</w:t>
      </w:r>
      <w:r w:rsidR="008F1764" w:rsidRPr="001E57CD">
        <w:rPr>
          <w:rFonts w:cs="Calibri"/>
          <w:color w:val="000000" w:themeColor="text1"/>
          <w:sz w:val="24"/>
          <w:shd w:val="clear" w:color="auto" w:fill="FFFFFF"/>
        </w:rPr>
        <w:t> 026,38 </w:t>
      </w:r>
      <w:r w:rsidRPr="001E57CD">
        <w:rPr>
          <w:rFonts w:cs="Calibri"/>
          <w:color w:val="000000" w:themeColor="text1"/>
          <w:sz w:val="24"/>
          <w:shd w:val="clear" w:color="auto" w:fill="FFFFFF"/>
        </w:rPr>
        <w:t>ha</w:t>
      </w:r>
      <w:r w:rsidRPr="001E57CD">
        <w:rPr>
          <w:rStyle w:val="Odwoanieprzypisudolnego"/>
          <w:rFonts w:cs="Calibri"/>
          <w:color w:val="000000" w:themeColor="text1"/>
          <w:sz w:val="24"/>
          <w:shd w:val="clear" w:color="auto" w:fill="FFFFFF"/>
        </w:rPr>
        <w:footnoteReference w:id="51"/>
      </w:r>
      <w:r w:rsidRPr="001E57CD">
        <w:rPr>
          <w:rFonts w:cs="Calibri"/>
          <w:color w:val="000000" w:themeColor="text1"/>
          <w:sz w:val="24"/>
          <w:shd w:val="clear" w:color="auto" w:fill="FFFFFF"/>
        </w:rPr>
        <w:t xml:space="preserve"> i obejmuj</w:t>
      </w:r>
      <w:r w:rsidR="00180408">
        <w:rPr>
          <w:rFonts w:cs="Calibri"/>
          <w:color w:val="000000" w:themeColor="text1"/>
          <w:sz w:val="24"/>
          <w:shd w:val="clear" w:color="auto" w:fill="FFFFFF"/>
        </w:rPr>
        <w:t>e teren 12 gmin, w tym jednej z </w:t>
      </w:r>
      <w:r w:rsidRPr="001E57CD">
        <w:rPr>
          <w:rFonts w:cs="Calibri"/>
          <w:color w:val="000000" w:themeColor="text1"/>
          <w:sz w:val="24"/>
          <w:shd w:val="clear" w:color="auto" w:fill="FFFFFF"/>
        </w:rPr>
        <w:t>obszaru WrOF</w:t>
      </w:r>
      <w:r w:rsidR="008F1764" w:rsidRPr="001E57CD">
        <w:rPr>
          <w:rFonts w:cs="Calibri"/>
          <w:color w:val="000000" w:themeColor="text1"/>
          <w:sz w:val="24"/>
          <w:shd w:val="clear" w:color="auto" w:fill="FFFFFF"/>
        </w:rPr>
        <w:t xml:space="preserve"> –</w:t>
      </w:r>
      <w:r w:rsidRPr="001E57CD">
        <w:rPr>
          <w:rFonts w:cs="Calibri"/>
          <w:color w:val="000000" w:themeColor="text1"/>
          <w:sz w:val="24"/>
          <w:shd w:val="clear" w:color="auto" w:fill="FFFFFF"/>
        </w:rPr>
        <w:t xml:space="preserve"> Trzebnicy.</w:t>
      </w:r>
    </w:p>
    <w:p w:rsidR="003B3B67" w:rsidRPr="001E57CD" w:rsidRDefault="003B3B67" w:rsidP="001E57CD">
      <w:pPr>
        <w:jc w:val="left"/>
        <w:rPr>
          <w:rStyle w:val="Pogrubienie"/>
          <w:rFonts w:cs="Calibri"/>
          <w:b w:val="0"/>
          <w:bCs w:val="0"/>
          <w:color w:val="000000" w:themeColor="text1"/>
          <w:sz w:val="24"/>
          <w:shd w:val="clear" w:color="auto" w:fill="FFFFFF"/>
        </w:rPr>
      </w:pPr>
      <w:r w:rsidRPr="001E57CD">
        <w:rPr>
          <w:rFonts w:cs="Calibri"/>
          <w:color w:val="000000" w:themeColor="text1"/>
          <w:sz w:val="24"/>
          <w:shd w:val="clear" w:color="auto" w:fill="FFFFFF"/>
        </w:rPr>
        <w:t>Na terenie Wrocławia znajduje się Szczytnicki Zespół Przyrodniczo-Krajobrazowy. To</w:t>
      </w:r>
      <w:r w:rsidRPr="001E57CD">
        <w:rPr>
          <w:rFonts w:cs="Calibri"/>
          <w:b/>
          <w:color w:val="000000" w:themeColor="text1"/>
          <w:sz w:val="24"/>
          <w:shd w:val="clear" w:color="auto" w:fill="FFFFFF"/>
        </w:rPr>
        <w:t> </w:t>
      </w:r>
      <w:r w:rsidRPr="001E57CD">
        <w:rPr>
          <w:rFonts w:cs="Calibri"/>
          <w:color w:val="000000" w:themeColor="text1"/>
          <w:sz w:val="24"/>
          <w:shd w:val="clear" w:color="auto" w:fill="FFFFFF"/>
        </w:rPr>
        <w:t>j</w:t>
      </w:r>
      <w:r w:rsidRPr="001E57CD">
        <w:rPr>
          <w:rStyle w:val="Pogrubienie"/>
          <w:rFonts w:cs="Calibri"/>
          <w:b w:val="0"/>
          <w:color w:val="000000" w:themeColor="text1"/>
          <w:sz w:val="24"/>
          <w:shd w:val="clear" w:color="auto" w:fill="FFFFFF"/>
        </w:rPr>
        <w:t>edyny tego typu obszar w obrębie stolicy Dolnego Śląska, który obejmuje zarówno niezwykłe budowle (Hala Stulecia, ZOO, Pawilon Czterech Kopuł), jak i rozległe kompleksy parkowe, tereny zieleni urządzonej i cennych łąk</w:t>
      </w:r>
      <w:r w:rsidR="000D63CE" w:rsidRPr="001E57CD">
        <w:rPr>
          <w:rStyle w:val="Pogrubienie"/>
          <w:rFonts w:cs="Calibri"/>
          <w:b w:val="0"/>
          <w:color w:val="000000" w:themeColor="text1"/>
          <w:sz w:val="24"/>
          <w:shd w:val="clear" w:color="auto" w:fill="FFFFFF"/>
        </w:rPr>
        <w:t xml:space="preserve">. </w:t>
      </w:r>
      <w:r w:rsidRPr="001E57CD">
        <w:rPr>
          <w:rStyle w:val="Pogrubienie"/>
          <w:rFonts w:cs="Calibri"/>
          <w:b w:val="0"/>
          <w:color w:val="000000" w:themeColor="text1"/>
          <w:sz w:val="24"/>
          <w:shd w:val="clear" w:color="auto" w:fill="FFFFFF"/>
        </w:rPr>
        <w:t xml:space="preserve">Ze względu na zmiany prawne uchylone zostały nakazy i zakazy odnoszące się do obszaru Szczytnickiego Zespołu Przyrodniczo-Krajobrazowego, które ustalone były w uchwale Rady Miejskiej. Drugim zespołem przyrodniczo-krajobrazowym znajdującym się na obszarze WrOF jest zespół Skalna zlokalizowany na terenie gminy Sobótka. Zespół został ustanowiony w celu zachowania unikalnych walorów geologicznych, przyrodniczych i krajobrazowych. Obejmuje on liczne formacje skalne: skalne baszty, bramy i ogromne blokowiska </w:t>
      </w:r>
      <w:proofErr w:type="spellStart"/>
      <w:r w:rsidRPr="001E57CD">
        <w:rPr>
          <w:rStyle w:val="Pogrubienie"/>
          <w:rFonts w:cs="Calibri"/>
          <w:b w:val="0"/>
          <w:color w:val="000000" w:themeColor="text1"/>
          <w:sz w:val="24"/>
          <w:shd w:val="clear" w:color="auto" w:fill="FFFFFF"/>
        </w:rPr>
        <w:t>gabrowych</w:t>
      </w:r>
      <w:proofErr w:type="spellEnd"/>
      <w:r w:rsidRPr="001E57CD">
        <w:rPr>
          <w:rStyle w:val="Pogrubienie"/>
          <w:rFonts w:cs="Calibri"/>
          <w:b w:val="0"/>
          <w:color w:val="000000" w:themeColor="text1"/>
          <w:sz w:val="24"/>
          <w:shd w:val="clear" w:color="auto" w:fill="FFFFFF"/>
        </w:rPr>
        <w:t xml:space="preserve"> głazów. Na jego terenie znajduje się punkt widokowy, z którego rozpościera się panorama na Sudety Zachodnie i częściowo Sudety Środkowe.</w:t>
      </w:r>
    </w:p>
    <w:p w:rsidR="003B3B67" w:rsidRPr="001E57CD" w:rsidRDefault="003B3B67" w:rsidP="001E57CD">
      <w:pPr>
        <w:jc w:val="left"/>
        <w:rPr>
          <w:rFonts w:cs="Calibri"/>
          <w:color w:val="000000" w:themeColor="text1"/>
          <w:sz w:val="24"/>
          <w:shd w:val="clear" w:color="auto" w:fill="FFFFFF"/>
        </w:rPr>
      </w:pPr>
      <w:r w:rsidRPr="001E57CD">
        <w:rPr>
          <w:rFonts w:cs="Calibri"/>
          <w:color w:val="000000" w:themeColor="text1"/>
          <w:sz w:val="24"/>
          <w:shd w:val="clear" w:color="auto" w:fill="FFFFFF"/>
        </w:rPr>
        <w:t xml:space="preserve">Na terenie WrOF mieści się </w:t>
      </w:r>
      <w:r w:rsidR="008F1764" w:rsidRPr="001E57CD">
        <w:rPr>
          <w:rFonts w:cs="Calibri"/>
          <w:color w:val="000000" w:themeColor="text1"/>
          <w:sz w:val="24"/>
          <w:shd w:val="clear" w:color="auto" w:fill="FFFFFF"/>
        </w:rPr>
        <w:t>dziewiętnaście</w:t>
      </w:r>
      <w:r w:rsidRPr="001E57CD">
        <w:rPr>
          <w:rFonts w:cs="Calibri"/>
          <w:color w:val="000000" w:themeColor="text1"/>
          <w:sz w:val="24"/>
          <w:shd w:val="clear" w:color="auto" w:fill="FFFFFF"/>
        </w:rPr>
        <w:t xml:space="preserve"> użytków ekologicznych. Większość z nich to siedliska przyrodnicze i stanowiska rzadkich lub chronionych gatunków. Największe z nich</w:t>
      </w:r>
      <w:r w:rsidR="000A00D1" w:rsidRPr="001E57CD">
        <w:rPr>
          <w:rFonts w:cs="Calibri"/>
          <w:color w:val="000000" w:themeColor="text1"/>
          <w:sz w:val="24"/>
          <w:shd w:val="clear" w:color="auto" w:fill="FFFFFF"/>
        </w:rPr>
        <w:t xml:space="preserve"> to</w:t>
      </w:r>
      <w:r w:rsidRPr="001E57CD">
        <w:rPr>
          <w:rFonts w:cs="Calibri"/>
          <w:color w:val="000000" w:themeColor="text1"/>
          <w:sz w:val="24"/>
          <w:shd w:val="clear" w:color="auto" w:fill="FFFFFF"/>
        </w:rPr>
        <w:t xml:space="preserve">: Olsy </w:t>
      </w:r>
      <w:proofErr w:type="spellStart"/>
      <w:r w:rsidRPr="001E57CD">
        <w:rPr>
          <w:rFonts w:cs="Calibri"/>
          <w:color w:val="000000" w:themeColor="text1"/>
          <w:sz w:val="24"/>
          <w:shd w:val="clear" w:color="auto" w:fill="FFFFFF"/>
        </w:rPr>
        <w:t>Sokołowickie</w:t>
      </w:r>
      <w:proofErr w:type="spellEnd"/>
      <w:r w:rsidRPr="001E57CD">
        <w:rPr>
          <w:rFonts w:cs="Calibri"/>
          <w:color w:val="000000" w:themeColor="text1"/>
          <w:sz w:val="24"/>
          <w:shd w:val="clear" w:color="auto" w:fill="FFFFFF"/>
        </w:rPr>
        <w:t xml:space="preserve"> (77,98 ha) i Las </w:t>
      </w:r>
      <w:proofErr w:type="spellStart"/>
      <w:r w:rsidRPr="001E57CD">
        <w:rPr>
          <w:rFonts w:cs="Calibri"/>
          <w:color w:val="000000" w:themeColor="text1"/>
          <w:sz w:val="24"/>
          <w:shd w:val="clear" w:color="auto" w:fill="FFFFFF"/>
        </w:rPr>
        <w:t>Boguszycki</w:t>
      </w:r>
      <w:proofErr w:type="spellEnd"/>
      <w:r w:rsidRPr="001E57CD">
        <w:rPr>
          <w:rFonts w:cs="Calibri"/>
          <w:color w:val="000000" w:themeColor="text1"/>
          <w:sz w:val="24"/>
          <w:shd w:val="clear" w:color="auto" w:fill="FFFFFF"/>
        </w:rPr>
        <w:t xml:space="preserve"> (70,27 ha) </w:t>
      </w:r>
      <w:r w:rsidR="008F1764" w:rsidRPr="001E57CD">
        <w:rPr>
          <w:rFonts w:cs="Calibri"/>
          <w:color w:val="000000" w:themeColor="text1"/>
          <w:sz w:val="24"/>
          <w:shd w:val="clear" w:color="auto" w:fill="FFFFFF"/>
        </w:rPr>
        <w:t xml:space="preserve">są </w:t>
      </w:r>
      <w:r w:rsidRPr="001E57CD">
        <w:rPr>
          <w:rFonts w:cs="Calibri"/>
          <w:color w:val="000000" w:themeColor="text1"/>
          <w:sz w:val="24"/>
          <w:shd w:val="clear" w:color="auto" w:fill="FFFFFF"/>
        </w:rPr>
        <w:t>zlokalizowane w Oleśnicy (gmina wiejska). Mimo różnorodności form ochrony przyrody we WrOF, na jego terenie znajduje się tylko jedno stanowisko dokumentacyjne – Lessy Winnej Góry w gminie Trzebnica.</w:t>
      </w:r>
    </w:p>
    <w:p w:rsidR="00E40F6F" w:rsidRPr="001E57CD" w:rsidRDefault="000D63CE" w:rsidP="001E57CD">
      <w:pPr>
        <w:jc w:val="left"/>
        <w:rPr>
          <w:rFonts w:cs="Calibri"/>
          <w:color w:val="000000" w:themeColor="text1"/>
          <w:sz w:val="24"/>
        </w:rPr>
      </w:pPr>
      <w:r w:rsidRPr="001E57CD">
        <w:rPr>
          <w:rFonts w:cs="Calibri"/>
          <w:color w:val="000000" w:themeColor="text1"/>
          <w:sz w:val="24"/>
        </w:rPr>
        <w:t>Ponadto n</w:t>
      </w:r>
      <w:r w:rsidR="00E40F6F" w:rsidRPr="001E57CD">
        <w:rPr>
          <w:rFonts w:cs="Calibri"/>
          <w:color w:val="000000" w:themeColor="text1"/>
          <w:sz w:val="24"/>
        </w:rPr>
        <w:t xml:space="preserve">a terenie każdej z gmin wchodzących w skład WrOF znajdują się pomniki przyrody. Najczęściej są to drzewa, wśród których dominującym gatunkiem jest dąb szypułkowy, występujący sam lub w alejach. Na terenie gmin: Jelcz-Laskowice, Siechnice oraz Oborniki Śląskie występują pomniki przyrody w formie głazów narzutowych. Także we Wrocławiu </w:t>
      </w:r>
      <w:r w:rsidRPr="001E57CD">
        <w:rPr>
          <w:rFonts w:cs="Calibri"/>
          <w:color w:val="000000" w:themeColor="text1"/>
          <w:sz w:val="24"/>
        </w:rPr>
        <w:t xml:space="preserve">oprócz drzew </w:t>
      </w:r>
      <w:r w:rsidR="00E40F6F" w:rsidRPr="001E57CD">
        <w:rPr>
          <w:rFonts w:cs="Calibri"/>
          <w:color w:val="000000" w:themeColor="text1"/>
          <w:sz w:val="24"/>
        </w:rPr>
        <w:t>zlokalizowane są</w:t>
      </w:r>
      <w:r w:rsidR="008F1764" w:rsidRPr="001E57CD">
        <w:rPr>
          <w:rFonts w:cs="Calibri"/>
          <w:color w:val="000000" w:themeColor="text1"/>
          <w:sz w:val="24"/>
        </w:rPr>
        <w:t xml:space="preserve"> </w:t>
      </w:r>
      <w:r w:rsidR="00E40F6F" w:rsidRPr="001E57CD">
        <w:rPr>
          <w:rFonts w:cs="Calibri"/>
          <w:color w:val="000000" w:themeColor="text1"/>
          <w:sz w:val="24"/>
        </w:rPr>
        <w:t xml:space="preserve">pomniki przyrody w postaci: </w:t>
      </w:r>
      <w:r w:rsidR="00E40F6F" w:rsidRPr="001E57CD">
        <w:rPr>
          <w:rFonts w:cs="Calibri"/>
          <w:color w:val="000000" w:themeColor="text1"/>
          <w:sz w:val="24"/>
          <w:shd w:val="clear" w:color="auto" w:fill="FFFFFF"/>
        </w:rPr>
        <w:t>Skamieniałych pni czy Bluszczu pospolitego.</w:t>
      </w:r>
      <w:r w:rsidR="00E40F6F" w:rsidRPr="001E57CD">
        <w:rPr>
          <w:rFonts w:cs="Calibri"/>
          <w:color w:val="000000" w:themeColor="text1"/>
          <w:sz w:val="24"/>
        </w:rPr>
        <w:t xml:space="preserve"> Najwięcej pomników przyrody znajduje się na terenie Wrocławia</w:t>
      </w:r>
      <w:r w:rsidR="00966808" w:rsidRPr="001E57CD">
        <w:rPr>
          <w:rFonts w:cs="Calibri"/>
          <w:color w:val="000000" w:themeColor="text1"/>
          <w:sz w:val="24"/>
        </w:rPr>
        <w:t>–</w:t>
      </w:r>
      <w:r w:rsidR="00E40F6F" w:rsidRPr="001E57CD">
        <w:rPr>
          <w:rFonts w:cs="Calibri"/>
          <w:color w:val="000000" w:themeColor="text1"/>
          <w:sz w:val="24"/>
        </w:rPr>
        <w:t xml:space="preserve"> 111</w:t>
      </w:r>
      <w:r w:rsidR="00E40F6F" w:rsidRPr="001E57CD">
        <w:rPr>
          <w:rStyle w:val="Odwoanieprzypisudolnego"/>
          <w:rFonts w:cs="Calibri"/>
          <w:color w:val="000000" w:themeColor="text1"/>
          <w:sz w:val="24"/>
        </w:rPr>
        <w:footnoteReference w:id="52"/>
      </w:r>
      <w:r w:rsidR="00966808" w:rsidRPr="001E57CD">
        <w:rPr>
          <w:rFonts w:cs="Calibri"/>
          <w:color w:val="000000" w:themeColor="text1"/>
          <w:sz w:val="24"/>
        </w:rPr>
        <w:t xml:space="preserve"> oraz</w:t>
      </w:r>
      <w:r w:rsidR="00E40F6F" w:rsidRPr="001E57CD">
        <w:rPr>
          <w:rFonts w:cs="Calibri"/>
          <w:color w:val="000000" w:themeColor="text1"/>
          <w:sz w:val="24"/>
        </w:rPr>
        <w:t xml:space="preserve"> Trzebnicy– 96. </w:t>
      </w:r>
    </w:p>
    <w:p w:rsidR="007D07F9" w:rsidRPr="001E57CD" w:rsidRDefault="00E40F6F" w:rsidP="001E57CD">
      <w:pPr>
        <w:spacing w:after="0"/>
        <w:jc w:val="left"/>
        <w:rPr>
          <w:rFonts w:cs="Calibri"/>
          <w:color w:val="000000" w:themeColor="text1"/>
          <w:sz w:val="24"/>
        </w:rPr>
      </w:pPr>
      <w:r w:rsidRPr="001E57CD">
        <w:rPr>
          <w:rFonts w:cs="Calibri"/>
          <w:color w:val="000000" w:themeColor="text1"/>
          <w:sz w:val="24"/>
        </w:rPr>
        <w:t xml:space="preserve">W przestrzeni przyrodniczej ważną rolę spełniają </w:t>
      </w:r>
      <w:r w:rsidR="000D63CE" w:rsidRPr="001E57CD">
        <w:rPr>
          <w:rFonts w:cs="Calibri"/>
          <w:color w:val="000000" w:themeColor="text1"/>
          <w:sz w:val="24"/>
        </w:rPr>
        <w:t xml:space="preserve">również </w:t>
      </w:r>
      <w:r w:rsidRPr="001E57CD">
        <w:rPr>
          <w:rFonts w:cs="Calibri"/>
          <w:color w:val="000000" w:themeColor="text1"/>
          <w:sz w:val="24"/>
        </w:rPr>
        <w:t>korytarze ekologiczne. Ich system obejmuje przede wszystkim doliny i pradoliny rzek, którymi mogą przemies</w:t>
      </w:r>
      <w:r w:rsidR="002F7F15" w:rsidRPr="001E57CD">
        <w:rPr>
          <w:rFonts w:cs="Calibri"/>
          <w:color w:val="000000" w:themeColor="text1"/>
          <w:sz w:val="24"/>
        </w:rPr>
        <w:t>zczać się organizmy zwierzęce i </w:t>
      </w:r>
      <w:r w:rsidRPr="001E57CD">
        <w:rPr>
          <w:rFonts w:cs="Calibri"/>
          <w:color w:val="000000" w:themeColor="text1"/>
          <w:sz w:val="24"/>
        </w:rPr>
        <w:t xml:space="preserve">diaspory roślinne. Korytarze obejmują również rozległe tereny (np. lasy, duże kompleksy łąk, bagien), w których skupia się zasadnicza część różnorodności biologicznej. Aby spełniać swoją funkcję, korytarze ekologiczne muszą tworzyć sieć powiązanych przestrzennie obszarów. </w:t>
      </w:r>
    </w:p>
    <w:p w:rsidR="00E40F6F" w:rsidRPr="001E57CD" w:rsidRDefault="00E40F6F" w:rsidP="001E57CD">
      <w:pPr>
        <w:spacing w:after="0"/>
        <w:jc w:val="left"/>
        <w:rPr>
          <w:rFonts w:cs="Calibri"/>
          <w:color w:val="000000" w:themeColor="text1"/>
          <w:sz w:val="24"/>
        </w:rPr>
      </w:pPr>
      <w:r w:rsidRPr="001E57CD">
        <w:rPr>
          <w:rFonts w:cs="Calibri"/>
          <w:color w:val="000000" w:themeColor="text1"/>
          <w:sz w:val="24"/>
        </w:rPr>
        <w:t>Przez teren WrOF przebiegają następujące korytarze ekologiczne:</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 xml:space="preserve">Dolina Odry Środkowej </w:t>
      </w:r>
      <w:r w:rsidRPr="001E57CD">
        <w:rPr>
          <w:rFonts w:cs="Calibri"/>
          <w:color w:val="000000" w:themeColor="text1"/>
          <w:sz w:val="24"/>
        </w:rPr>
        <w:t>KPdC-19A,</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 xml:space="preserve">Wzgórza Trzebnickie </w:t>
      </w:r>
      <w:r w:rsidRPr="001E57CD">
        <w:rPr>
          <w:rFonts w:cs="Calibri"/>
          <w:color w:val="000000" w:themeColor="text1"/>
          <w:sz w:val="24"/>
        </w:rPr>
        <w:t>KPdC-18B,</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Wzgórza Trzebnickie - Bory Stobrawskie</w:t>
      </w:r>
      <w:r w:rsidRPr="001E57CD">
        <w:rPr>
          <w:rFonts w:cs="Calibri"/>
          <w:color w:val="000000" w:themeColor="text1"/>
          <w:sz w:val="24"/>
        </w:rPr>
        <w:t>KPdC-12C,</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 xml:space="preserve">Las Lubszański </w:t>
      </w:r>
      <w:r w:rsidRPr="001E57CD">
        <w:rPr>
          <w:rFonts w:cs="Calibri"/>
          <w:color w:val="000000" w:themeColor="text1"/>
          <w:sz w:val="24"/>
        </w:rPr>
        <w:t>KPdC-12B,</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 xml:space="preserve">Stawy Milickie </w:t>
      </w:r>
      <w:r w:rsidRPr="001E57CD">
        <w:rPr>
          <w:rFonts w:cs="Calibri"/>
          <w:color w:val="000000" w:themeColor="text1"/>
          <w:sz w:val="24"/>
        </w:rPr>
        <w:t>GKPdC-17,</w:t>
      </w:r>
    </w:p>
    <w:p w:rsidR="00E40F6F" w:rsidRPr="001E57CD" w:rsidRDefault="00E40F6F" w:rsidP="001E57CD">
      <w:pPr>
        <w:pStyle w:val="Akapitzlist"/>
        <w:numPr>
          <w:ilvl w:val="0"/>
          <w:numId w:val="17"/>
        </w:numPr>
        <w:jc w:val="left"/>
        <w:rPr>
          <w:rFonts w:cs="Calibri"/>
          <w:color w:val="000000" w:themeColor="text1"/>
          <w:sz w:val="24"/>
        </w:rPr>
      </w:pPr>
      <w:r w:rsidRPr="001E57CD">
        <w:rPr>
          <w:color w:val="000000" w:themeColor="text1"/>
          <w:sz w:val="24"/>
        </w:rPr>
        <w:t>Stawy Milickie - Bory Stobrawskie</w:t>
      </w:r>
      <w:r w:rsidRPr="001E57CD">
        <w:rPr>
          <w:rFonts w:cs="Calibri"/>
          <w:color w:val="000000" w:themeColor="text1"/>
          <w:sz w:val="24"/>
        </w:rPr>
        <w:t>GKPdC-14.</w:t>
      </w:r>
    </w:p>
    <w:p w:rsidR="00E40F6F" w:rsidRPr="001E57CD" w:rsidRDefault="00E40F6F" w:rsidP="001E57CD">
      <w:pPr>
        <w:jc w:val="left"/>
        <w:rPr>
          <w:color w:val="000000" w:themeColor="text1"/>
          <w:sz w:val="24"/>
        </w:rPr>
      </w:pPr>
      <w:r w:rsidRPr="001E57CD">
        <w:rPr>
          <w:color w:val="000000" w:themeColor="text1"/>
          <w:sz w:val="24"/>
        </w:rPr>
        <w:t xml:space="preserve">Korytarz ekologiczny Bory </w:t>
      </w:r>
      <w:proofErr w:type="spellStart"/>
      <w:r w:rsidRPr="001E57CD">
        <w:rPr>
          <w:color w:val="000000" w:themeColor="text1"/>
          <w:sz w:val="24"/>
        </w:rPr>
        <w:t>Stobrawskie</w:t>
      </w:r>
      <w:proofErr w:type="spellEnd"/>
      <w:r w:rsidRPr="001E57CD">
        <w:rPr>
          <w:color w:val="000000" w:themeColor="text1"/>
          <w:sz w:val="24"/>
        </w:rPr>
        <w:t xml:space="preserve"> nie wchodzi s</w:t>
      </w:r>
      <w:r w:rsidR="001D1207">
        <w:rPr>
          <w:color w:val="000000" w:themeColor="text1"/>
          <w:sz w:val="24"/>
        </w:rPr>
        <w:t>woim zasięgiem na teren WrOF, a </w:t>
      </w:r>
      <w:r w:rsidRPr="001E57CD">
        <w:rPr>
          <w:color w:val="000000" w:themeColor="text1"/>
          <w:sz w:val="24"/>
        </w:rPr>
        <w:t xml:space="preserve">jedynie łączy korytarze Wzgórza Trzebnickie - Bory </w:t>
      </w:r>
      <w:proofErr w:type="spellStart"/>
      <w:r w:rsidRPr="001E57CD">
        <w:rPr>
          <w:color w:val="000000" w:themeColor="text1"/>
          <w:sz w:val="24"/>
        </w:rPr>
        <w:t>Stobrawskie</w:t>
      </w:r>
      <w:proofErr w:type="spellEnd"/>
      <w:r w:rsidRPr="001E57CD">
        <w:rPr>
          <w:color w:val="000000" w:themeColor="text1"/>
          <w:sz w:val="24"/>
        </w:rPr>
        <w:t xml:space="preserve"> KPdC-12C i Las Lubszański KPdC-12B.</w:t>
      </w:r>
    </w:p>
    <w:p w:rsidR="00E40F6F" w:rsidRPr="001E57CD" w:rsidRDefault="00E40F6F" w:rsidP="001E57CD">
      <w:pPr>
        <w:jc w:val="left"/>
        <w:rPr>
          <w:color w:val="000000" w:themeColor="text1"/>
          <w:sz w:val="24"/>
        </w:rPr>
      </w:pPr>
      <w:r w:rsidRPr="001E57CD">
        <w:rPr>
          <w:color w:val="000000" w:themeColor="text1"/>
          <w:sz w:val="24"/>
        </w:rPr>
        <w:t>Ważne lokalne korytarze ekologiczne oraz siedliska zwierząt st</w:t>
      </w:r>
      <w:r w:rsidR="00F258FA" w:rsidRPr="001E57CD">
        <w:rPr>
          <w:color w:val="000000" w:themeColor="text1"/>
          <w:sz w:val="24"/>
        </w:rPr>
        <w:t xml:space="preserve">anowią zalesienia zlokalizowane </w:t>
      </w:r>
      <w:r w:rsidRPr="001E57CD">
        <w:rPr>
          <w:color w:val="000000" w:themeColor="text1"/>
          <w:sz w:val="24"/>
        </w:rPr>
        <w:t>w dolinach rzek Odr</w:t>
      </w:r>
      <w:r w:rsidR="000D63CE" w:rsidRPr="001E57CD">
        <w:rPr>
          <w:color w:val="000000" w:themeColor="text1"/>
          <w:sz w:val="24"/>
        </w:rPr>
        <w:t>y</w:t>
      </w:r>
      <w:r w:rsidRPr="001E57CD">
        <w:rPr>
          <w:color w:val="000000" w:themeColor="text1"/>
          <w:sz w:val="24"/>
        </w:rPr>
        <w:t>, Oław</w:t>
      </w:r>
      <w:r w:rsidR="000D63CE" w:rsidRPr="001E57CD">
        <w:rPr>
          <w:color w:val="000000" w:themeColor="text1"/>
          <w:sz w:val="24"/>
        </w:rPr>
        <w:t>y</w:t>
      </w:r>
      <w:r w:rsidRPr="001E57CD">
        <w:rPr>
          <w:color w:val="000000" w:themeColor="text1"/>
          <w:sz w:val="24"/>
        </w:rPr>
        <w:t>, Widaw</w:t>
      </w:r>
      <w:r w:rsidR="000D63CE" w:rsidRPr="001E57CD">
        <w:rPr>
          <w:color w:val="000000" w:themeColor="text1"/>
          <w:sz w:val="24"/>
        </w:rPr>
        <w:t>y</w:t>
      </w:r>
      <w:r w:rsidRPr="001E57CD">
        <w:rPr>
          <w:color w:val="000000" w:themeColor="text1"/>
          <w:sz w:val="24"/>
        </w:rPr>
        <w:t xml:space="preserve"> i Bystrzyc</w:t>
      </w:r>
      <w:r w:rsidR="000D63CE" w:rsidRPr="001E57CD">
        <w:rPr>
          <w:color w:val="000000" w:themeColor="text1"/>
          <w:sz w:val="24"/>
        </w:rPr>
        <w:t>y</w:t>
      </w:r>
      <w:r w:rsidRPr="001E57CD">
        <w:rPr>
          <w:color w:val="000000" w:themeColor="text1"/>
          <w:sz w:val="24"/>
        </w:rPr>
        <w:t>.</w:t>
      </w:r>
    </w:p>
    <w:p w:rsidR="007D07F9" w:rsidRPr="001E57CD" w:rsidRDefault="00E40F6F" w:rsidP="001E57CD">
      <w:pPr>
        <w:spacing w:after="0"/>
        <w:jc w:val="left"/>
        <w:rPr>
          <w:rFonts w:cs="Calibri"/>
          <w:color w:val="000000" w:themeColor="text1"/>
          <w:sz w:val="24"/>
        </w:rPr>
      </w:pPr>
      <w:r w:rsidRPr="001E57CD">
        <w:rPr>
          <w:rFonts w:cs="Calibri"/>
          <w:color w:val="000000" w:themeColor="text1"/>
          <w:sz w:val="24"/>
        </w:rPr>
        <w:t xml:space="preserve">Z punktu widzenia zachowania różnorodności biologicznej niezbędne jest utrzymanie ciągłości korytarzy ekologicznych. Ważne jest także uwzględnienie lokalnych korytarzy </w:t>
      </w:r>
      <w:r w:rsidR="00760A34" w:rsidRPr="001E57CD">
        <w:rPr>
          <w:rFonts w:cs="Calibri"/>
          <w:color w:val="000000" w:themeColor="text1"/>
          <w:sz w:val="24"/>
        </w:rPr>
        <w:t>występujących na </w:t>
      </w:r>
      <w:r w:rsidRPr="001E57CD">
        <w:rPr>
          <w:rFonts w:cs="Calibri"/>
          <w:color w:val="000000" w:themeColor="text1"/>
          <w:sz w:val="24"/>
        </w:rPr>
        <w:t>terenie wszystkich gmin WrOF</w:t>
      </w:r>
      <w:r w:rsidR="008F1764" w:rsidRPr="001E57CD">
        <w:rPr>
          <w:rFonts w:cs="Calibri"/>
          <w:color w:val="000000" w:themeColor="text1"/>
          <w:sz w:val="24"/>
        </w:rPr>
        <w:t xml:space="preserve"> </w:t>
      </w:r>
      <w:r w:rsidRPr="001E57CD">
        <w:rPr>
          <w:rFonts w:cs="Calibri"/>
          <w:color w:val="000000" w:themeColor="text1"/>
          <w:sz w:val="24"/>
        </w:rPr>
        <w:t xml:space="preserve">(tj. </w:t>
      </w:r>
      <w:proofErr w:type="spellStart"/>
      <w:r w:rsidRPr="001E57CD">
        <w:rPr>
          <w:rFonts w:cs="Calibri"/>
          <w:color w:val="000000" w:themeColor="text1"/>
          <w:sz w:val="24"/>
        </w:rPr>
        <w:t>zakrzewień</w:t>
      </w:r>
      <w:proofErr w:type="spellEnd"/>
      <w:r w:rsidRPr="001E57CD">
        <w:rPr>
          <w:rFonts w:cs="Calibri"/>
          <w:color w:val="000000" w:themeColor="text1"/>
          <w:sz w:val="24"/>
        </w:rPr>
        <w:t xml:space="preserve">, </w:t>
      </w:r>
      <w:proofErr w:type="spellStart"/>
      <w:r w:rsidRPr="001E57CD">
        <w:rPr>
          <w:rFonts w:cs="Calibri"/>
          <w:color w:val="000000" w:themeColor="text1"/>
          <w:sz w:val="24"/>
        </w:rPr>
        <w:t>zadrzewień</w:t>
      </w:r>
      <w:proofErr w:type="spellEnd"/>
      <w:r w:rsidRPr="001E57CD">
        <w:rPr>
          <w:rFonts w:cs="Calibri"/>
          <w:color w:val="000000" w:themeColor="text1"/>
          <w:sz w:val="24"/>
        </w:rPr>
        <w:t>, połaci wysokich traw), które umożliwiają migrację niewielkich zwierząt.</w:t>
      </w:r>
      <w:r w:rsidR="008F1764" w:rsidRPr="001E57CD">
        <w:rPr>
          <w:rFonts w:cs="Calibri"/>
          <w:color w:val="000000" w:themeColor="text1"/>
          <w:sz w:val="24"/>
        </w:rPr>
        <w:t xml:space="preserve"> </w:t>
      </w:r>
      <w:r w:rsidRPr="001E57CD">
        <w:rPr>
          <w:rFonts w:cs="Calibri"/>
          <w:color w:val="000000" w:themeColor="text1"/>
          <w:sz w:val="24"/>
        </w:rPr>
        <w:t>Pod względem zachowania siedlisk rzecznych należy także dołożyć należytych starań ukierunkowanych na udrażnianie rze</w:t>
      </w:r>
      <w:r w:rsidR="00896807" w:rsidRPr="001E57CD">
        <w:rPr>
          <w:rFonts w:cs="Calibri"/>
          <w:color w:val="000000" w:themeColor="text1"/>
          <w:sz w:val="24"/>
        </w:rPr>
        <w:t xml:space="preserve">k i rewitalizację ich brzegów.  </w:t>
      </w:r>
      <w:r w:rsidRPr="001E57CD">
        <w:rPr>
          <w:rFonts w:cs="Calibri"/>
          <w:color w:val="000000" w:themeColor="text1"/>
          <w:sz w:val="24"/>
        </w:rPr>
        <w:t>Nieodzownym e</w:t>
      </w:r>
      <w:r w:rsidR="001D1207">
        <w:rPr>
          <w:rFonts w:cs="Calibri"/>
          <w:color w:val="000000" w:themeColor="text1"/>
          <w:sz w:val="24"/>
        </w:rPr>
        <w:t>lementem długofalowego dbania o </w:t>
      </w:r>
      <w:r w:rsidRPr="001E57CD">
        <w:rPr>
          <w:rFonts w:cs="Calibri"/>
          <w:color w:val="000000" w:themeColor="text1"/>
          <w:sz w:val="24"/>
        </w:rPr>
        <w:t xml:space="preserve">przyrodę i zachowania obszarów cennych przyrodniczo jest edukacja ekologiczna. Już dziś obserwuje się rosnącą świadomość mieszkańców, dotyczącą ogromnego znaczenia przyrody zarówno dla ludzi, jak i holistycznej równowagi ekosystemów. </w:t>
      </w:r>
    </w:p>
    <w:p w:rsidR="003D0B9E" w:rsidRPr="001E57CD" w:rsidRDefault="003D0B9E" w:rsidP="001E57CD">
      <w:pPr>
        <w:spacing w:after="0"/>
        <w:jc w:val="left"/>
        <w:rPr>
          <w:rFonts w:cs="Calibri"/>
          <w:color w:val="000000" w:themeColor="text1"/>
          <w:sz w:val="24"/>
        </w:rPr>
      </w:pPr>
      <w:bookmarkStart w:id="60" w:name="_Hlk135898866"/>
      <w:r w:rsidRPr="001E57CD">
        <w:rPr>
          <w:rFonts w:cs="Calibri"/>
          <w:color w:val="000000" w:themeColor="text1"/>
          <w:sz w:val="24"/>
        </w:rPr>
        <w:t>Należy mieć na uwadze w szczególności konieczność ochrony środowiska przyrodniczego przed negatywnym oddziaływaniem antropogenicznym, takim jak zanieczyszczanie powietrza, gleb, środowiska wodnego. Obecnie człowiek eksploatuje przyrodę na wielką skalę, co powoduje szybsze wymieranie gatunków niż w minionych epokach. Bezpowrotny zanik całego gatunku to zaburzenie ekosystemu, dlatego ochrona bioróżnorodności jest istotnym czynnikiem zachowania jego ciągłości. Odbywa się ona dwiema drogami: in situ, czyli w środowisku naturalnym danego organizmu poprzez: zakaz niszczenia, zbioru, zachowanie dotychczasowych, niezmienionych warunków środowiska, wprowadzenie gatunku na stanowiska historyczne itd. oraz ex situ, czyli poza jego środowiskiem naturalnym poprzez umieszczenie go w sztucznym środowisku np. ogrodu botanicznego, centrum ochrony gatunków lub poprzez zabezpieczenie puli ge</w:t>
      </w:r>
      <w:r w:rsidR="001D1207">
        <w:rPr>
          <w:rFonts w:cs="Calibri"/>
          <w:color w:val="000000" w:themeColor="text1"/>
          <w:sz w:val="24"/>
        </w:rPr>
        <w:t>nowej gatunku w bankach genów w </w:t>
      </w:r>
      <w:r w:rsidRPr="001E57CD">
        <w:rPr>
          <w:rFonts w:cs="Calibri"/>
          <w:color w:val="000000" w:themeColor="text1"/>
          <w:sz w:val="24"/>
        </w:rPr>
        <w:t>postaci: nasion, zarodników czy też tkanek.</w:t>
      </w:r>
    </w:p>
    <w:bookmarkEnd w:id="60"/>
    <w:p w:rsidR="000178B1" w:rsidRPr="001E57CD" w:rsidRDefault="000178B1" w:rsidP="001E57CD">
      <w:pPr>
        <w:spacing w:before="120" w:after="0"/>
        <w:jc w:val="left"/>
        <w:rPr>
          <w:rFonts w:cstheme="minorHAnsi"/>
          <w:b/>
          <w:color w:val="000000" w:themeColor="text1"/>
          <w:sz w:val="24"/>
        </w:rPr>
      </w:pPr>
      <w:r w:rsidRPr="001E57CD">
        <w:rPr>
          <w:rFonts w:cstheme="minorHAnsi"/>
          <w:b/>
          <w:color w:val="000000" w:themeColor="text1"/>
          <w:sz w:val="24"/>
        </w:rPr>
        <w:t>Tereny zieleni</w:t>
      </w:r>
    </w:p>
    <w:p w:rsidR="007D07F9" w:rsidRPr="001E57CD" w:rsidRDefault="00B76684" w:rsidP="001E57CD">
      <w:pPr>
        <w:tabs>
          <w:tab w:val="left" w:pos="2268"/>
          <w:tab w:val="left" w:pos="2410"/>
        </w:tabs>
        <w:jc w:val="left"/>
        <w:rPr>
          <w:color w:val="000000" w:themeColor="text1"/>
          <w:sz w:val="24"/>
        </w:rPr>
      </w:pPr>
      <w:r w:rsidRPr="001E57CD">
        <w:rPr>
          <w:color w:val="000000" w:themeColor="text1"/>
          <w:sz w:val="24"/>
        </w:rPr>
        <w:t>Na terenie WrOF istnieje rozbudowany system terenów zieleni (</w:t>
      </w:r>
      <w:r w:rsidR="00F258FA" w:rsidRPr="001E57CD">
        <w:rPr>
          <w:color w:val="000000" w:themeColor="text1"/>
          <w:sz w:val="24"/>
        </w:rPr>
        <w:t xml:space="preserve">„tereny urządzone </w:t>
      </w:r>
      <w:r w:rsidR="008F1764" w:rsidRPr="001E57CD">
        <w:rPr>
          <w:color w:val="000000" w:themeColor="text1"/>
          <w:sz w:val="24"/>
        </w:rPr>
        <w:t>(…), </w:t>
      </w:r>
      <w:r w:rsidR="00896807" w:rsidRPr="001E57CD">
        <w:rPr>
          <w:color w:val="000000" w:themeColor="text1"/>
          <w:sz w:val="24"/>
        </w:rPr>
        <w:t>a w </w:t>
      </w:r>
      <w:r w:rsidR="00FD2148" w:rsidRPr="001E57CD">
        <w:rPr>
          <w:color w:val="000000" w:themeColor="text1"/>
          <w:sz w:val="24"/>
        </w:rPr>
        <w:t>szczególności parki, zieleńce, promenady, bulwary, ogrody botaniczne, zoologiczne, jordanowskie i zabytkowe, cmentarze, zieleń towarzysząca drogom na terenie zabudowy, placom, zabytkowym fortyfikacjom, budynkom, składowiskom, lotniskom, dworcom kolejowym oraz obiektom przemysłowym</w:t>
      </w:r>
      <w:r w:rsidR="00FD2148" w:rsidRPr="001E57CD">
        <w:rPr>
          <w:rStyle w:val="Odwoanieprzypisudolnego"/>
          <w:color w:val="000000" w:themeColor="text1"/>
          <w:sz w:val="24"/>
        </w:rPr>
        <w:footnoteReference w:id="53"/>
      </w:r>
      <w:r w:rsidR="00FD2148" w:rsidRPr="001E57CD">
        <w:rPr>
          <w:color w:val="000000" w:themeColor="text1"/>
          <w:sz w:val="24"/>
        </w:rPr>
        <w:t>”.)</w:t>
      </w:r>
      <w:r w:rsidRPr="001E57CD">
        <w:rPr>
          <w:color w:val="000000" w:themeColor="text1"/>
          <w:sz w:val="24"/>
        </w:rPr>
        <w:t xml:space="preserve">, pełni </w:t>
      </w:r>
      <w:r w:rsidR="001D1207">
        <w:rPr>
          <w:color w:val="000000" w:themeColor="text1"/>
          <w:sz w:val="24"/>
        </w:rPr>
        <w:t>on ważną funkcję przyrodniczą i </w:t>
      </w:r>
      <w:r w:rsidRPr="001E57CD">
        <w:rPr>
          <w:color w:val="000000" w:themeColor="text1"/>
          <w:sz w:val="24"/>
        </w:rPr>
        <w:t xml:space="preserve">rekreacyjną. Ponadto system ten wpływa pozytywnie na ograniczenie zjawiska niskiej emisji. </w:t>
      </w:r>
    </w:p>
    <w:p w:rsidR="007D07F9" w:rsidRPr="001E57CD" w:rsidRDefault="00B76684" w:rsidP="001E57CD">
      <w:pPr>
        <w:tabs>
          <w:tab w:val="left" w:pos="2268"/>
          <w:tab w:val="left" w:pos="2410"/>
        </w:tabs>
        <w:jc w:val="left"/>
        <w:rPr>
          <w:color w:val="000000" w:themeColor="text1"/>
          <w:sz w:val="24"/>
        </w:rPr>
      </w:pPr>
      <w:r w:rsidRPr="001E57CD">
        <w:rPr>
          <w:color w:val="000000" w:themeColor="text1"/>
          <w:sz w:val="24"/>
        </w:rPr>
        <w:t>W skład systemu zieleni we WrOF wchodzą przede wszystkim parki, zieleńce, tereny zieleni osiedlowej, czy zieleń uliczna. W 2021 r. parki spacerowo-wypoczynkowe (blisko</w:t>
      </w:r>
      <w:r w:rsidR="008F1764" w:rsidRPr="001E57CD">
        <w:rPr>
          <w:color w:val="000000" w:themeColor="text1"/>
          <w:sz w:val="24"/>
        </w:rPr>
        <w:t xml:space="preserve"> </w:t>
      </w:r>
      <w:r w:rsidRPr="001E57CD">
        <w:rPr>
          <w:color w:val="000000" w:themeColor="text1"/>
          <w:sz w:val="24"/>
        </w:rPr>
        <w:t>100) zajmują powierzchnię ponad</w:t>
      </w:r>
      <w:r w:rsidR="008F1764" w:rsidRPr="001E57CD">
        <w:rPr>
          <w:color w:val="000000" w:themeColor="text1"/>
          <w:sz w:val="24"/>
        </w:rPr>
        <w:t xml:space="preserve"> </w:t>
      </w:r>
      <w:r w:rsidRPr="001E57CD">
        <w:rPr>
          <w:color w:val="000000" w:themeColor="text1"/>
          <w:sz w:val="24"/>
        </w:rPr>
        <w:t>1000 ha. Tereny zieleni osiedlowej oraz zieleńce zajmują powierzchnię od blisko 780 ha do 870 ha.  Duży udział stanowi również zieleń uliczna</w:t>
      </w:r>
      <w:r w:rsidR="00E53CBE" w:rsidRPr="001E57CD">
        <w:rPr>
          <w:color w:val="000000" w:themeColor="text1"/>
          <w:sz w:val="24"/>
        </w:rPr>
        <w:t xml:space="preserve"> –</w:t>
      </w:r>
      <w:r w:rsidRPr="001E57CD">
        <w:rPr>
          <w:color w:val="000000" w:themeColor="text1"/>
          <w:sz w:val="24"/>
        </w:rPr>
        <w:t xml:space="preserve"> ok. 640 ha. Na obszarze WrOF znajduje się ponadto ponad 200 cmentarzy zajmujących powierzchnię ponad 300 ha. </w:t>
      </w:r>
    </w:p>
    <w:p w:rsidR="0011436D" w:rsidRDefault="00896807" w:rsidP="00896807">
      <w:pPr>
        <w:pStyle w:val="nadWrOF"/>
      </w:pPr>
      <w:bookmarkStart w:id="61" w:name="_Toc143606962"/>
      <w:r>
        <w:t xml:space="preserve">Tabela </w:t>
      </w:r>
      <w:r w:rsidR="00C73793">
        <w:rPr>
          <w:noProof/>
        </w:rPr>
        <w:fldChar w:fldCharType="begin"/>
      </w:r>
      <w:r w:rsidR="00C244C1">
        <w:rPr>
          <w:noProof/>
        </w:rPr>
        <w:instrText xml:space="preserve"> SEQ Tabela \* ARABIC </w:instrText>
      </w:r>
      <w:r w:rsidR="00C73793">
        <w:rPr>
          <w:noProof/>
        </w:rPr>
        <w:fldChar w:fldCharType="separate"/>
      </w:r>
      <w:r w:rsidR="00C96A96">
        <w:rPr>
          <w:noProof/>
        </w:rPr>
        <w:t>5</w:t>
      </w:r>
      <w:r w:rsidR="00C73793">
        <w:rPr>
          <w:noProof/>
        </w:rPr>
        <w:fldChar w:fldCharType="end"/>
      </w:r>
      <w:r w:rsidR="00702D7A">
        <w:rPr>
          <w:noProof/>
        </w:rPr>
        <w:t xml:space="preserve"> </w:t>
      </w:r>
      <w:r w:rsidR="00B76684" w:rsidRPr="00D74575">
        <w:t>Tereny zieleni na obszarze ZIT WrOF w latach 2017-2021</w:t>
      </w:r>
      <w:bookmarkEnd w:id="61"/>
    </w:p>
    <w:tbl>
      <w:tblPr>
        <w:tblStyle w:val="Tabela-Siatka1"/>
        <w:tblW w:w="5050" w:type="pct"/>
        <w:tblLook w:val="04A0" w:firstRow="1" w:lastRow="0" w:firstColumn="1" w:lastColumn="0" w:noHBand="0" w:noVBand="1"/>
        <w:tblCaption w:val="Tereny zieleni na obszarze ZIT WrOF w latach 2017-2021"/>
        <w:tblDescription w:val="Tereny zieleni na obszarze ZIT WrOF w latach 2017-2021. Treść tabeli omwiona w tekście"/>
      </w:tblPr>
      <w:tblGrid>
        <w:gridCol w:w="2240"/>
        <w:gridCol w:w="1603"/>
        <w:gridCol w:w="1062"/>
        <w:gridCol w:w="1062"/>
        <w:gridCol w:w="1062"/>
        <w:gridCol w:w="1062"/>
        <w:gridCol w:w="1062"/>
      </w:tblGrid>
      <w:tr w:rsidR="001E57CD" w:rsidRPr="00952167" w:rsidTr="001E57CD">
        <w:trPr>
          <w:trHeight w:val="410"/>
          <w:tblHeader/>
        </w:trPr>
        <w:tc>
          <w:tcPr>
            <w:tcW w:w="2240" w:type="dxa"/>
            <w:shd w:val="clear" w:color="auto" w:fill="auto"/>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Rodzaj terenu</w:t>
            </w:r>
          </w:p>
        </w:tc>
        <w:tc>
          <w:tcPr>
            <w:tcW w:w="1603" w:type="dxa"/>
            <w:shd w:val="clear" w:color="auto" w:fill="auto"/>
            <w:vAlign w:val="center"/>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liczba</w:t>
            </w:r>
          </w:p>
        </w:tc>
        <w:tc>
          <w:tcPr>
            <w:tcW w:w="106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2017</w:t>
            </w:r>
          </w:p>
        </w:tc>
        <w:tc>
          <w:tcPr>
            <w:tcW w:w="106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2018</w:t>
            </w:r>
          </w:p>
        </w:tc>
        <w:tc>
          <w:tcPr>
            <w:tcW w:w="106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2019</w:t>
            </w:r>
          </w:p>
        </w:tc>
        <w:tc>
          <w:tcPr>
            <w:tcW w:w="106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2020</w:t>
            </w:r>
          </w:p>
        </w:tc>
        <w:tc>
          <w:tcPr>
            <w:tcW w:w="106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2021</w:t>
            </w:r>
          </w:p>
        </w:tc>
      </w:tr>
      <w:tr w:rsidR="001E57CD" w:rsidRPr="00952167" w:rsidTr="00652ACD">
        <w:trPr>
          <w:trHeight w:val="262"/>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parki spacerowo - wypoczynkowe</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obiekty [szt.]</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100</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94</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96</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97</w:t>
            </w:r>
          </w:p>
        </w:tc>
      </w:tr>
      <w:tr w:rsidR="001E57CD" w:rsidRPr="00952167" w:rsidTr="00652ACD">
        <w:trPr>
          <w:trHeight w:val="315"/>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parki spacerowo - wypoczynkowe</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1003,71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1010,62</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929,72</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1002,55</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1007,87</w:t>
            </w:r>
          </w:p>
        </w:tc>
      </w:tr>
      <w:tr w:rsidR="001E57CD" w:rsidRPr="00952167" w:rsidTr="00652ACD">
        <w:trPr>
          <w:trHeight w:val="315"/>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zieleńce</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obiekty</w:t>
            </w:r>
            <w:r>
              <w:rPr>
                <w:rFonts w:ascii="Calibri" w:eastAsia="Times New Roman" w:hAnsi="Calibri" w:cs="Times New Roman"/>
                <w:sz w:val="24"/>
                <w:szCs w:val="24"/>
                <w:lang w:eastAsia="pl-PL"/>
              </w:rPr>
              <w:t xml:space="preserve"> </w:t>
            </w:r>
            <w:r w:rsidRPr="00952167">
              <w:rPr>
                <w:rFonts w:ascii="Calibri" w:eastAsia="Times New Roman" w:hAnsi="Calibri" w:cs="Times New Roman"/>
                <w:sz w:val="24"/>
                <w:szCs w:val="24"/>
                <w:lang w:eastAsia="pl-PL"/>
              </w:rPr>
              <w:t>[szt.]</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696</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761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767</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885</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867</w:t>
            </w:r>
          </w:p>
        </w:tc>
      </w:tr>
      <w:tr w:rsidR="001E57CD" w:rsidRPr="00952167" w:rsidTr="00652ACD">
        <w:trPr>
          <w:trHeight w:val="315"/>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zieleńce</w:t>
            </w:r>
          </w:p>
        </w:tc>
        <w:tc>
          <w:tcPr>
            <w:tcW w:w="1603" w:type="dxa"/>
            <w:noWrap/>
            <w:vAlign w:val="center"/>
            <w:hideMark/>
          </w:tcPr>
          <w:p w:rsidR="001E57CD"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w:t>
            </w:r>
          </w:p>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[ha]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716,58</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846,27</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376,85</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424,83</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419,77</w:t>
            </w:r>
          </w:p>
        </w:tc>
      </w:tr>
      <w:tr w:rsidR="001E57CD" w:rsidRPr="00952167" w:rsidTr="00652ACD">
        <w:trPr>
          <w:trHeight w:val="315"/>
        </w:trPr>
        <w:tc>
          <w:tcPr>
            <w:tcW w:w="2240" w:type="dxa"/>
            <w:noWrap/>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zieleń uliczna</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636,02</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636,02</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641,93</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642,08</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641,26</w:t>
            </w:r>
          </w:p>
        </w:tc>
      </w:tr>
      <w:tr w:rsidR="001E57CD" w:rsidRPr="00952167" w:rsidTr="00652ACD">
        <w:trPr>
          <w:trHeight w:val="496"/>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tereny zieleni osiedlowej</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789,29</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752,14</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775,29</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775,11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779,82</w:t>
            </w:r>
          </w:p>
        </w:tc>
      </w:tr>
      <w:tr w:rsidR="001E57CD" w:rsidRPr="00952167" w:rsidTr="00652ACD">
        <w:trPr>
          <w:trHeight w:val="537"/>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parki, zieleńce i tereny zieleni osiedlowej</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2509,58</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2609,03</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2081,86</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2202,49</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2207,46</w:t>
            </w:r>
          </w:p>
        </w:tc>
      </w:tr>
      <w:tr w:rsidR="001E57CD" w:rsidRPr="00952167" w:rsidTr="00652ACD">
        <w:trPr>
          <w:trHeight w:val="315"/>
        </w:trPr>
        <w:tc>
          <w:tcPr>
            <w:tcW w:w="2240" w:type="dxa"/>
            <w:noWrap/>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cmentarze</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obiekty</w:t>
            </w:r>
            <w:r>
              <w:rPr>
                <w:rFonts w:ascii="Calibri" w:eastAsia="Times New Roman" w:hAnsi="Calibri" w:cs="Times New Roman"/>
                <w:sz w:val="24"/>
                <w:szCs w:val="24"/>
                <w:lang w:eastAsia="pl-PL"/>
              </w:rPr>
              <w:t xml:space="preserve"> </w:t>
            </w:r>
            <w:r w:rsidRPr="00952167">
              <w:rPr>
                <w:rFonts w:ascii="Calibri" w:eastAsia="Times New Roman" w:hAnsi="Calibri" w:cs="Times New Roman"/>
                <w:sz w:val="24"/>
                <w:szCs w:val="24"/>
                <w:lang w:eastAsia="pl-PL"/>
              </w:rPr>
              <w:t>[szt.]</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162</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197</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197</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198</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202</w:t>
            </w:r>
          </w:p>
        </w:tc>
      </w:tr>
      <w:tr w:rsidR="001E57CD" w:rsidRPr="00952167" w:rsidTr="00652ACD">
        <w:trPr>
          <w:trHeight w:val="315"/>
        </w:trPr>
        <w:tc>
          <w:tcPr>
            <w:tcW w:w="2240"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cmentarze</w:t>
            </w:r>
          </w:p>
        </w:tc>
        <w:tc>
          <w:tcPr>
            <w:tcW w:w="1603"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287,11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317,68</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318,51</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319,53</w:t>
            </w:r>
          </w:p>
        </w:tc>
        <w:tc>
          <w:tcPr>
            <w:tcW w:w="106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324,23</w:t>
            </w:r>
          </w:p>
        </w:tc>
      </w:tr>
    </w:tbl>
    <w:p w:rsidR="001E57CD" w:rsidRPr="00952167" w:rsidRDefault="001E57CD" w:rsidP="001E57CD">
      <w:pPr>
        <w:spacing w:after="0" w:line="240" w:lineRule="auto"/>
        <w:rPr>
          <w:sz w:val="2"/>
          <w:szCs w:val="2"/>
        </w:rPr>
      </w:pPr>
    </w:p>
    <w:tbl>
      <w:tblPr>
        <w:tblStyle w:val="Tabela-Siatka1"/>
        <w:tblW w:w="5081" w:type="pct"/>
        <w:tblLook w:val="04A0" w:firstRow="1" w:lastRow="0" w:firstColumn="1" w:lastColumn="0" w:noHBand="0" w:noVBand="1"/>
        <w:tblCaption w:val="Tereny zieleni na obszarze ZIT WrOF w latach 2017-2021"/>
        <w:tblDescription w:val="Tereny zieleni na obszarze ZIT WrOF w latach 2017-2021"/>
      </w:tblPr>
      <w:tblGrid>
        <w:gridCol w:w="9209"/>
      </w:tblGrid>
      <w:tr w:rsidR="001E57CD" w:rsidRPr="00952167" w:rsidTr="001E57CD">
        <w:trPr>
          <w:trHeight w:val="315"/>
          <w:tblHeader/>
        </w:trPr>
        <w:tc>
          <w:tcPr>
            <w:tcW w:w="9209" w:type="dxa"/>
            <w:shd w:val="clear" w:color="auto" w:fill="auto"/>
            <w:noWrap/>
            <w:vAlign w:val="center"/>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Tereny zieleni w gestii samorządów</w:t>
            </w:r>
          </w:p>
        </w:tc>
      </w:tr>
    </w:tbl>
    <w:p w:rsidR="001E57CD" w:rsidRPr="00952167" w:rsidRDefault="001E57CD" w:rsidP="001E57CD">
      <w:pPr>
        <w:spacing w:after="0" w:line="240" w:lineRule="auto"/>
        <w:rPr>
          <w:sz w:val="2"/>
          <w:szCs w:val="2"/>
        </w:rPr>
      </w:pPr>
    </w:p>
    <w:tbl>
      <w:tblPr>
        <w:tblStyle w:val="Tabela-Siatka1"/>
        <w:tblW w:w="5081" w:type="pct"/>
        <w:tblLook w:val="04A0" w:firstRow="1" w:lastRow="0" w:firstColumn="1" w:lastColumn="0" w:noHBand="0" w:noVBand="1"/>
        <w:tblCaption w:val="Tereny zieleni na obszarze ZIT WrOF w latach 2017-2021"/>
        <w:tblDescription w:val="Tereny zieleni na obszarze ZIT WrOF w latach 2017-2021. Treść tabeli omwiona w tekście"/>
      </w:tblPr>
      <w:tblGrid>
        <w:gridCol w:w="2263"/>
        <w:gridCol w:w="1560"/>
        <w:gridCol w:w="1134"/>
        <w:gridCol w:w="992"/>
        <w:gridCol w:w="1134"/>
        <w:gridCol w:w="992"/>
        <w:gridCol w:w="1134"/>
      </w:tblGrid>
      <w:tr w:rsidR="001E57CD" w:rsidRPr="00952167" w:rsidTr="001E57CD">
        <w:trPr>
          <w:trHeight w:val="410"/>
          <w:tblHeader/>
        </w:trPr>
        <w:tc>
          <w:tcPr>
            <w:tcW w:w="2263" w:type="dxa"/>
            <w:shd w:val="clear" w:color="auto" w:fill="auto"/>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Rodzaj terenu</w:t>
            </w:r>
          </w:p>
        </w:tc>
        <w:tc>
          <w:tcPr>
            <w:tcW w:w="1560" w:type="dxa"/>
            <w:shd w:val="clear" w:color="auto" w:fill="auto"/>
            <w:vAlign w:val="center"/>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liczba</w:t>
            </w:r>
          </w:p>
        </w:tc>
        <w:tc>
          <w:tcPr>
            <w:tcW w:w="1134"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2017</w:t>
            </w:r>
          </w:p>
        </w:tc>
        <w:tc>
          <w:tcPr>
            <w:tcW w:w="99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2018</w:t>
            </w:r>
          </w:p>
        </w:tc>
        <w:tc>
          <w:tcPr>
            <w:tcW w:w="1134"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2019</w:t>
            </w:r>
          </w:p>
        </w:tc>
        <w:tc>
          <w:tcPr>
            <w:tcW w:w="992"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2020</w:t>
            </w:r>
          </w:p>
        </w:tc>
        <w:tc>
          <w:tcPr>
            <w:tcW w:w="1134" w:type="dxa"/>
            <w:shd w:val="clear" w:color="auto" w:fill="auto"/>
            <w:vAlign w:val="center"/>
            <w:hideMark/>
          </w:tcPr>
          <w:p w:rsidR="001E57CD" w:rsidRPr="00952167" w:rsidRDefault="001E57CD" w:rsidP="00652ACD">
            <w:pPr>
              <w:spacing w:line="240" w:lineRule="auto"/>
              <w:jc w:val="left"/>
              <w:rPr>
                <w:rFonts w:ascii="Calibri" w:eastAsia="Times New Roman" w:hAnsi="Calibri" w:cs="Times New Roman"/>
                <w:color w:val="000000"/>
                <w:sz w:val="24"/>
                <w:szCs w:val="24"/>
                <w:lang w:eastAsia="pl-PL"/>
              </w:rPr>
            </w:pPr>
            <w:r w:rsidRPr="00952167">
              <w:rPr>
                <w:rFonts w:ascii="Calibri" w:eastAsia="Times New Roman" w:hAnsi="Calibri" w:cs="Times New Roman"/>
                <w:color w:val="000000"/>
                <w:sz w:val="24"/>
                <w:szCs w:val="24"/>
                <w:lang w:eastAsia="pl-PL"/>
              </w:rPr>
              <w:t>2021</w:t>
            </w:r>
          </w:p>
        </w:tc>
      </w:tr>
      <w:tr w:rsidR="001E57CD" w:rsidRPr="00952167" w:rsidTr="00652ACD">
        <w:trPr>
          <w:trHeight w:val="315"/>
        </w:trPr>
        <w:tc>
          <w:tcPr>
            <w:tcW w:w="2263"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parki spacerowo – wypoczynkowe</w:t>
            </w:r>
          </w:p>
        </w:tc>
        <w:tc>
          <w:tcPr>
            <w:tcW w:w="1560"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obiekty</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76</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77</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91</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93</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94</w:t>
            </w:r>
          </w:p>
        </w:tc>
      </w:tr>
      <w:tr w:rsidR="001E57CD" w:rsidRPr="00952167" w:rsidTr="00652ACD">
        <w:trPr>
          <w:trHeight w:val="360"/>
        </w:trPr>
        <w:tc>
          <w:tcPr>
            <w:tcW w:w="2263" w:type="dxa"/>
            <w:vAlign w:val="center"/>
            <w:hideMark/>
          </w:tcPr>
          <w:p w:rsidR="001E57CD" w:rsidRPr="00952167" w:rsidRDefault="00F25E70"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parki spacerowo – wypoczynkowe</w:t>
            </w:r>
          </w:p>
        </w:tc>
        <w:tc>
          <w:tcPr>
            <w:tcW w:w="1560"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765,46</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772,37</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920,32</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993,15</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998,47</w:t>
            </w:r>
          </w:p>
        </w:tc>
      </w:tr>
      <w:tr w:rsidR="001E57CD" w:rsidRPr="00952167" w:rsidTr="00652ACD">
        <w:trPr>
          <w:trHeight w:val="315"/>
        </w:trPr>
        <w:tc>
          <w:tcPr>
            <w:tcW w:w="2263"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zieleńce</w:t>
            </w:r>
          </w:p>
        </w:tc>
        <w:tc>
          <w:tcPr>
            <w:tcW w:w="1560"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obiekty</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477</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488</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757</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875</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867</w:t>
            </w:r>
          </w:p>
        </w:tc>
      </w:tr>
      <w:tr w:rsidR="001E57CD" w:rsidRPr="00952167" w:rsidTr="00652ACD">
        <w:trPr>
          <w:trHeight w:val="315"/>
        </w:trPr>
        <w:tc>
          <w:tcPr>
            <w:tcW w:w="2263" w:type="dxa"/>
            <w:vAlign w:val="center"/>
            <w:hideMark/>
          </w:tcPr>
          <w:p w:rsidR="001E57CD" w:rsidRPr="00952167" w:rsidRDefault="00F25E70"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zieleńce</w:t>
            </w:r>
          </w:p>
        </w:tc>
        <w:tc>
          <w:tcPr>
            <w:tcW w:w="1560"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295,68</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301,07</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376,26</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424,24</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419,77</w:t>
            </w:r>
          </w:p>
        </w:tc>
      </w:tr>
      <w:tr w:rsidR="001E57CD" w:rsidRPr="00952167" w:rsidTr="00652ACD">
        <w:trPr>
          <w:trHeight w:val="304"/>
        </w:trPr>
        <w:tc>
          <w:tcPr>
            <w:tcW w:w="2263" w:type="dxa"/>
            <w:vAlign w:val="center"/>
            <w:hideMark/>
          </w:tcPr>
          <w:p w:rsidR="001E57CD" w:rsidRPr="00952167" w:rsidRDefault="001E57CD" w:rsidP="00652ACD">
            <w:pPr>
              <w:spacing w:line="240" w:lineRule="auto"/>
              <w:jc w:val="left"/>
              <w:rPr>
                <w:rFonts w:ascii="Calibri" w:eastAsia="Times New Roman" w:hAnsi="Calibri" w:cs="Times New Roman"/>
                <w:bCs/>
                <w:sz w:val="24"/>
                <w:szCs w:val="24"/>
                <w:lang w:eastAsia="pl-PL"/>
              </w:rPr>
            </w:pPr>
            <w:r w:rsidRPr="00952167">
              <w:rPr>
                <w:rFonts w:ascii="Calibri" w:eastAsia="Times New Roman" w:hAnsi="Calibri" w:cs="Times New Roman"/>
                <w:bCs/>
                <w:sz w:val="24"/>
                <w:szCs w:val="24"/>
                <w:lang w:eastAsia="pl-PL"/>
              </w:rPr>
              <w:t>tereny zieleni osiedlowej</w:t>
            </w:r>
          </w:p>
        </w:tc>
        <w:tc>
          <w:tcPr>
            <w:tcW w:w="1560"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powierzchnia [ha]</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132,09</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137,69</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160,84</w:t>
            </w:r>
          </w:p>
        </w:tc>
        <w:tc>
          <w:tcPr>
            <w:tcW w:w="992"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160,66</w:t>
            </w:r>
          </w:p>
        </w:tc>
        <w:tc>
          <w:tcPr>
            <w:tcW w:w="1134" w:type="dxa"/>
            <w:noWrap/>
            <w:vAlign w:val="center"/>
            <w:hideMark/>
          </w:tcPr>
          <w:p w:rsidR="001E57CD" w:rsidRPr="00952167" w:rsidRDefault="001E57CD" w:rsidP="00652ACD">
            <w:pPr>
              <w:spacing w:line="240" w:lineRule="auto"/>
              <w:jc w:val="left"/>
              <w:rPr>
                <w:rFonts w:ascii="Calibri" w:eastAsia="Times New Roman" w:hAnsi="Calibri" w:cs="Times New Roman"/>
                <w:sz w:val="24"/>
                <w:szCs w:val="24"/>
                <w:lang w:eastAsia="pl-PL"/>
              </w:rPr>
            </w:pPr>
            <w:r w:rsidRPr="00952167">
              <w:rPr>
                <w:rFonts w:ascii="Calibri" w:eastAsia="Times New Roman" w:hAnsi="Calibri" w:cs="Times New Roman"/>
                <w:sz w:val="24"/>
                <w:szCs w:val="24"/>
                <w:lang w:eastAsia="pl-PL"/>
              </w:rPr>
              <w:t>165,37</w:t>
            </w:r>
          </w:p>
        </w:tc>
      </w:tr>
    </w:tbl>
    <w:p w:rsidR="001E57CD" w:rsidRDefault="001E57CD" w:rsidP="001E57CD">
      <w:pPr>
        <w:pStyle w:val="PODWrof"/>
      </w:pPr>
      <w:r w:rsidRPr="00E605EE">
        <w:t>Źródło: opracowanie własne na podstawie danych BDL GUS</w:t>
      </w:r>
      <w:r>
        <w:t xml:space="preserve"> [Stan na: 31.12.2021]</w:t>
      </w:r>
    </w:p>
    <w:p w:rsidR="007D07F9" w:rsidRPr="004A032E" w:rsidRDefault="00B76684" w:rsidP="001D1207">
      <w:pPr>
        <w:pStyle w:val="POD"/>
        <w:spacing w:line="360" w:lineRule="auto"/>
        <w:jc w:val="left"/>
        <w:rPr>
          <w:i w:val="0"/>
          <w:color w:val="auto"/>
          <w:sz w:val="22"/>
        </w:rPr>
      </w:pPr>
      <w:r w:rsidRPr="001D1207">
        <w:rPr>
          <w:i w:val="0"/>
          <w:color w:val="auto"/>
          <w:sz w:val="24"/>
        </w:rPr>
        <w:t xml:space="preserve">Najliczniej </w:t>
      </w:r>
      <w:r w:rsidR="00B6512C" w:rsidRPr="001D1207">
        <w:rPr>
          <w:i w:val="0"/>
          <w:color w:val="auto"/>
          <w:sz w:val="24"/>
        </w:rPr>
        <w:t xml:space="preserve">parki </w:t>
      </w:r>
      <w:r w:rsidRPr="001D1207">
        <w:rPr>
          <w:i w:val="0"/>
          <w:color w:val="auto"/>
          <w:sz w:val="24"/>
        </w:rPr>
        <w:t>występują we Wrocławiu – ponad 60</w:t>
      </w:r>
      <w:r w:rsidR="00B6512C" w:rsidRPr="001D1207">
        <w:rPr>
          <w:i w:val="0"/>
          <w:color w:val="auto"/>
          <w:sz w:val="24"/>
        </w:rPr>
        <w:t xml:space="preserve"> parków</w:t>
      </w:r>
      <w:r w:rsidRPr="001D1207">
        <w:rPr>
          <w:i w:val="0"/>
          <w:color w:val="auto"/>
          <w:sz w:val="24"/>
        </w:rPr>
        <w:t xml:space="preserve"> o sumarycznej powierzchni ponad 800 ha (ok. 80% powierzchni parków WrOF). Kolejno w gminie Oleśnica (miasto) </w:t>
      </w:r>
      <w:r w:rsidR="008F1764" w:rsidRPr="001D1207">
        <w:rPr>
          <w:i w:val="0"/>
          <w:color w:val="auto"/>
          <w:sz w:val="24"/>
        </w:rPr>
        <w:t>–</w:t>
      </w:r>
      <w:r w:rsidR="00437116" w:rsidRPr="001D1207">
        <w:rPr>
          <w:i w:val="0"/>
          <w:color w:val="auto"/>
          <w:sz w:val="24"/>
        </w:rPr>
        <w:t xml:space="preserve"> </w:t>
      </w:r>
      <w:r w:rsidRPr="001D1207">
        <w:rPr>
          <w:i w:val="0"/>
          <w:color w:val="auto"/>
          <w:sz w:val="24"/>
        </w:rPr>
        <w:t>7, Trzebnic</w:t>
      </w:r>
      <w:r w:rsidR="00437116" w:rsidRPr="001D1207">
        <w:rPr>
          <w:i w:val="0"/>
          <w:color w:val="auto"/>
          <w:sz w:val="24"/>
        </w:rPr>
        <w:t>a</w:t>
      </w:r>
      <w:r w:rsidRPr="001D1207">
        <w:rPr>
          <w:i w:val="0"/>
          <w:color w:val="auto"/>
          <w:sz w:val="24"/>
        </w:rPr>
        <w:t xml:space="preserve"> </w:t>
      </w:r>
      <w:r w:rsidR="008F1764" w:rsidRPr="001D1207">
        <w:rPr>
          <w:i w:val="0"/>
          <w:color w:val="auto"/>
          <w:sz w:val="24"/>
        </w:rPr>
        <w:t>–</w:t>
      </w:r>
      <w:r w:rsidR="00437116" w:rsidRPr="001D1207">
        <w:rPr>
          <w:i w:val="0"/>
          <w:color w:val="auto"/>
          <w:sz w:val="24"/>
        </w:rPr>
        <w:t xml:space="preserve"> </w:t>
      </w:r>
      <w:r w:rsidRPr="001D1207">
        <w:rPr>
          <w:i w:val="0"/>
          <w:color w:val="auto"/>
          <w:sz w:val="24"/>
        </w:rPr>
        <w:t>5, Wiszni</w:t>
      </w:r>
      <w:r w:rsidR="00437116" w:rsidRPr="001D1207">
        <w:rPr>
          <w:i w:val="0"/>
          <w:color w:val="auto"/>
          <w:sz w:val="24"/>
        </w:rPr>
        <w:t>a</w:t>
      </w:r>
      <w:r w:rsidRPr="001D1207">
        <w:rPr>
          <w:i w:val="0"/>
          <w:color w:val="auto"/>
          <w:sz w:val="24"/>
        </w:rPr>
        <w:t xml:space="preserve"> Mał</w:t>
      </w:r>
      <w:r w:rsidR="00437116" w:rsidRPr="001D1207">
        <w:rPr>
          <w:i w:val="0"/>
          <w:color w:val="auto"/>
          <w:sz w:val="24"/>
        </w:rPr>
        <w:t>a</w:t>
      </w:r>
      <w:r w:rsidRPr="001D1207">
        <w:rPr>
          <w:i w:val="0"/>
          <w:color w:val="auto"/>
          <w:sz w:val="24"/>
        </w:rPr>
        <w:t xml:space="preserve"> </w:t>
      </w:r>
      <w:r w:rsidR="008F1764" w:rsidRPr="001D1207">
        <w:rPr>
          <w:i w:val="0"/>
          <w:color w:val="auto"/>
          <w:sz w:val="24"/>
        </w:rPr>
        <w:t>–</w:t>
      </w:r>
      <w:r w:rsidR="00437116" w:rsidRPr="001D1207">
        <w:rPr>
          <w:i w:val="0"/>
          <w:color w:val="auto"/>
          <w:sz w:val="24"/>
        </w:rPr>
        <w:t xml:space="preserve"> </w:t>
      </w:r>
      <w:r w:rsidR="008F1764" w:rsidRPr="001D1207">
        <w:rPr>
          <w:i w:val="0"/>
          <w:color w:val="auto"/>
          <w:sz w:val="24"/>
        </w:rPr>
        <w:t>4</w:t>
      </w:r>
      <w:r w:rsidRPr="001D1207">
        <w:rPr>
          <w:i w:val="0"/>
          <w:color w:val="auto"/>
          <w:sz w:val="24"/>
        </w:rPr>
        <w:t>. Praktycznie w każdej gminie są one własnością samorzą</w:t>
      </w:r>
      <w:r w:rsidR="008F1764" w:rsidRPr="001D1207">
        <w:rPr>
          <w:i w:val="0"/>
          <w:color w:val="auto"/>
          <w:sz w:val="24"/>
        </w:rPr>
        <w:t>dów, poza 3 parkami w Trzebnicy</w:t>
      </w:r>
      <w:r w:rsidR="008F1764">
        <w:rPr>
          <w:i w:val="0"/>
          <w:color w:val="auto"/>
          <w:sz w:val="22"/>
        </w:rPr>
        <w:t>.</w:t>
      </w:r>
    </w:p>
    <w:p w:rsidR="007D07F9" w:rsidRDefault="00896807" w:rsidP="00896807">
      <w:pPr>
        <w:pStyle w:val="nadWrOF"/>
      </w:pPr>
      <w:bookmarkStart w:id="62" w:name="_Toc143606963"/>
      <w:r>
        <w:t xml:space="preserve">Tabela </w:t>
      </w:r>
      <w:r w:rsidR="00C73793">
        <w:rPr>
          <w:noProof/>
        </w:rPr>
        <w:fldChar w:fldCharType="begin"/>
      </w:r>
      <w:r w:rsidR="00C244C1">
        <w:rPr>
          <w:noProof/>
        </w:rPr>
        <w:instrText xml:space="preserve"> SEQ Tabela \* ARABIC </w:instrText>
      </w:r>
      <w:r w:rsidR="00C73793">
        <w:rPr>
          <w:noProof/>
        </w:rPr>
        <w:fldChar w:fldCharType="separate"/>
      </w:r>
      <w:r w:rsidR="00C96A96">
        <w:rPr>
          <w:noProof/>
        </w:rPr>
        <w:t>6</w:t>
      </w:r>
      <w:r w:rsidR="00C73793">
        <w:rPr>
          <w:noProof/>
        </w:rPr>
        <w:fldChar w:fldCharType="end"/>
      </w:r>
      <w:r w:rsidR="00702D7A">
        <w:rPr>
          <w:noProof/>
        </w:rPr>
        <w:t xml:space="preserve"> </w:t>
      </w:r>
      <w:r w:rsidR="00B76684" w:rsidRPr="00D74575">
        <w:rPr>
          <w:rFonts w:eastAsia="Times New Roman"/>
          <w:lang w:eastAsia="pl-PL"/>
        </w:rPr>
        <w:t>Parki spacerowo - wypoczynkowe</w:t>
      </w:r>
      <w:r w:rsidR="00B76684" w:rsidRPr="00D74575">
        <w:t xml:space="preserve"> w gminach ZIT WrOF w roku 2021</w:t>
      </w:r>
      <w:bookmarkEnd w:id="62"/>
    </w:p>
    <w:tbl>
      <w:tblPr>
        <w:tblStyle w:val="Tabela-Siatka1"/>
        <w:tblW w:w="5000" w:type="pct"/>
        <w:tblLayout w:type="fixed"/>
        <w:tblLook w:val="04A0" w:firstRow="1" w:lastRow="0" w:firstColumn="1" w:lastColumn="0" w:noHBand="0" w:noVBand="1"/>
        <w:tblCaption w:val="Parki spacerowo - wypoczynkowe w gminach ZIT WrOF w roku 2021"/>
        <w:tblDescription w:val="Parki spacerowo - wypoczynkowe w gminach ZIT WrOF w roku 2021. Treść omówiona w tekście"/>
      </w:tblPr>
      <w:tblGrid>
        <w:gridCol w:w="1812"/>
        <w:gridCol w:w="1812"/>
        <w:gridCol w:w="1813"/>
        <w:gridCol w:w="1812"/>
        <w:gridCol w:w="1813"/>
      </w:tblGrid>
      <w:tr w:rsidR="001E57CD" w:rsidRPr="003B769B" w:rsidTr="001E57CD">
        <w:trPr>
          <w:trHeight w:val="283"/>
          <w:tblHeader/>
        </w:trPr>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r w:rsidRPr="003B769B">
              <w:rPr>
                <w:rFonts w:ascii="Calibri" w:eastAsia="Times New Roman" w:hAnsi="Calibri" w:cs="Times New Roman"/>
                <w:color w:val="000000"/>
                <w:sz w:val="24"/>
                <w:szCs w:val="24"/>
                <w:lang w:eastAsia="pl-PL"/>
              </w:rPr>
              <w:t>Gmina</w:t>
            </w:r>
          </w:p>
        </w:tc>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parki spacerowo - wypoczynkowe</w:t>
            </w:r>
          </w:p>
        </w:tc>
        <w:tc>
          <w:tcPr>
            <w:tcW w:w="1813" w:type="dxa"/>
            <w:shd w:val="clear" w:color="auto" w:fill="auto"/>
            <w:vAlign w:val="center"/>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parki spacerowo - wypoczynkowe</w:t>
            </w:r>
          </w:p>
        </w:tc>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parki spacerowo - wypoczynkowe w gestii samorządów</w:t>
            </w:r>
          </w:p>
        </w:tc>
        <w:tc>
          <w:tcPr>
            <w:tcW w:w="1813" w:type="dxa"/>
            <w:shd w:val="clear" w:color="auto" w:fill="auto"/>
            <w:vAlign w:val="center"/>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parki spacerowo - wypoczynkowe w gestii samorządów</w:t>
            </w:r>
          </w:p>
        </w:tc>
      </w:tr>
      <w:tr w:rsidR="001E57CD" w:rsidRPr="003B769B" w:rsidTr="001E57CD">
        <w:trPr>
          <w:trHeight w:val="283"/>
          <w:tblHeader/>
        </w:trPr>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obiekty</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powierzchnia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obiekty</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powierzchnia</w:t>
            </w:r>
          </w:p>
        </w:tc>
      </w:tr>
      <w:tr w:rsidR="001E57CD" w:rsidRPr="003B769B" w:rsidTr="001E57CD">
        <w:trPr>
          <w:trHeight w:val="283"/>
          <w:tblHeader/>
        </w:trPr>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p>
        </w:tc>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r w:rsidRPr="003B769B">
              <w:rPr>
                <w:rFonts w:ascii="Calibri" w:eastAsia="Times New Roman" w:hAnsi="Calibri" w:cs="Times New Roman"/>
                <w:color w:val="000000"/>
                <w:sz w:val="24"/>
                <w:szCs w:val="24"/>
                <w:lang w:eastAsia="pl-PL"/>
              </w:rPr>
              <w:t>[szt.]</w:t>
            </w:r>
          </w:p>
        </w:tc>
        <w:tc>
          <w:tcPr>
            <w:tcW w:w="1813"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r w:rsidRPr="003B769B">
              <w:rPr>
                <w:rFonts w:ascii="Calibri" w:eastAsia="Times New Roman" w:hAnsi="Calibri" w:cs="Times New Roman"/>
                <w:color w:val="000000"/>
                <w:sz w:val="24"/>
                <w:szCs w:val="24"/>
                <w:lang w:eastAsia="pl-PL"/>
              </w:rPr>
              <w:t>[ha]</w:t>
            </w:r>
          </w:p>
        </w:tc>
        <w:tc>
          <w:tcPr>
            <w:tcW w:w="1812"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r w:rsidRPr="003B769B">
              <w:rPr>
                <w:rFonts w:ascii="Calibri" w:eastAsia="Times New Roman" w:hAnsi="Calibri" w:cs="Times New Roman"/>
                <w:color w:val="000000"/>
                <w:sz w:val="24"/>
                <w:szCs w:val="24"/>
                <w:lang w:eastAsia="pl-PL"/>
              </w:rPr>
              <w:t>[szt.]</w:t>
            </w:r>
          </w:p>
        </w:tc>
        <w:tc>
          <w:tcPr>
            <w:tcW w:w="1813" w:type="dxa"/>
            <w:shd w:val="clear" w:color="auto" w:fill="auto"/>
            <w:vAlign w:val="center"/>
            <w:hideMark/>
          </w:tcPr>
          <w:p w:rsidR="001E57CD" w:rsidRPr="003B769B" w:rsidRDefault="001E57CD" w:rsidP="00652ACD">
            <w:pPr>
              <w:spacing w:line="240" w:lineRule="auto"/>
              <w:jc w:val="left"/>
              <w:rPr>
                <w:rFonts w:ascii="Calibri" w:eastAsia="Times New Roman" w:hAnsi="Calibri" w:cs="Times New Roman"/>
                <w:color w:val="000000"/>
                <w:sz w:val="24"/>
                <w:szCs w:val="24"/>
                <w:lang w:eastAsia="pl-PL"/>
              </w:rPr>
            </w:pPr>
            <w:r w:rsidRPr="003B769B">
              <w:rPr>
                <w:rFonts w:ascii="Calibri" w:eastAsia="Times New Roman" w:hAnsi="Calibri" w:cs="Times New Roman"/>
                <w:color w:val="000000"/>
                <w:sz w:val="24"/>
                <w:szCs w:val="24"/>
                <w:lang w:eastAsia="pl-PL"/>
              </w:rPr>
              <w:t>[ha]</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Długołęka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3</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20,2</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3</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20,2</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Jelcz-Laskowice</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16,1</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16,1</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Kąty Wrocławskie</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3</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16,29</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3</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16,29</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Kobierzyce</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54,5</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54,5</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Oleśnica (miasto)</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7</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21,7</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7</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21,7</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Oława (miasto)</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25,6</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25,6</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Sobótka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4,8</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4,8</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Trzebnica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5</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14,7</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2</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5,3</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Wisznia Mała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17,7</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17,7</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Wrocław</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65</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800,58</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65</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800,58</w:t>
            </w:r>
          </w:p>
        </w:tc>
      </w:tr>
      <w:tr w:rsidR="001E57CD" w:rsidRPr="003B769B" w:rsidTr="001E57CD">
        <w:trPr>
          <w:trHeight w:val="283"/>
        </w:trPr>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Żórawina</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15,7</w:t>
            </w:r>
          </w:p>
        </w:tc>
        <w:tc>
          <w:tcPr>
            <w:tcW w:w="1812"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4</w:t>
            </w:r>
          </w:p>
        </w:tc>
        <w:tc>
          <w:tcPr>
            <w:tcW w:w="1813" w:type="dxa"/>
            <w:shd w:val="clear" w:color="auto" w:fill="auto"/>
            <w:noWrap/>
            <w:vAlign w:val="center"/>
            <w:hideMark/>
          </w:tcPr>
          <w:p w:rsidR="001E57CD" w:rsidRPr="003B769B" w:rsidRDefault="001E57CD" w:rsidP="00652ACD">
            <w:pPr>
              <w:spacing w:line="240" w:lineRule="auto"/>
              <w:jc w:val="left"/>
              <w:rPr>
                <w:rFonts w:ascii="Calibri" w:eastAsia="Times New Roman" w:hAnsi="Calibri" w:cs="Times New Roman"/>
                <w:sz w:val="24"/>
                <w:szCs w:val="24"/>
                <w:lang w:eastAsia="pl-PL"/>
              </w:rPr>
            </w:pPr>
            <w:r w:rsidRPr="003B769B">
              <w:rPr>
                <w:rFonts w:ascii="Calibri" w:eastAsia="Times New Roman" w:hAnsi="Calibri" w:cs="Times New Roman"/>
                <w:sz w:val="24"/>
                <w:szCs w:val="24"/>
                <w:lang w:eastAsia="pl-PL"/>
              </w:rPr>
              <w:t>15,7</w:t>
            </w:r>
          </w:p>
        </w:tc>
      </w:tr>
    </w:tbl>
    <w:p w:rsidR="007D07F9" w:rsidRPr="00D74575" w:rsidRDefault="00437516" w:rsidP="001E57CD">
      <w:pPr>
        <w:pStyle w:val="podWrOF0"/>
      </w:pPr>
      <w:r w:rsidRPr="00E605EE">
        <w:t>Źródło: opracowanie własne na podstawie danych BDL GUS</w:t>
      </w:r>
      <w:r>
        <w:t xml:space="preserve"> [Stan na: 31.12.2021]</w:t>
      </w:r>
    </w:p>
    <w:p w:rsidR="00BF5FFD" w:rsidRPr="004E0895" w:rsidRDefault="00BF5FFD" w:rsidP="00702D7A">
      <w:pPr>
        <w:pStyle w:val="nadWrOF"/>
      </w:pPr>
      <w:bookmarkStart w:id="63" w:name="_Toc121148668"/>
      <w:bookmarkStart w:id="64" w:name="_Toc126329856"/>
      <w:bookmarkStart w:id="65" w:name="_Toc143606964"/>
      <w:r>
        <w:t xml:space="preserve">Tabela </w:t>
      </w:r>
      <w:r w:rsidR="00C73793">
        <w:fldChar w:fldCharType="begin"/>
      </w:r>
      <w:r>
        <w:instrText xml:space="preserve"> SEQ Tabela \* ARABIC </w:instrText>
      </w:r>
      <w:r w:rsidR="00C73793">
        <w:fldChar w:fldCharType="separate"/>
      </w:r>
      <w:r w:rsidR="00C96A96">
        <w:rPr>
          <w:noProof/>
        </w:rPr>
        <w:t>7</w:t>
      </w:r>
      <w:r w:rsidR="00C73793">
        <w:fldChar w:fldCharType="end"/>
      </w:r>
      <w:r w:rsidR="00702D7A">
        <w:t xml:space="preserve"> </w:t>
      </w:r>
      <w:r w:rsidRPr="00875CF5">
        <w:t>T</w:t>
      </w:r>
      <w:r w:rsidRPr="00702D7A">
        <w:t>ere</w:t>
      </w:r>
      <w:r w:rsidRPr="00875CF5">
        <w:t xml:space="preserve">ny </w:t>
      </w:r>
      <w:r w:rsidRPr="00702D7A">
        <w:t>zieleni</w:t>
      </w:r>
      <w:r w:rsidRPr="00875CF5">
        <w:t xml:space="preserve"> w poszczególnych gminach (ha)</w:t>
      </w:r>
      <w:r>
        <w:t xml:space="preserve"> w latach 2017-2021 wraz z dynamiką zmian</w:t>
      </w:r>
      <w:bookmarkEnd w:id="63"/>
      <w:bookmarkEnd w:id="64"/>
      <w:bookmarkEnd w:id="65"/>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ereny zieleni w poszczególnych gminach (ha) w latach 2017-2021 wraz z dynamiką zmian"/>
        <w:tblDescription w:val="Tereny zieleni w poszczególnych gminach (ha) w latach 2017-2021 wraz z dynamiką zmian"/>
      </w:tblPr>
      <w:tblGrid>
        <w:gridCol w:w="1764"/>
        <w:gridCol w:w="1165"/>
        <w:gridCol w:w="1249"/>
        <w:gridCol w:w="1249"/>
        <w:gridCol w:w="1249"/>
        <w:gridCol w:w="1249"/>
        <w:gridCol w:w="1147"/>
      </w:tblGrid>
      <w:tr w:rsidR="00BF5FFD" w:rsidRPr="001E57CD" w:rsidTr="001E57CD">
        <w:trPr>
          <w:trHeight w:val="397"/>
          <w:tblHeader/>
          <w:jc w:val="center"/>
        </w:trPr>
        <w:tc>
          <w:tcPr>
            <w:tcW w:w="1807"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Gmina</w:t>
            </w:r>
          </w:p>
        </w:tc>
        <w:tc>
          <w:tcPr>
            <w:tcW w:w="1188"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2017</w:t>
            </w:r>
          </w:p>
        </w:tc>
        <w:tc>
          <w:tcPr>
            <w:tcW w:w="1283"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2018</w:t>
            </w:r>
          </w:p>
        </w:tc>
        <w:tc>
          <w:tcPr>
            <w:tcW w:w="1283"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2019</w:t>
            </w:r>
          </w:p>
        </w:tc>
        <w:tc>
          <w:tcPr>
            <w:tcW w:w="1283"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2020</w:t>
            </w:r>
          </w:p>
        </w:tc>
        <w:tc>
          <w:tcPr>
            <w:tcW w:w="1283"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2021</w:t>
            </w:r>
          </w:p>
        </w:tc>
        <w:tc>
          <w:tcPr>
            <w:tcW w:w="1152"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Dynamika 2017-2021</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Czernica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34,28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10,93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10,93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10,93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14,13</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-59%</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Długołęka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38,01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42,51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42,51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42,51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42,51</w:t>
            </w:r>
          </w:p>
        </w:tc>
        <w:tc>
          <w:tcPr>
            <w:tcW w:w="1152" w:type="dxa"/>
            <w:shd w:val="clear" w:color="auto" w:fill="auto"/>
            <w:vAlign w:val="center"/>
          </w:tcPr>
          <w:p w:rsidR="00BF5FFD" w:rsidRPr="001E57CD" w:rsidRDefault="00BF5FFD" w:rsidP="00BF5FFD">
            <w:pPr>
              <w:spacing w:after="0" w:line="240" w:lineRule="auto"/>
              <w:jc w:val="center"/>
              <w:rPr>
                <w:rFonts w:cs="Calibri"/>
              </w:rPr>
            </w:pPr>
            <w:r w:rsidRPr="001E57CD">
              <w:rPr>
                <w:rFonts w:cs="Calibri"/>
              </w:rPr>
              <w:t>12%</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Dobroszyce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4,8</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0%</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Jelcz-Laskowice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76,54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75,04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75,04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75,04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75,04</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-2%</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Kąty Wrocławskie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59,21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57,78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57,78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57,78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57,78</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-2%</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Kobierzyce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66,16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78,51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78,51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78,51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79,01</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19%</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Miękinia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14,46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13,68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13,68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13,68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13,68</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-5%</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Oborniki Śląskie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38,36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36,34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36,34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36,34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37,34</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-3%</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Oleśnica (gmina wiejska)</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52,44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50,6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53,25</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52,81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50,71</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-3%</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Oleśnica (miasto)</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86,59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98,83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98,83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98,83</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98,83</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14%</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Oława (gmina wiejska)</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25,46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20,7</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20,7</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20,7</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20,7</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-19%</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Oława (miasto)</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84,21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81,49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81,49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81,49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81,49</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-3%</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Siechnice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20,99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12,16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12,16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12,26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12,26</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-42%</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Sobótka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68,9</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69,32</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69,32</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69,32</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69,32</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Trzebnica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63,06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63,61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63,61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63,61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63,61</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Wisznia Mała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36</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0%</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Wrocław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2631,56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2782,02</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2258,94</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2381,08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2387,33</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-9%</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 xml:space="preserve">Zawonia </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1,6</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1,6</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0%</w:t>
            </w:r>
          </w:p>
        </w:tc>
      </w:tr>
      <w:tr w:rsidR="00BF5FFD" w:rsidRPr="001E57CD" w:rsidTr="001E57CD">
        <w:trPr>
          <w:trHeight w:val="283"/>
          <w:jc w:val="center"/>
        </w:trPr>
        <w:tc>
          <w:tcPr>
            <w:tcW w:w="1807" w:type="dxa"/>
            <w:shd w:val="clear" w:color="auto" w:fill="auto"/>
            <w:vAlign w:val="center"/>
          </w:tcPr>
          <w:p w:rsidR="00BF5FFD" w:rsidRPr="001E57CD" w:rsidRDefault="00BF5FFD" w:rsidP="00166D1E">
            <w:pPr>
              <w:spacing w:after="0" w:line="240" w:lineRule="auto"/>
              <w:jc w:val="left"/>
              <w:rPr>
                <w:rFonts w:cs="Calibri"/>
                <w:color w:val="000000"/>
              </w:rPr>
            </w:pPr>
            <w:r w:rsidRPr="001E57CD">
              <w:rPr>
                <w:rFonts w:cs="Calibri"/>
                <w:color w:val="000000"/>
              </w:rPr>
              <w:t>Żórawina</w:t>
            </w:r>
          </w:p>
        </w:tc>
        <w:tc>
          <w:tcPr>
            <w:tcW w:w="1188"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30,08</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26,81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26,81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26,81</w:t>
            </w:r>
          </w:p>
        </w:tc>
        <w:tc>
          <w:tcPr>
            <w:tcW w:w="1283"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color w:val="000000"/>
              </w:rPr>
              <w:t>26,81</w:t>
            </w:r>
          </w:p>
        </w:tc>
        <w:tc>
          <w:tcPr>
            <w:tcW w:w="1152" w:type="dxa"/>
            <w:shd w:val="clear" w:color="auto" w:fill="auto"/>
            <w:vAlign w:val="center"/>
          </w:tcPr>
          <w:p w:rsidR="00BF5FFD" w:rsidRPr="001E57CD" w:rsidRDefault="00BF5FFD" w:rsidP="00BF5FFD">
            <w:pPr>
              <w:spacing w:after="0" w:line="240" w:lineRule="auto"/>
              <w:jc w:val="center"/>
              <w:rPr>
                <w:rFonts w:cs="Calibri"/>
                <w:color w:val="000000"/>
              </w:rPr>
            </w:pPr>
            <w:r w:rsidRPr="001E57CD">
              <w:rPr>
                <w:rFonts w:cs="Calibri"/>
              </w:rPr>
              <w:t>-11%</w:t>
            </w:r>
          </w:p>
        </w:tc>
      </w:tr>
      <w:tr w:rsidR="00BF5FFD" w:rsidRPr="001E57CD" w:rsidTr="001E57CD">
        <w:trPr>
          <w:trHeight w:val="283"/>
          <w:jc w:val="center"/>
        </w:trPr>
        <w:tc>
          <w:tcPr>
            <w:tcW w:w="1807" w:type="dxa"/>
            <w:shd w:val="clear" w:color="auto" w:fill="auto"/>
            <w:vAlign w:val="center"/>
          </w:tcPr>
          <w:p w:rsidR="00BF5FFD" w:rsidRPr="001E57CD" w:rsidRDefault="00BF5FFD" w:rsidP="000B60C8">
            <w:pPr>
              <w:spacing w:after="0" w:line="240" w:lineRule="auto"/>
              <w:jc w:val="left"/>
              <w:rPr>
                <w:rFonts w:cs="Calibri"/>
                <w:b/>
                <w:color w:val="000000"/>
              </w:rPr>
            </w:pPr>
            <w:r w:rsidRPr="001E57CD">
              <w:rPr>
                <w:rFonts w:cs="Calibri"/>
                <w:b/>
                <w:color w:val="000000"/>
              </w:rPr>
              <w:t>WrOF</w:t>
            </w:r>
          </w:p>
        </w:tc>
        <w:tc>
          <w:tcPr>
            <w:tcW w:w="1188"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color w:val="000000"/>
              </w:rPr>
              <w:t>3 432,71</w:t>
            </w:r>
          </w:p>
        </w:tc>
        <w:tc>
          <w:tcPr>
            <w:tcW w:w="1283"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color w:val="000000"/>
              </w:rPr>
              <w:t>3 562,73</w:t>
            </w:r>
          </w:p>
        </w:tc>
        <w:tc>
          <w:tcPr>
            <w:tcW w:w="1283"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color w:val="000000"/>
              </w:rPr>
              <w:t>3 042,3</w:t>
            </w:r>
          </w:p>
        </w:tc>
        <w:tc>
          <w:tcPr>
            <w:tcW w:w="1283"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color w:val="000000"/>
              </w:rPr>
              <w:t>3 164,1</w:t>
            </w:r>
          </w:p>
        </w:tc>
        <w:tc>
          <w:tcPr>
            <w:tcW w:w="1283"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color w:val="000000"/>
              </w:rPr>
              <w:t>3 172,95</w:t>
            </w:r>
          </w:p>
        </w:tc>
        <w:tc>
          <w:tcPr>
            <w:tcW w:w="1152" w:type="dxa"/>
            <w:shd w:val="clear" w:color="auto" w:fill="auto"/>
            <w:vAlign w:val="center"/>
          </w:tcPr>
          <w:p w:rsidR="00BF5FFD" w:rsidRPr="001E57CD" w:rsidRDefault="00BF5FFD" w:rsidP="00BF5FFD">
            <w:pPr>
              <w:spacing w:after="0" w:line="240" w:lineRule="auto"/>
              <w:jc w:val="center"/>
              <w:rPr>
                <w:rFonts w:cs="Calibri"/>
                <w:b/>
                <w:color w:val="000000"/>
              </w:rPr>
            </w:pPr>
            <w:r w:rsidRPr="001E57CD">
              <w:rPr>
                <w:rFonts w:cs="Calibri"/>
                <w:b/>
              </w:rPr>
              <w:t>-8%</w:t>
            </w:r>
          </w:p>
        </w:tc>
      </w:tr>
    </w:tbl>
    <w:p w:rsidR="007D07F9" w:rsidRDefault="00BF5FFD" w:rsidP="001D1207">
      <w:pPr>
        <w:pStyle w:val="PODWrof"/>
      </w:pPr>
      <w:r w:rsidRPr="00E605EE">
        <w:t>Źródło: opracowanie własne na podstawie danych BDL GUS</w:t>
      </w:r>
      <w:r>
        <w:t xml:space="preserve"> [Stan na: 31.12.2021]</w:t>
      </w:r>
    </w:p>
    <w:p w:rsidR="000178B1" w:rsidRPr="001E57CD" w:rsidRDefault="00BF5FFD" w:rsidP="001E57CD">
      <w:pPr>
        <w:jc w:val="left"/>
        <w:rPr>
          <w:rFonts w:cs="Calibri"/>
          <w:color w:val="000000" w:themeColor="text1"/>
          <w:sz w:val="24"/>
        </w:rPr>
      </w:pPr>
      <w:r w:rsidRPr="001E57CD">
        <w:rPr>
          <w:rFonts w:cs="Calibri"/>
          <w:color w:val="000000" w:themeColor="text1"/>
          <w:sz w:val="24"/>
        </w:rPr>
        <w:t>Na obszarze WrOF</w:t>
      </w:r>
      <w:r w:rsidR="008F1764" w:rsidRPr="001E57CD">
        <w:rPr>
          <w:rFonts w:cs="Calibri"/>
          <w:color w:val="000000" w:themeColor="text1"/>
          <w:sz w:val="24"/>
        </w:rPr>
        <w:t xml:space="preserve"> </w:t>
      </w:r>
      <w:r w:rsidR="00B6512C" w:rsidRPr="001E57CD">
        <w:rPr>
          <w:rFonts w:cs="Calibri"/>
          <w:color w:val="000000" w:themeColor="text1"/>
          <w:sz w:val="24"/>
        </w:rPr>
        <w:t>z</w:t>
      </w:r>
      <w:r w:rsidR="000178B1" w:rsidRPr="001E57CD">
        <w:rPr>
          <w:rFonts w:cs="Calibri"/>
          <w:color w:val="000000" w:themeColor="text1"/>
          <w:sz w:val="24"/>
        </w:rPr>
        <w:t>ieleń uliczna występuje tylko w gminach miejskich i miejsko-wiejskich. Warto zaznaczyć, że tylko w gminach: Długołę</w:t>
      </w:r>
      <w:r w:rsidR="007E00C0" w:rsidRPr="001E57CD">
        <w:rPr>
          <w:rFonts w:cs="Calibri"/>
          <w:color w:val="000000" w:themeColor="text1"/>
          <w:sz w:val="24"/>
        </w:rPr>
        <w:t>ka</w:t>
      </w:r>
      <w:r w:rsidR="000178B1" w:rsidRPr="001E57CD">
        <w:rPr>
          <w:rFonts w:cs="Calibri"/>
          <w:color w:val="000000" w:themeColor="text1"/>
          <w:sz w:val="24"/>
        </w:rPr>
        <w:t>, Kobierzyc</w:t>
      </w:r>
      <w:r w:rsidR="007E00C0" w:rsidRPr="001E57CD">
        <w:rPr>
          <w:rFonts w:cs="Calibri"/>
          <w:color w:val="000000" w:themeColor="text1"/>
          <w:sz w:val="24"/>
        </w:rPr>
        <w:t>e</w:t>
      </w:r>
      <w:r w:rsidR="000178B1" w:rsidRPr="001E57CD">
        <w:rPr>
          <w:rFonts w:cs="Calibri"/>
          <w:color w:val="000000" w:themeColor="text1"/>
          <w:sz w:val="24"/>
        </w:rPr>
        <w:t>, Oleśnic</w:t>
      </w:r>
      <w:r w:rsidR="007E00C0" w:rsidRPr="001E57CD">
        <w:rPr>
          <w:rFonts w:cs="Calibri"/>
          <w:color w:val="000000" w:themeColor="text1"/>
          <w:sz w:val="24"/>
        </w:rPr>
        <w:t>a</w:t>
      </w:r>
      <w:r w:rsidR="000178B1" w:rsidRPr="001E57CD">
        <w:rPr>
          <w:rFonts w:cs="Calibri"/>
          <w:color w:val="000000" w:themeColor="text1"/>
          <w:sz w:val="24"/>
        </w:rPr>
        <w:t xml:space="preserve"> (miasto), Sobót</w:t>
      </w:r>
      <w:r w:rsidR="007E00C0" w:rsidRPr="001E57CD">
        <w:rPr>
          <w:rFonts w:cs="Calibri"/>
          <w:color w:val="000000" w:themeColor="text1"/>
          <w:sz w:val="24"/>
        </w:rPr>
        <w:t>ka</w:t>
      </w:r>
      <w:r w:rsidR="00437116" w:rsidRPr="001E57CD">
        <w:rPr>
          <w:rFonts w:cs="Calibri"/>
          <w:color w:val="000000" w:themeColor="text1"/>
          <w:sz w:val="24"/>
        </w:rPr>
        <w:t xml:space="preserve"> </w:t>
      </w:r>
      <w:r w:rsidR="000178B1" w:rsidRPr="001E57CD">
        <w:rPr>
          <w:rFonts w:cs="Calibri"/>
          <w:color w:val="000000" w:themeColor="text1"/>
          <w:sz w:val="24"/>
        </w:rPr>
        <w:t>oraz</w:t>
      </w:r>
      <w:r w:rsidR="00437116" w:rsidRPr="001E57CD">
        <w:rPr>
          <w:rFonts w:cs="Calibri"/>
          <w:color w:val="000000" w:themeColor="text1"/>
          <w:sz w:val="24"/>
        </w:rPr>
        <w:t xml:space="preserve"> </w:t>
      </w:r>
      <w:r w:rsidR="000178B1" w:rsidRPr="001E57CD">
        <w:rPr>
          <w:rFonts w:cs="Calibri"/>
          <w:color w:val="000000" w:themeColor="text1"/>
          <w:sz w:val="24"/>
        </w:rPr>
        <w:t>Trzebnic</w:t>
      </w:r>
      <w:r w:rsidR="007E00C0" w:rsidRPr="001E57CD">
        <w:rPr>
          <w:rFonts w:cs="Calibri"/>
          <w:color w:val="000000" w:themeColor="text1"/>
          <w:sz w:val="24"/>
        </w:rPr>
        <w:t>a</w:t>
      </w:r>
      <w:r w:rsidR="00437116" w:rsidRPr="001E57CD">
        <w:rPr>
          <w:rFonts w:cs="Calibri"/>
          <w:color w:val="000000" w:themeColor="text1"/>
          <w:sz w:val="24"/>
        </w:rPr>
        <w:t xml:space="preserve"> </w:t>
      </w:r>
      <w:r w:rsidR="000178B1" w:rsidRPr="001E57CD">
        <w:rPr>
          <w:rFonts w:cs="Calibri"/>
          <w:color w:val="000000" w:themeColor="text1"/>
          <w:sz w:val="24"/>
        </w:rPr>
        <w:t>nastąpił od 2017 r.</w:t>
      </w:r>
      <w:r w:rsidR="008F1764" w:rsidRPr="001E57CD">
        <w:rPr>
          <w:rFonts w:cs="Calibri"/>
          <w:color w:val="000000" w:themeColor="text1"/>
          <w:sz w:val="24"/>
        </w:rPr>
        <w:t xml:space="preserve"> </w:t>
      </w:r>
      <w:r w:rsidR="000178B1" w:rsidRPr="001E57CD">
        <w:rPr>
          <w:rFonts w:cs="Calibri"/>
          <w:color w:val="000000" w:themeColor="text1"/>
          <w:sz w:val="24"/>
        </w:rPr>
        <w:t>przyrost terenów zieleni</w:t>
      </w:r>
      <w:r w:rsidR="007E00C0" w:rsidRPr="001E57CD">
        <w:rPr>
          <w:rFonts w:cs="Calibri"/>
          <w:color w:val="000000" w:themeColor="text1"/>
          <w:sz w:val="24"/>
        </w:rPr>
        <w:t xml:space="preserve">. </w:t>
      </w:r>
    </w:p>
    <w:p w:rsidR="007E00C0" w:rsidRPr="001E57CD" w:rsidRDefault="00B76684" w:rsidP="001E57CD">
      <w:pPr>
        <w:jc w:val="left"/>
        <w:rPr>
          <w:color w:val="000000" w:themeColor="text1"/>
          <w:sz w:val="24"/>
        </w:rPr>
      </w:pPr>
      <w:r w:rsidRPr="001E57CD">
        <w:rPr>
          <w:color w:val="000000" w:themeColor="text1"/>
          <w:sz w:val="24"/>
        </w:rPr>
        <w:t>Z uwagi na rosnący od lat rozwój osadnictwa na obszarze WrOF, w tym na obszarach wiejskich (</w:t>
      </w:r>
      <w:proofErr w:type="spellStart"/>
      <w:r w:rsidRPr="001E57CD">
        <w:rPr>
          <w:color w:val="000000" w:themeColor="text1"/>
          <w:sz w:val="24"/>
        </w:rPr>
        <w:t>urban</w:t>
      </w:r>
      <w:proofErr w:type="spellEnd"/>
      <w:r w:rsidR="008F1764" w:rsidRPr="001E57CD">
        <w:rPr>
          <w:color w:val="000000" w:themeColor="text1"/>
          <w:sz w:val="24"/>
        </w:rPr>
        <w:t xml:space="preserve"> </w:t>
      </w:r>
      <w:proofErr w:type="spellStart"/>
      <w:r w:rsidRPr="001E57CD">
        <w:rPr>
          <w:color w:val="000000" w:themeColor="text1"/>
          <w:sz w:val="24"/>
        </w:rPr>
        <w:t>sprawl</w:t>
      </w:r>
      <w:proofErr w:type="spellEnd"/>
      <w:r w:rsidRPr="001E57CD">
        <w:rPr>
          <w:color w:val="000000" w:themeColor="text1"/>
          <w:sz w:val="24"/>
        </w:rPr>
        <w:t>), powodujący zubożenie obszarów zielonych, należy uwzględniać ochronę obszarów cennych przyrodniczo, tworzyć zaplecze przyrodnicze przy terenach osadniczych (poprzez nowe parki, parki kieszonkowe, skwery, kliny zieleni). Przy kreowaniu obszarów zielonych, należy uwzględniać zasoby przyrodnicze oraz warunki i jakość życia mieszkańców WrOF.</w:t>
      </w:r>
    </w:p>
    <w:p w:rsidR="007E00C0" w:rsidRPr="001E57CD" w:rsidRDefault="00B76684" w:rsidP="001E57CD">
      <w:pPr>
        <w:jc w:val="left"/>
        <w:rPr>
          <w:rFonts w:cs="Calibri"/>
          <w:color w:val="000000" w:themeColor="text1"/>
          <w:sz w:val="24"/>
        </w:rPr>
      </w:pPr>
      <w:r w:rsidRPr="001E57CD">
        <w:rPr>
          <w:color w:val="000000" w:themeColor="text1"/>
          <w:sz w:val="24"/>
        </w:rPr>
        <w:t>Zielone tereny przyczyniają się do poprawy warunków środowiskowych, w tym mikroklimatu, tworzą bariery ograniczające rozprzestrzeniania się smogu. Wzrost świadomości ekologicznej społeczeństwa powoduje zwię</w:t>
      </w:r>
      <w:r w:rsidR="001D1207">
        <w:rPr>
          <w:color w:val="000000" w:themeColor="text1"/>
          <w:sz w:val="24"/>
        </w:rPr>
        <w:t>kszenie oczekiwań mieszkańców w </w:t>
      </w:r>
      <w:r w:rsidRPr="001E57CD">
        <w:rPr>
          <w:color w:val="000000" w:themeColor="text1"/>
          <w:sz w:val="24"/>
        </w:rPr>
        <w:t xml:space="preserve">stosunku do zagospodarowania terenów zielonych. Mieszkańcy oczekują miejsc do aktywnego spędzania wolnego </w:t>
      </w:r>
      <w:r w:rsidR="00896807" w:rsidRPr="001E57CD">
        <w:rPr>
          <w:color w:val="000000" w:themeColor="text1"/>
          <w:sz w:val="24"/>
        </w:rPr>
        <w:t>czasu oraz rekreacji, zarówno w </w:t>
      </w:r>
      <w:r w:rsidRPr="001E57CD">
        <w:rPr>
          <w:color w:val="000000" w:themeColor="text1"/>
          <w:sz w:val="24"/>
        </w:rPr>
        <w:t>centra</w:t>
      </w:r>
      <w:r w:rsidR="001D1207">
        <w:rPr>
          <w:color w:val="000000" w:themeColor="text1"/>
          <w:sz w:val="24"/>
        </w:rPr>
        <w:t>ch osiedli i </w:t>
      </w:r>
      <w:r w:rsidRPr="001E57CD">
        <w:rPr>
          <w:color w:val="000000" w:themeColor="text1"/>
          <w:sz w:val="24"/>
        </w:rPr>
        <w:t xml:space="preserve">miejscowości, </w:t>
      </w:r>
      <w:r w:rsidR="00CD4886" w:rsidRPr="001E57CD">
        <w:rPr>
          <w:color w:val="000000" w:themeColor="text1"/>
          <w:sz w:val="24"/>
        </w:rPr>
        <w:t>jak</w:t>
      </w:r>
      <w:r w:rsidRPr="001E57CD">
        <w:rPr>
          <w:color w:val="000000" w:themeColor="text1"/>
          <w:sz w:val="24"/>
        </w:rPr>
        <w:t xml:space="preserve"> również z dala od terenów zamieszkałych (kompleksy i użytki leśne). Tworzenie nowych zielonych terenów (parków, </w:t>
      </w:r>
      <w:r w:rsidR="001D1207">
        <w:rPr>
          <w:color w:val="000000" w:themeColor="text1"/>
          <w:sz w:val="24"/>
        </w:rPr>
        <w:t>parków kieszonkowych, skwerów i </w:t>
      </w:r>
      <w:r w:rsidRPr="001E57CD">
        <w:rPr>
          <w:color w:val="000000" w:themeColor="text1"/>
          <w:sz w:val="24"/>
        </w:rPr>
        <w:t xml:space="preserve">zieleńców), ale również dbałość i rewitalizacja istniejących np. parków, wpływa na poprawę warunków życia mieszkańców. Ponadto organizując tereny zielone, winno </w:t>
      </w:r>
      <w:r w:rsidR="00CD4886" w:rsidRPr="001E57CD">
        <w:rPr>
          <w:color w:val="000000" w:themeColor="text1"/>
          <w:sz w:val="24"/>
        </w:rPr>
        <w:t xml:space="preserve">się </w:t>
      </w:r>
      <w:r w:rsidRPr="001E57CD">
        <w:rPr>
          <w:color w:val="000000" w:themeColor="text1"/>
          <w:sz w:val="24"/>
        </w:rPr>
        <w:t>minimalizować presję na przyrodę poprzez odpowiednie skanalizowanie ruchu i kształtowanie przestrzeni.</w:t>
      </w:r>
      <w:r w:rsidRPr="001E57CD">
        <w:rPr>
          <w:rFonts w:eastAsia="Times New Roman"/>
          <w:bCs/>
          <w:color w:val="000000" w:themeColor="text1"/>
          <w:sz w:val="24"/>
          <w:lang w:eastAsia="pl-PL"/>
        </w:rPr>
        <w:t xml:space="preserve"> Należy uwzględniać doliny rzeczne poprzez dbałość o występującą tam przyrodę. </w:t>
      </w:r>
      <w:r w:rsidRPr="001E57CD">
        <w:rPr>
          <w:color w:val="000000" w:themeColor="text1"/>
          <w:sz w:val="24"/>
        </w:rPr>
        <w:t>Na obszarach wiejskich cechujących się bogactwem przyrodniczym, należy pamiętać aby wprowadzając elementy antropogeniczne, ograniczać degradację środowiska. Natomiast na obszarach miejskich zwiększać ilość terenów zielonych. Dodatkowo tereny te mogą być wykorzystywane turystycznie, w tym poprzez szlaki turystyczne, czy ścieżki edukacyjne. Działania te wpłyną na zachowanie zrównoważonego rozw</w:t>
      </w:r>
      <w:r w:rsidR="001D1207">
        <w:rPr>
          <w:color w:val="000000" w:themeColor="text1"/>
          <w:sz w:val="24"/>
        </w:rPr>
        <w:t>oju obszaru ZIT WrOF, zarówno w </w:t>
      </w:r>
      <w:r w:rsidRPr="001E57CD">
        <w:rPr>
          <w:color w:val="000000" w:themeColor="text1"/>
          <w:sz w:val="24"/>
        </w:rPr>
        <w:t>wymiarze społecznym, historyczno-kulturowym oraz środowiskowym.</w:t>
      </w:r>
    </w:p>
    <w:p w:rsidR="000178B1" w:rsidRPr="001E57CD" w:rsidRDefault="000178B1" w:rsidP="001E57CD">
      <w:pPr>
        <w:jc w:val="left"/>
        <w:rPr>
          <w:color w:val="000000" w:themeColor="text1"/>
          <w:sz w:val="24"/>
        </w:rPr>
      </w:pPr>
      <w:r w:rsidRPr="001E57CD">
        <w:rPr>
          <w:color w:val="000000" w:themeColor="text1"/>
          <w:sz w:val="24"/>
        </w:rPr>
        <w:t xml:space="preserve">Ze względu na rozwój osadnictwa, także poza obszarami miejskimi – istotnym jest zwiększenie dostępności mieszkańców do terenów zieleni. Liczne badania udowadniają bardzo korzystny wpływ bliskości przyrody nie tylko na zdrowie fizyczne ludzi, ale także psychiczne. Społeczeństwo jest coraz bardziej świadome i oczekuje tworzenia nowych parków, parków kieszonkowych, skwerów </w:t>
      </w:r>
      <w:r w:rsidR="000559BF" w:rsidRPr="001E57CD">
        <w:rPr>
          <w:color w:val="000000" w:themeColor="text1"/>
          <w:sz w:val="24"/>
        </w:rPr>
        <w:br/>
      </w:r>
      <w:r w:rsidRPr="001E57CD">
        <w:rPr>
          <w:color w:val="000000" w:themeColor="text1"/>
          <w:sz w:val="24"/>
        </w:rPr>
        <w:t>i zieleńców. Ponadto, tereny zieleni pomagają w oczyszczaniu powietrza z zanieczyszczeń oraz tworzą miejsca żerowania dla licznych zwierząt – szczególnie owadów. Przeznaczanie obszarów pod użytki zielone bezpośrednio wpływa na zwiększenie (bądź przynajmniej zachowanie) powierzchni biologicznie czynnej – krytycznie istotnej z punktu widzenia retencji oraz minimalizacji zagrożenia suszą. Dodatkowo, nie można pominąć izolacyjnych właściwości terenów z</w:t>
      </w:r>
      <w:r w:rsidR="00801B43" w:rsidRPr="001E57CD">
        <w:rPr>
          <w:color w:val="000000" w:themeColor="text1"/>
          <w:sz w:val="24"/>
        </w:rPr>
        <w:t>ielonych, chroniących ludność i </w:t>
      </w:r>
      <w:r w:rsidRPr="001E57CD">
        <w:rPr>
          <w:color w:val="000000" w:themeColor="text1"/>
          <w:sz w:val="24"/>
        </w:rPr>
        <w:t>zwierzęta przed ponadnormatywnymi emisjami hałasu.</w:t>
      </w:r>
    </w:p>
    <w:p w:rsidR="003A0777" w:rsidRPr="001E57CD" w:rsidRDefault="003A0777" w:rsidP="001E57CD">
      <w:pPr>
        <w:spacing w:after="0"/>
        <w:jc w:val="left"/>
        <w:rPr>
          <w:rFonts w:cstheme="minorHAnsi"/>
          <w:b/>
          <w:color w:val="000000" w:themeColor="text1"/>
          <w:sz w:val="24"/>
        </w:rPr>
      </w:pPr>
      <w:r w:rsidRPr="001E57CD">
        <w:rPr>
          <w:rFonts w:cstheme="minorHAnsi"/>
          <w:b/>
          <w:color w:val="000000" w:themeColor="text1"/>
          <w:sz w:val="24"/>
        </w:rPr>
        <w:t>Lasy</w:t>
      </w:r>
    </w:p>
    <w:p w:rsidR="007D07F9" w:rsidRPr="001E57CD" w:rsidRDefault="003A0777" w:rsidP="001E57CD">
      <w:pPr>
        <w:jc w:val="left"/>
        <w:rPr>
          <w:color w:val="000000" w:themeColor="text1"/>
          <w:sz w:val="24"/>
        </w:rPr>
      </w:pPr>
      <w:r w:rsidRPr="001E57CD">
        <w:rPr>
          <w:color w:val="000000" w:themeColor="text1"/>
          <w:sz w:val="24"/>
        </w:rPr>
        <w:t>Większość lasów na terenie WrOF to lasy publiczne. Opiekę nad lasami publicznymi stanowiącymi własność Skarbu Państwa, leżącymi na terenie WrOF</w:t>
      </w:r>
      <w:r w:rsidR="008F1764" w:rsidRPr="001E57CD">
        <w:rPr>
          <w:color w:val="000000" w:themeColor="text1"/>
          <w:sz w:val="24"/>
        </w:rPr>
        <w:t>,</w:t>
      </w:r>
      <w:r w:rsidRPr="001E57CD">
        <w:rPr>
          <w:color w:val="000000" w:themeColor="text1"/>
          <w:sz w:val="24"/>
        </w:rPr>
        <w:t xml:space="preserve"> sprawuje Państwowe Gospodarstwo Leśne Lasy Państwowe – Regionalna Dyrekcja Lasów Państwowych we Wrocławiu. Pozostałą część lasów publicznych stanowią lasy gminne oraz inne lasy Skarbu Państwa, jednakże są to znikome powierzchnie. Dodatkowo, funkcjonują lasy prywatne, w których nadzór nad prowadzoną gospodarką leśną sprawuje starosta, a lasy takie są własnością osoby fizycznej, prawnej lub spółki osobowej.</w:t>
      </w:r>
    </w:p>
    <w:p w:rsidR="003A0777" w:rsidRPr="001E57CD" w:rsidRDefault="003A0777" w:rsidP="001E57CD">
      <w:pPr>
        <w:spacing w:after="0"/>
        <w:jc w:val="left"/>
        <w:rPr>
          <w:color w:val="000000" w:themeColor="text1"/>
          <w:sz w:val="24"/>
        </w:rPr>
      </w:pPr>
      <w:r w:rsidRPr="001E57CD">
        <w:rPr>
          <w:color w:val="000000" w:themeColor="text1"/>
          <w:sz w:val="24"/>
        </w:rPr>
        <w:t>Teren WrOF leży w zasięgu 7 nadleśnictw:</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Henryków (fragment gminy Kobierzyce),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Oława (gminy Żórawina, Siechnice, Czernica, Jelcz-laskowice, Oława (miasto), Oława (gmina wiejska) oraz fragment Wrocławia),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Oleśnica Śl. (gminy Oleśnica (miasto), Oleśnica (gmina wiejska), częściowo gminy Długołęka, Zawonia, Dobroszyce oraz fragment Wrocławia),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Miękinia (gminy Sobótka, Kąty Wrocławskie, Miękinia, częściowo gmina Kobierzyce oraz fragment Wrocławia),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Oborniki (gminy Oborniki Śląskie, Wisznia Mała, fragment gmin Długołęka, Trzebnica, Zawonia oraz fragment Wrocławia),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Żmigród (fragment gminy Trzebnica), </w:t>
      </w:r>
    </w:p>
    <w:p w:rsidR="003A0777" w:rsidRPr="001E57CD" w:rsidRDefault="003A0777" w:rsidP="001E57CD">
      <w:pPr>
        <w:pStyle w:val="Akapitzlist"/>
        <w:numPr>
          <w:ilvl w:val="0"/>
          <w:numId w:val="22"/>
        </w:numPr>
        <w:jc w:val="left"/>
        <w:rPr>
          <w:color w:val="000000" w:themeColor="text1"/>
          <w:sz w:val="24"/>
        </w:rPr>
      </w:pPr>
      <w:r w:rsidRPr="001E57CD">
        <w:rPr>
          <w:color w:val="000000" w:themeColor="text1"/>
          <w:sz w:val="24"/>
        </w:rPr>
        <w:t xml:space="preserve">Nadleśnictwo Milicz (fragment gmin Trzebnica, Zawonia i Dobroszyce). </w:t>
      </w:r>
    </w:p>
    <w:p w:rsidR="003A0777" w:rsidRPr="001E57CD" w:rsidRDefault="003A0777" w:rsidP="001E57CD">
      <w:pPr>
        <w:spacing w:before="120" w:after="0"/>
        <w:jc w:val="left"/>
        <w:rPr>
          <w:color w:val="000000" w:themeColor="text1"/>
          <w:sz w:val="24"/>
        </w:rPr>
      </w:pPr>
      <w:r w:rsidRPr="001E57CD">
        <w:rPr>
          <w:color w:val="000000" w:themeColor="text1"/>
          <w:sz w:val="24"/>
        </w:rPr>
        <w:t>Zróżnicowanie geograficzne, klimatyczne i glebowe powoduje, iż w zasięgu RDLP we Wrocławiu występują wszystkie typy siedliskowe lasu charakterystyczne dla t</w:t>
      </w:r>
      <w:r w:rsidR="00896807" w:rsidRPr="001E57CD">
        <w:rPr>
          <w:color w:val="000000" w:themeColor="text1"/>
          <w:sz w:val="24"/>
        </w:rPr>
        <w:t>erenów nizinnych, podgórskich i </w:t>
      </w:r>
      <w:r w:rsidRPr="001E57CD">
        <w:rPr>
          <w:color w:val="000000" w:themeColor="text1"/>
          <w:sz w:val="24"/>
        </w:rPr>
        <w:t>górskich. Udział siedlisk nizinnych wynosi 58,0%, wyżynnych 14,6%, a górskich 29,4%. Bory iglaste pokrywają powierzchnię 15,3%, bory mieszane 28%, lasy mieszane 35,4%, zaś lasy liściaste i olsy 21,3%. W strukturze lasów RDLP Wrocław dominują gatunki iglaste - stanowią one 70% powierzchni wszystkich drzewostanów. Gatunki liściaste zajmują natomiast 30% powierzchni. Do głównych gatunków lasotwórczych należą: sosna i</w:t>
      </w:r>
      <w:r w:rsidR="001D1207">
        <w:rPr>
          <w:color w:val="000000" w:themeColor="text1"/>
          <w:sz w:val="24"/>
        </w:rPr>
        <w:t> </w:t>
      </w:r>
      <w:r w:rsidRPr="001E57CD">
        <w:rPr>
          <w:color w:val="000000" w:themeColor="text1"/>
          <w:sz w:val="24"/>
        </w:rPr>
        <w:t>modrzew - 46,4%, świerk - 23,4%, dąb, jesion, klon - razem 14,9%, buk - 6,6%, brzoza i grab - 4,5%, olsza - 3,4%. W lasach sporadycznie spotkać można także cały szereg innych gatunków drzew i krzewów stanowiących cenne biocenotycznie domieszki</w:t>
      </w:r>
      <w:r w:rsidRPr="001E57CD">
        <w:rPr>
          <w:rStyle w:val="Odwoanieprzypisudolnego"/>
          <w:color w:val="000000" w:themeColor="text1"/>
          <w:sz w:val="24"/>
        </w:rPr>
        <w:footnoteReference w:id="54"/>
      </w:r>
      <w:r w:rsidRPr="001E57CD">
        <w:rPr>
          <w:color w:val="000000" w:themeColor="text1"/>
          <w:sz w:val="24"/>
        </w:rPr>
        <w:t>.</w:t>
      </w:r>
    </w:p>
    <w:p w:rsidR="003A0777" w:rsidRPr="00E316FF" w:rsidRDefault="003A0777" w:rsidP="003A0777">
      <w:pPr>
        <w:pStyle w:val="nadWrOF"/>
        <w:rPr>
          <w:rFonts w:cs="Calibri"/>
          <w:b/>
          <w:bCs/>
          <w:shd w:val="clear" w:color="auto" w:fill="FFFFFF"/>
        </w:rPr>
      </w:pPr>
      <w:bookmarkStart w:id="66" w:name="_Toc119309227"/>
      <w:bookmarkStart w:id="67" w:name="_Toc125959951"/>
      <w:bookmarkStart w:id="68" w:name="_Toc130466213"/>
      <w:bookmarkStart w:id="69" w:name="_Toc143606996"/>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7</w:t>
      </w:r>
      <w:r w:rsidR="00C73793">
        <w:rPr>
          <w:noProof/>
        </w:rPr>
        <w:fldChar w:fldCharType="end"/>
      </w:r>
      <w:r>
        <w:t xml:space="preserve"> Lesistość gmin WrOF</w:t>
      </w:r>
      <w:bookmarkEnd w:id="66"/>
      <w:r>
        <w:t xml:space="preserve"> w 2021 r.</w:t>
      </w:r>
      <w:bookmarkEnd w:id="67"/>
      <w:bookmarkEnd w:id="68"/>
      <w:bookmarkEnd w:id="69"/>
    </w:p>
    <w:p w:rsidR="003A0777" w:rsidRPr="00204380" w:rsidRDefault="00405DA1" w:rsidP="003A0777">
      <w:pPr>
        <w:spacing w:after="0" w:line="240" w:lineRule="auto"/>
        <w:rPr>
          <w:rFonts w:cs="Calibri"/>
          <w:shd w:val="clear" w:color="auto" w:fill="FFFFFF"/>
        </w:rPr>
      </w:pPr>
      <w:r w:rsidRPr="00D74575">
        <w:rPr>
          <w:rFonts w:cs="Calibri"/>
          <w:noProof/>
          <w:shd w:val="clear" w:color="auto" w:fill="FFFFFF"/>
          <w:lang w:eastAsia="pl-PL"/>
        </w:rPr>
        <w:drawing>
          <wp:inline distT="0" distB="0" distL="0" distR="0" wp14:anchorId="77CF954D" wp14:editId="719F90F3">
            <wp:extent cx="5753100" cy="3562350"/>
            <wp:effectExtent l="0" t="0" r="0" b="0"/>
            <wp:docPr id="41" name="Obraz 353" descr="Lesistość gmin WrOF w 2021 r. wraz z dynamiką zmian" title="Lesistość gmin WrOF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3"/>
                    <pic:cNvPicPr>
                      <a:picLocks noChangeAspect="1" noChangeArrowheads="1"/>
                    </pic:cNvPicPr>
                  </pic:nvPicPr>
                  <pic:blipFill>
                    <a:blip r:embed="rId22" cstate="print"/>
                    <a:srcRect b="2605"/>
                    <a:stretch>
                      <a:fillRect/>
                    </a:stretch>
                  </pic:blipFill>
                  <pic:spPr bwMode="auto">
                    <a:xfrm>
                      <a:off x="0" y="0"/>
                      <a:ext cx="5753100" cy="3562350"/>
                    </a:xfrm>
                    <a:prstGeom prst="rect">
                      <a:avLst/>
                    </a:prstGeom>
                    <a:noFill/>
                    <a:ln w="9525">
                      <a:noFill/>
                      <a:miter lim="800000"/>
                      <a:headEnd/>
                      <a:tailEnd/>
                    </a:ln>
                  </pic:spPr>
                </pic:pic>
              </a:graphicData>
            </a:graphic>
          </wp:inline>
        </w:drawing>
      </w:r>
    </w:p>
    <w:p w:rsidR="003A0777" w:rsidRPr="00DA65EF" w:rsidRDefault="003A0777" w:rsidP="003A0777">
      <w:pPr>
        <w:pStyle w:val="PODWrof"/>
      </w:pPr>
      <w:r w:rsidRPr="00E605EE">
        <w:t>Źródło: opracowanie własne na podstawie danych BDL GUS</w:t>
      </w:r>
      <w:r>
        <w:t xml:space="preserve"> [Stan na: 31.12.2021].</w:t>
      </w:r>
    </w:p>
    <w:p w:rsidR="000F5700" w:rsidRPr="001E57CD" w:rsidRDefault="000559BF" w:rsidP="001E57CD">
      <w:pPr>
        <w:spacing w:after="0"/>
        <w:jc w:val="left"/>
        <w:rPr>
          <w:rFonts w:cs="Calibri"/>
          <w:sz w:val="24"/>
          <w:shd w:val="clear" w:color="auto" w:fill="FFFFFF"/>
        </w:rPr>
      </w:pPr>
      <w:r w:rsidRPr="001E57CD">
        <w:rPr>
          <w:rFonts w:cs="Calibri"/>
          <w:sz w:val="24"/>
          <w:shd w:val="clear" w:color="auto" w:fill="FFFFFF"/>
        </w:rPr>
        <w:t>Ś</w:t>
      </w:r>
      <w:r w:rsidR="003A0777" w:rsidRPr="001E57CD">
        <w:rPr>
          <w:rFonts w:cs="Calibri"/>
          <w:sz w:val="24"/>
          <w:shd w:val="clear" w:color="auto" w:fill="FFFFFF"/>
        </w:rPr>
        <w:t xml:space="preserve">rednia lesistość </w:t>
      </w:r>
      <w:r w:rsidRPr="001E57CD">
        <w:rPr>
          <w:rFonts w:cs="Calibri"/>
          <w:sz w:val="24"/>
          <w:shd w:val="clear" w:color="auto" w:fill="FFFFFF"/>
        </w:rPr>
        <w:t xml:space="preserve">we </w:t>
      </w:r>
      <w:r w:rsidR="003A0777" w:rsidRPr="001E57CD">
        <w:rPr>
          <w:rFonts w:cs="Calibri"/>
          <w:sz w:val="24"/>
          <w:shd w:val="clear" w:color="auto" w:fill="FFFFFF"/>
        </w:rPr>
        <w:t>WrOF wynosi 18,5%, a więc jest niższa niż kraju (29,6%) oraz województwa dolnośląskiego (29,9%). Najwyższą lesistość</w:t>
      </w:r>
      <w:r w:rsidR="001D1207">
        <w:rPr>
          <w:rFonts w:cs="Calibri"/>
          <w:sz w:val="24"/>
          <w:shd w:val="clear" w:color="auto" w:fill="FFFFFF"/>
        </w:rPr>
        <w:t xml:space="preserve"> ma gmina Dobroszyce (43,7%), a </w:t>
      </w:r>
      <w:r w:rsidR="003A0777" w:rsidRPr="001E57CD">
        <w:rPr>
          <w:rFonts w:cs="Calibri"/>
          <w:sz w:val="24"/>
          <w:shd w:val="clear" w:color="auto" w:fill="FFFFFF"/>
        </w:rPr>
        <w:t xml:space="preserve">najniższą gmina Żórawina (1,0%). Gminy mające wyższą lesistość niż województwo oraz kraj to: Dobroszyce (43,7%), Zawonia (37,8%), Oborniki Śląskie (34,8%) i Jelcz-Laskowice (32,0%). Wschodni fragment gminy Jelcz-Laskowice objęty jest zasięgiem funkcjonowania puszczy Bory </w:t>
      </w:r>
      <w:proofErr w:type="spellStart"/>
      <w:r w:rsidR="003A0777" w:rsidRPr="001E57CD">
        <w:rPr>
          <w:rFonts w:cs="Calibri"/>
          <w:sz w:val="24"/>
          <w:shd w:val="clear" w:color="auto" w:fill="FFFFFF"/>
        </w:rPr>
        <w:t>Stobrawskie</w:t>
      </w:r>
      <w:proofErr w:type="spellEnd"/>
      <w:r w:rsidR="003A0777" w:rsidRPr="001E57CD">
        <w:rPr>
          <w:rFonts w:cs="Calibri"/>
          <w:sz w:val="24"/>
          <w:shd w:val="clear" w:color="auto" w:fill="FFFFFF"/>
        </w:rPr>
        <w:t>. Znaczna większość obszaru puszczy znajduje się w województwie opolskim. Na terenie Borów występuje 50 gatunków roślin chronionych oraz około 140 gatunków roślin rzadkich.</w:t>
      </w:r>
    </w:p>
    <w:p w:rsidR="003A0777" w:rsidRPr="001E57CD" w:rsidRDefault="003A0777" w:rsidP="001E57CD">
      <w:pPr>
        <w:spacing w:after="0"/>
        <w:jc w:val="left"/>
        <w:rPr>
          <w:rFonts w:cs="Calibri"/>
          <w:sz w:val="24"/>
          <w:shd w:val="clear" w:color="auto" w:fill="FFFFFF"/>
        </w:rPr>
      </w:pPr>
      <w:r w:rsidRPr="001E57CD">
        <w:rPr>
          <w:rFonts w:cs="Calibri"/>
          <w:sz w:val="24"/>
          <w:shd w:val="clear" w:color="auto" w:fill="FFFFFF"/>
        </w:rPr>
        <w:t xml:space="preserve">W okresie pięciolecia spadek lesistości zanotowano w gminach Trzebnica oraz Kąty Wrocławskie. </w:t>
      </w:r>
      <w:r w:rsidRPr="001E57CD">
        <w:rPr>
          <w:rFonts w:cs="Calibri"/>
          <w:sz w:val="24"/>
          <w:shd w:val="clear" w:color="auto" w:fill="FFFFFF"/>
        </w:rPr>
        <w:br/>
        <w:t>Jak wynika z powyższej mapy, wyższą lesistość obserwuje się w pó</w:t>
      </w:r>
      <w:r w:rsidR="001D1207">
        <w:rPr>
          <w:rFonts w:cs="Calibri"/>
          <w:sz w:val="24"/>
          <w:shd w:val="clear" w:color="auto" w:fill="FFFFFF"/>
        </w:rPr>
        <w:t xml:space="preserve">łnocno-wschodniej części WrOF, </w:t>
      </w:r>
      <w:r w:rsidRPr="001E57CD">
        <w:rPr>
          <w:rFonts w:cs="Calibri"/>
          <w:sz w:val="24"/>
          <w:shd w:val="clear" w:color="auto" w:fill="FFFFFF"/>
        </w:rPr>
        <w:t>a najniższą w południowo-zachodniej części analizowanego obszaru (za wyjątkiem gminy Sobótka). Na północ i północny wschód od Wrocławia znajduj</w:t>
      </w:r>
      <w:r w:rsidR="001D1207">
        <w:rPr>
          <w:rFonts w:cs="Calibri"/>
          <w:sz w:val="24"/>
          <w:shd w:val="clear" w:color="auto" w:fill="FFFFFF"/>
        </w:rPr>
        <w:t>ą się swoiste „zielone płuca” i </w:t>
      </w:r>
      <w:r w:rsidRPr="001E57CD">
        <w:rPr>
          <w:rFonts w:cs="Calibri"/>
          <w:sz w:val="24"/>
          <w:shd w:val="clear" w:color="auto" w:fill="FFFFFF"/>
        </w:rPr>
        <w:t>istotny ekosystem we WrOF (rejon gminy Oborniki Śląskie, Oleśnicy (gmina wiejska) i gminy Trzebnica). Niska lesistość gmin: Kąty Wrocławskie, Kobierzyce oraz Żórawina wynika z występujących na ich terenie gleb wysokiej jakości, które wykorzystywane są rolniczo. Niestety, część czarnoziemów przeznaczona została pod zabudowę, na cele inwestycyjne dedykowane przemysłowi oraz centrom</w:t>
      </w:r>
      <w:r w:rsidR="008F1764" w:rsidRPr="001E57CD">
        <w:rPr>
          <w:rFonts w:cs="Calibri"/>
          <w:sz w:val="24"/>
          <w:shd w:val="clear" w:color="auto" w:fill="FFFFFF"/>
        </w:rPr>
        <w:t xml:space="preserve"> </w:t>
      </w:r>
      <w:r w:rsidRPr="001E57CD">
        <w:rPr>
          <w:rFonts w:cs="Calibri"/>
          <w:sz w:val="24"/>
          <w:shd w:val="clear" w:color="auto" w:fill="FFFFFF"/>
        </w:rPr>
        <w:t>logistycznym,</w:t>
      </w:r>
      <w:r w:rsidR="008F1764" w:rsidRPr="001E57CD">
        <w:rPr>
          <w:rFonts w:cs="Calibri"/>
          <w:sz w:val="24"/>
          <w:shd w:val="clear" w:color="auto" w:fill="FFFFFF"/>
        </w:rPr>
        <w:t xml:space="preserve"> </w:t>
      </w:r>
      <w:r w:rsidRPr="001E57CD">
        <w:rPr>
          <w:sz w:val="24"/>
        </w:rPr>
        <w:t>skutkując bezpowrotną utratą tych gleb</w:t>
      </w:r>
      <w:r w:rsidRPr="001E57CD">
        <w:rPr>
          <w:rFonts w:cs="Calibri"/>
          <w:sz w:val="24"/>
          <w:shd w:val="clear" w:color="auto" w:fill="FFFFFF"/>
        </w:rPr>
        <w:t xml:space="preserve">. </w:t>
      </w:r>
    </w:p>
    <w:p w:rsidR="003A0777" w:rsidRPr="000A6F56" w:rsidRDefault="003A0777" w:rsidP="003A0777">
      <w:pPr>
        <w:pStyle w:val="nadWrOF"/>
        <w:rPr>
          <w:rFonts w:cs="Calibri"/>
          <w:color w:val="FF0000"/>
          <w:shd w:val="clear" w:color="auto" w:fill="FFFFFF"/>
        </w:rPr>
      </w:pPr>
      <w:bookmarkStart w:id="70" w:name="_Toc125959952"/>
      <w:bookmarkStart w:id="71" w:name="_Toc130466214"/>
      <w:bookmarkStart w:id="72" w:name="_Toc143606997"/>
      <w:r w:rsidRPr="000A6F56">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8</w:t>
      </w:r>
      <w:r w:rsidR="00C73793">
        <w:rPr>
          <w:noProof/>
        </w:rPr>
        <w:fldChar w:fldCharType="end"/>
      </w:r>
      <w:r w:rsidRPr="000A6F56">
        <w:t xml:space="preserve"> Kompleksy leśne w gminach WrOF</w:t>
      </w:r>
      <w:bookmarkEnd w:id="70"/>
      <w:bookmarkEnd w:id="71"/>
      <w:bookmarkEnd w:id="72"/>
    </w:p>
    <w:p w:rsidR="003A0777" w:rsidRDefault="00405DA1" w:rsidP="003A0777">
      <w:pPr>
        <w:spacing w:after="0" w:line="240" w:lineRule="auto"/>
        <w:rPr>
          <w:rFonts w:cs="Calibri"/>
          <w:shd w:val="clear" w:color="auto" w:fill="FFFFFF"/>
        </w:rPr>
      </w:pPr>
      <w:r w:rsidRPr="00D74575">
        <w:rPr>
          <w:rFonts w:cs="Calibri"/>
          <w:noProof/>
          <w:shd w:val="clear" w:color="auto" w:fill="FFFFFF"/>
          <w:lang w:eastAsia="pl-PL"/>
        </w:rPr>
        <w:drawing>
          <wp:inline distT="0" distB="0" distL="0" distR="0" wp14:anchorId="11889C5D" wp14:editId="40E3466B">
            <wp:extent cx="4752000" cy="5163590"/>
            <wp:effectExtent l="0" t="0" r="0" b="0"/>
            <wp:docPr id="43" name="Obraz 354" descr="Kompleksy leśne w gminach WrOF" title="Kompleksy leśne w gminach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4"/>
                    <pic:cNvPicPr>
                      <a:picLocks noChangeAspect="1" noChangeArrowheads="1"/>
                    </pic:cNvPicPr>
                  </pic:nvPicPr>
                  <pic:blipFill>
                    <a:blip r:embed="rId23" cstate="print"/>
                    <a:srcRect/>
                    <a:stretch>
                      <a:fillRect/>
                    </a:stretch>
                  </pic:blipFill>
                  <pic:spPr bwMode="auto">
                    <a:xfrm>
                      <a:off x="0" y="0"/>
                      <a:ext cx="4752000" cy="5163590"/>
                    </a:xfrm>
                    <a:prstGeom prst="rect">
                      <a:avLst/>
                    </a:prstGeom>
                    <a:noFill/>
                    <a:ln w="9525">
                      <a:noFill/>
                      <a:miter lim="800000"/>
                      <a:headEnd/>
                      <a:tailEnd/>
                    </a:ln>
                  </pic:spPr>
                </pic:pic>
              </a:graphicData>
            </a:graphic>
          </wp:inline>
        </w:drawing>
      </w:r>
    </w:p>
    <w:p w:rsidR="003A0777" w:rsidRPr="002456FA" w:rsidRDefault="003A0777" w:rsidP="001E57CD">
      <w:pPr>
        <w:pStyle w:val="PODWrof"/>
      </w:pPr>
      <w:r w:rsidRPr="00E605EE">
        <w:t xml:space="preserve">Źródło: </w:t>
      </w:r>
      <w:r w:rsidRPr="000A6F56">
        <w:t>opracowanie własne na podstawie Bazy danych obiektów topograficznych [Dostęp: 12.09.2022]</w:t>
      </w:r>
      <w:r>
        <w:t>.</w:t>
      </w:r>
      <w:r>
        <w:br w:type="page"/>
      </w:r>
    </w:p>
    <w:p w:rsidR="000178B1" w:rsidRPr="001E57CD" w:rsidRDefault="000178B1" w:rsidP="001E57CD">
      <w:pPr>
        <w:spacing w:after="0"/>
        <w:jc w:val="left"/>
        <w:rPr>
          <w:rFonts w:cstheme="minorHAnsi"/>
          <w:b/>
          <w:color w:val="000000" w:themeColor="text1"/>
          <w:sz w:val="24"/>
        </w:rPr>
      </w:pPr>
      <w:r w:rsidRPr="001E57CD">
        <w:rPr>
          <w:rFonts w:cstheme="minorHAnsi"/>
          <w:b/>
          <w:color w:val="000000" w:themeColor="text1"/>
          <w:sz w:val="24"/>
        </w:rPr>
        <w:t>Sieć wodociągowa</w:t>
      </w:r>
    </w:p>
    <w:p w:rsidR="00DF6A75" w:rsidRPr="001E57CD" w:rsidRDefault="00DF6A75" w:rsidP="001E57CD">
      <w:pPr>
        <w:jc w:val="left"/>
        <w:rPr>
          <w:rFonts w:cs="Calibri"/>
          <w:color w:val="000000" w:themeColor="text1"/>
          <w:sz w:val="24"/>
        </w:rPr>
      </w:pPr>
      <w:r w:rsidRPr="001E57CD">
        <w:rPr>
          <w:rFonts w:cs="Calibri"/>
          <w:color w:val="000000" w:themeColor="text1"/>
          <w:sz w:val="24"/>
        </w:rPr>
        <w:t xml:space="preserve">Sieć wodociągowa zapewnia systemowo mieszkańcom dostęp do bieżącej wody o odpowiedniej jakości. </w:t>
      </w:r>
    </w:p>
    <w:p w:rsidR="00DF6A75" w:rsidRPr="00D12A21" w:rsidRDefault="00DF6A75" w:rsidP="00896807">
      <w:pPr>
        <w:pStyle w:val="nadWrOF"/>
      </w:pPr>
      <w:bookmarkStart w:id="73" w:name="_Toc119309229"/>
      <w:bookmarkStart w:id="74" w:name="_Toc125959953"/>
      <w:bookmarkStart w:id="75" w:name="_Toc130466215"/>
      <w:bookmarkStart w:id="76" w:name="_Toc143606998"/>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9</w:t>
      </w:r>
      <w:r w:rsidR="00C73793">
        <w:rPr>
          <w:noProof/>
        </w:rPr>
        <w:fldChar w:fldCharType="end"/>
      </w:r>
      <w:r w:rsidR="00702D7A">
        <w:rPr>
          <w:noProof/>
        </w:rPr>
        <w:t xml:space="preserve"> </w:t>
      </w:r>
      <w:r w:rsidRPr="00DF2FDC">
        <w:t>Udział ludności korzystającej z sieci wodociągowej</w:t>
      </w:r>
      <w:r>
        <w:t xml:space="preserve"> w 2020 r. wraz z dynamiką zmian w latach 2017-2020</w:t>
      </w:r>
      <w:r w:rsidRPr="00DF2FDC">
        <w:t xml:space="preserve"> [%]</w:t>
      </w:r>
      <w:r w:rsidRPr="00204380">
        <w:rPr>
          <w:rStyle w:val="Odwoanieprzypisudolnego"/>
          <w:rFonts w:cs="Calibri"/>
        </w:rPr>
        <w:footnoteReference w:id="55"/>
      </w:r>
      <w:bookmarkEnd w:id="73"/>
      <w:bookmarkEnd w:id="74"/>
      <w:bookmarkEnd w:id="75"/>
      <w:bookmarkEnd w:id="76"/>
    </w:p>
    <w:p w:rsidR="00DF6A75" w:rsidRDefault="00405DA1" w:rsidP="00896807">
      <w:pPr>
        <w:pStyle w:val="wyrsynt"/>
        <w:spacing w:before="0" w:line="240" w:lineRule="auto"/>
      </w:pPr>
      <w:r w:rsidRPr="00D74575">
        <w:rPr>
          <w:rFonts w:cs="Calibri"/>
          <w:noProof/>
          <w:lang w:eastAsia="pl-PL"/>
        </w:rPr>
        <w:drawing>
          <wp:inline distT="0" distB="0" distL="0" distR="0" wp14:anchorId="6A115E45" wp14:editId="375A7062">
            <wp:extent cx="5753100" cy="3543300"/>
            <wp:effectExtent l="0" t="0" r="0" b="0"/>
            <wp:docPr id="64" name="Obraz 355" descr="Udział ludności korzystającej z sieci wodociągowej w 2020 r. wraz z dynamiką zmian w latach 2017-2020 [%] " title="Udział ludności korzystającej z sieci wodociągowej w 2020 r. wraz z dynamiką zmian w latach 2017-2020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5"/>
                    <pic:cNvPicPr>
                      <a:picLocks noChangeAspect="1" noChangeArrowheads="1"/>
                    </pic:cNvPicPr>
                  </pic:nvPicPr>
                  <pic:blipFill>
                    <a:blip r:embed="rId24" cstate="print"/>
                    <a:srcRect b="3125"/>
                    <a:stretch>
                      <a:fillRect/>
                    </a:stretch>
                  </pic:blipFill>
                  <pic:spPr bwMode="auto">
                    <a:xfrm>
                      <a:off x="0" y="0"/>
                      <a:ext cx="5753100" cy="3543300"/>
                    </a:xfrm>
                    <a:prstGeom prst="rect">
                      <a:avLst/>
                    </a:prstGeom>
                    <a:noFill/>
                    <a:ln w="9525">
                      <a:noFill/>
                      <a:miter lim="800000"/>
                      <a:headEnd/>
                      <a:tailEnd/>
                    </a:ln>
                  </pic:spPr>
                </pic:pic>
              </a:graphicData>
            </a:graphic>
          </wp:inline>
        </w:drawing>
      </w:r>
    </w:p>
    <w:p w:rsidR="001E57CD" w:rsidRPr="002570D8" w:rsidRDefault="001E57CD" w:rsidP="001E57CD">
      <w:pPr>
        <w:pStyle w:val="podWrOF0"/>
        <w:spacing w:after="240"/>
      </w:pPr>
      <w:r w:rsidRPr="002570D8">
        <w:t>Źródło: opracowanie własne na podstawie danych BDL GUS [Stan na: 31.12.2021]</w:t>
      </w:r>
      <w:r>
        <w:t>.</w:t>
      </w:r>
    </w:p>
    <w:p w:rsidR="000178B1" w:rsidRPr="00652ACD" w:rsidRDefault="000178B1" w:rsidP="00652ACD">
      <w:pPr>
        <w:jc w:val="left"/>
        <w:rPr>
          <w:rFonts w:cs="Calibri"/>
          <w:sz w:val="24"/>
        </w:rPr>
      </w:pPr>
      <w:r w:rsidRPr="00652ACD">
        <w:rPr>
          <w:rFonts w:cs="Calibri"/>
          <w:sz w:val="24"/>
        </w:rPr>
        <w:t>Zgodnie z danymi BDL GUS za 2020 rok, ogólny procent zwodociągowania gmin WrOF wynosi 96,7% i jest wyższy niż wskaźnik dla województwa oraz kraju. W gminach</w:t>
      </w:r>
      <w:r w:rsidR="00B438C8" w:rsidRPr="00652ACD">
        <w:rPr>
          <w:rFonts w:cs="Calibri"/>
          <w:sz w:val="24"/>
        </w:rPr>
        <w:t>:</w:t>
      </w:r>
      <w:r w:rsidRPr="00652ACD">
        <w:rPr>
          <w:rFonts w:cs="Calibri"/>
          <w:sz w:val="24"/>
        </w:rPr>
        <w:t xml:space="preserve"> Czernic</w:t>
      </w:r>
      <w:r w:rsidR="00B438C8" w:rsidRPr="00652ACD">
        <w:rPr>
          <w:rFonts w:cs="Calibri"/>
          <w:sz w:val="24"/>
        </w:rPr>
        <w:t>a</w:t>
      </w:r>
      <w:r w:rsidRPr="00652ACD">
        <w:rPr>
          <w:rFonts w:cs="Calibri"/>
          <w:sz w:val="24"/>
        </w:rPr>
        <w:t xml:space="preserve"> oraz Długołę</w:t>
      </w:r>
      <w:r w:rsidR="00B438C8" w:rsidRPr="00652ACD">
        <w:rPr>
          <w:rFonts w:cs="Calibri"/>
          <w:sz w:val="24"/>
        </w:rPr>
        <w:t>ka</w:t>
      </w:r>
      <w:r w:rsidRPr="00652ACD">
        <w:rPr>
          <w:rFonts w:cs="Calibri"/>
          <w:sz w:val="24"/>
        </w:rPr>
        <w:t xml:space="preserve"> 100% ludności korzysta z sieci wodociągowej</w:t>
      </w:r>
      <w:r w:rsidRPr="00652ACD">
        <w:rPr>
          <w:rStyle w:val="Odwoanieprzypisudolnego"/>
          <w:rFonts w:cs="Calibri"/>
          <w:sz w:val="24"/>
        </w:rPr>
        <w:footnoteReference w:id="56"/>
      </w:r>
      <w:r w:rsidRPr="00652ACD">
        <w:rPr>
          <w:rFonts w:cs="Calibri"/>
          <w:sz w:val="24"/>
        </w:rPr>
        <w:t xml:space="preserve">. Spadek udziału ludności korzystającej z sieci wodociągowej obserwuje się w gminach: Dobroszyce, Wisznia Mała oraz Wrocław. Przyczyną zmiany wskaźnika jest dynamiczny wzrost liczby mieszkańców, przy niewystarczającym rozwoju infrastruktury technicznej. W wielu przypadkach za taki stan rzeczy </w:t>
      </w:r>
      <w:r w:rsidR="002E0052" w:rsidRPr="00652ACD">
        <w:rPr>
          <w:rFonts w:cs="Calibri"/>
          <w:sz w:val="24"/>
        </w:rPr>
        <w:t xml:space="preserve">odpowiada </w:t>
      </w:r>
      <w:r w:rsidRPr="00652ACD">
        <w:rPr>
          <w:rFonts w:cs="Calibri"/>
          <w:sz w:val="24"/>
        </w:rPr>
        <w:t>także długi czas oczekiwania na wykonanie przyłączenia wodociągowego do budynku. W przypadku gminy Czernica</w:t>
      </w:r>
      <w:r w:rsidR="008F1764" w:rsidRPr="00652ACD">
        <w:rPr>
          <w:rFonts w:cs="Calibri"/>
          <w:sz w:val="24"/>
        </w:rPr>
        <w:t xml:space="preserve">, </w:t>
      </w:r>
      <w:r w:rsidRPr="00652ACD">
        <w:rPr>
          <w:rFonts w:cs="Calibri"/>
          <w:sz w:val="24"/>
        </w:rPr>
        <w:t xml:space="preserve">w której to nastąpił </w:t>
      </w:r>
      <w:r w:rsidR="008F1764" w:rsidRPr="00652ACD">
        <w:rPr>
          <w:rFonts w:cs="Calibri"/>
          <w:sz w:val="24"/>
        </w:rPr>
        <w:t>olbrzymi wzrost liczby ludności</w:t>
      </w:r>
      <w:r w:rsidRPr="00652ACD">
        <w:rPr>
          <w:rFonts w:cs="Calibri"/>
          <w:sz w:val="24"/>
        </w:rPr>
        <w:t xml:space="preserve">, z uwagi na ograniczenia infrastrukturalne, Zakład Gospodarki Komunalnej Czernica zmuszony był ograniczyć </w:t>
      </w:r>
      <w:r w:rsidR="002E0052" w:rsidRPr="00652ACD">
        <w:rPr>
          <w:rFonts w:cs="Calibri"/>
          <w:sz w:val="24"/>
        </w:rPr>
        <w:t>oraz</w:t>
      </w:r>
      <w:r w:rsidRPr="00652ACD">
        <w:rPr>
          <w:rFonts w:cs="Calibri"/>
          <w:sz w:val="24"/>
        </w:rPr>
        <w:t xml:space="preserve"> wstrzymać wydawanie warunków dla dostaw wody dla przedsiębiorstw i nowych inwestycji deweloperskich o dużej powierzchni zabudowy mieszkaniowej.</w:t>
      </w:r>
      <w:r w:rsidR="00D94C7A" w:rsidRPr="00652ACD">
        <w:rPr>
          <w:rFonts w:cs="Calibri"/>
          <w:sz w:val="24"/>
        </w:rPr>
        <w:t xml:space="preserve"> S</w:t>
      </w:r>
      <w:r w:rsidRPr="00652ACD">
        <w:rPr>
          <w:rFonts w:cs="Calibri"/>
          <w:sz w:val="24"/>
        </w:rPr>
        <w:t>ytuacja ta implikuje konieczność przep</w:t>
      </w:r>
      <w:r w:rsidR="001D1207">
        <w:rPr>
          <w:rFonts w:cs="Calibri"/>
          <w:sz w:val="24"/>
        </w:rPr>
        <w:t>rowadzenia pilnych inwestycji w </w:t>
      </w:r>
      <w:r w:rsidRPr="00652ACD">
        <w:rPr>
          <w:rFonts w:cs="Calibri"/>
          <w:sz w:val="24"/>
        </w:rPr>
        <w:t>zakresie rozwoju systemu wodociągowego w gminie</w:t>
      </w:r>
      <w:r w:rsidR="00F01C8A" w:rsidRPr="00652ACD">
        <w:rPr>
          <w:rFonts w:cs="Calibri"/>
          <w:sz w:val="24"/>
        </w:rPr>
        <w:t xml:space="preserve"> Czernica</w:t>
      </w:r>
      <w:r w:rsidRPr="00652ACD">
        <w:rPr>
          <w:rFonts w:cs="Calibri"/>
          <w:sz w:val="24"/>
        </w:rPr>
        <w:t>. W pozostałych gminach wskaźnik jest stały lub wzrasta. Poza rozbudową sieci wodociągowej, istotna jest równi</w:t>
      </w:r>
      <w:r w:rsidR="00D94C7A" w:rsidRPr="00652ACD">
        <w:rPr>
          <w:rFonts w:cs="Calibri"/>
          <w:sz w:val="24"/>
        </w:rPr>
        <w:t>eż modernizacja przestarzałej i </w:t>
      </w:r>
      <w:r w:rsidRPr="00652ACD">
        <w:rPr>
          <w:rFonts w:cs="Calibri"/>
          <w:sz w:val="24"/>
        </w:rPr>
        <w:t xml:space="preserve">wyeksploatowanej </w:t>
      </w:r>
      <w:r w:rsidR="00D94C7A" w:rsidRPr="00652ACD">
        <w:rPr>
          <w:rFonts w:cs="Calibri"/>
          <w:sz w:val="24"/>
        </w:rPr>
        <w:t>infrastruktury</w:t>
      </w:r>
      <w:r w:rsidRPr="00652ACD">
        <w:rPr>
          <w:rFonts w:cs="Calibri"/>
          <w:sz w:val="24"/>
        </w:rPr>
        <w:t>. Stare sieci tracą swoje parametry techniczne, w szczególności wytrzymałość mechaniczn</w:t>
      </w:r>
      <w:r w:rsidR="00896B04" w:rsidRPr="00652ACD">
        <w:rPr>
          <w:rFonts w:cs="Calibri"/>
          <w:sz w:val="24"/>
        </w:rPr>
        <w:t>ą</w:t>
      </w:r>
      <w:r w:rsidRPr="00652ACD">
        <w:rPr>
          <w:rFonts w:cs="Calibri"/>
          <w:sz w:val="24"/>
        </w:rPr>
        <w:t xml:space="preserve"> i sprężystość, co sprawia problemy ze s</w:t>
      </w:r>
      <w:r w:rsidR="00D94C7A" w:rsidRPr="00652ACD">
        <w:rPr>
          <w:rFonts w:cs="Calibri"/>
          <w:sz w:val="24"/>
        </w:rPr>
        <w:t>tałym dostarczaniem wody oraz z </w:t>
      </w:r>
      <w:r w:rsidRPr="00652ACD">
        <w:rPr>
          <w:rFonts w:cs="Calibri"/>
          <w:sz w:val="24"/>
        </w:rPr>
        <w:t>ciśnieniem jej przepływu.</w:t>
      </w:r>
    </w:p>
    <w:p w:rsidR="00896B04" w:rsidRPr="00EE3118" w:rsidRDefault="00896B04" w:rsidP="00652ACD">
      <w:pPr>
        <w:pStyle w:val="nadWrOF"/>
        <w:rPr>
          <w:rFonts w:cs="Calibri"/>
        </w:rPr>
      </w:pPr>
      <w:bookmarkStart w:id="77" w:name="_Toc125959954"/>
      <w:bookmarkStart w:id="78" w:name="_Toc130466216"/>
      <w:bookmarkStart w:id="79" w:name="_Toc143606999"/>
      <w:bookmarkStart w:id="80" w:name="_Hlk120871908"/>
      <w:r w:rsidRPr="00EE3118">
        <w:t xml:space="preserve">Mapa </w:t>
      </w:r>
      <w:r w:rsidR="00C73793" w:rsidRPr="00EE3118">
        <w:fldChar w:fldCharType="begin"/>
      </w:r>
      <w:r w:rsidRPr="00EE3118">
        <w:instrText xml:space="preserve"> SEQ Mapa \* ARABIC </w:instrText>
      </w:r>
      <w:r w:rsidR="00C73793" w:rsidRPr="00EE3118">
        <w:fldChar w:fldCharType="separate"/>
      </w:r>
      <w:r w:rsidR="00C96A96">
        <w:rPr>
          <w:noProof/>
        </w:rPr>
        <w:t>10</w:t>
      </w:r>
      <w:r w:rsidR="00C73793" w:rsidRPr="00EE3118">
        <w:fldChar w:fldCharType="end"/>
      </w:r>
      <w:r w:rsidRPr="00EE3118">
        <w:t xml:space="preserve"> Długość sieci wodociągowej rozdzielczej na 100 km</w:t>
      </w:r>
      <w:r w:rsidRPr="00B2276C">
        <w:rPr>
          <w:vertAlign w:val="superscript"/>
        </w:rPr>
        <w:t>2</w:t>
      </w:r>
      <w:r w:rsidR="000F4B75">
        <w:rPr>
          <w:vertAlign w:val="superscript"/>
        </w:rPr>
        <w:t xml:space="preserve"> </w:t>
      </w:r>
      <w:r>
        <w:t>w 2021 r.</w:t>
      </w:r>
      <w:r w:rsidRPr="00EE3118">
        <w:t xml:space="preserve"> wraz </w:t>
      </w:r>
      <w:r w:rsidR="001D1207">
        <w:t>z dynamiką zmian w </w:t>
      </w:r>
      <w:r w:rsidRPr="00EE3118">
        <w:t>latach 2017-202</w:t>
      </w:r>
      <w:bookmarkEnd w:id="77"/>
      <w:r>
        <w:t>1</w:t>
      </w:r>
      <w:bookmarkEnd w:id="78"/>
      <w:bookmarkEnd w:id="79"/>
    </w:p>
    <w:p w:rsidR="00896B04" w:rsidRPr="002570D8" w:rsidRDefault="00405DA1" w:rsidP="00896B04">
      <w:pPr>
        <w:spacing w:after="0" w:line="240" w:lineRule="auto"/>
        <w:rPr>
          <w:rFonts w:cs="Calibri"/>
        </w:rPr>
      </w:pPr>
      <w:r w:rsidRPr="00D74575">
        <w:rPr>
          <w:rFonts w:cs="Calibri"/>
          <w:noProof/>
          <w:lang w:eastAsia="pl-PL"/>
        </w:rPr>
        <w:drawing>
          <wp:inline distT="0" distB="0" distL="0" distR="0" wp14:anchorId="239627FC" wp14:editId="5288B3DB">
            <wp:extent cx="5753100" cy="3571875"/>
            <wp:effectExtent l="0" t="0" r="0" b="9525"/>
            <wp:docPr id="67" name="Obraz 28" descr="Długość sieci wodociągowej rozdzielczej na 100 km2 w 2021 r. wraz z dynamiką zmian w latach 2017-2021" title="Długość sieci wodociągowej rozdzielczej na 100 km2 w 2021 r. wraz z dynamiką zmian w latach 2017-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pic:cNvPicPr>
                      <a:picLocks noChangeAspect="1" noChangeArrowheads="1"/>
                    </pic:cNvPicPr>
                  </pic:nvPicPr>
                  <pic:blipFill>
                    <a:blip r:embed="rId25" cstate="print"/>
                    <a:srcRect b="2344"/>
                    <a:stretch>
                      <a:fillRect/>
                    </a:stretch>
                  </pic:blipFill>
                  <pic:spPr bwMode="auto">
                    <a:xfrm>
                      <a:off x="0" y="0"/>
                      <a:ext cx="5753100" cy="3571875"/>
                    </a:xfrm>
                    <a:prstGeom prst="rect">
                      <a:avLst/>
                    </a:prstGeom>
                    <a:noFill/>
                    <a:ln w="9525">
                      <a:noFill/>
                      <a:miter lim="800000"/>
                      <a:headEnd/>
                      <a:tailEnd/>
                    </a:ln>
                  </pic:spPr>
                </pic:pic>
              </a:graphicData>
            </a:graphic>
          </wp:inline>
        </w:drawing>
      </w:r>
    </w:p>
    <w:p w:rsidR="00896B04" w:rsidRPr="002570D8" w:rsidRDefault="00896B04" w:rsidP="00896B04">
      <w:pPr>
        <w:pStyle w:val="podWrOF0"/>
        <w:spacing w:after="240"/>
      </w:pPr>
      <w:r w:rsidRPr="002570D8">
        <w:t>Źródło: opracowanie własne na podstawie danych BDL GUS [Stan na: 31.12.2021]</w:t>
      </w:r>
      <w:r>
        <w:t>.</w:t>
      </w:r>
    </w:p>
    <w:p w:rsidR="00896B04" w:rsidRPr="00652ACD" w:rsidRDefault="00896B04" w:rsidP="00652ACD">
      <w:pPr>
        <w:jc w:val="left"/>
        <w:rPr>
          <w:sz w:val="24"/>
        </w:rPr>
      </w:pPr>
      <w:r w:rsidRPr="00652ACD">
        <w:rPr>
          <w:sz w:val="24"/>
        </w:rPr>
        <w:t>Analizując dane BDL GUS można zauważyć, że długość sieci wodociągowej rozdzielczej we WrOF wynosiła 161,9 km na 100 km</w:t>
      </w:r>
      <w:r w:rsidRPr="00652ACD">
        <w:rPr>
          <w:sz w:val="24"/>
          <w:vertAlign w:val="superscript"/>
        </w:rPr>
        <w:t>2</w:t>
      </w:r>
      <w:r w:rsidRPr="00652ACD">
        <w:rPr>
          <w:sz w:val="24"/>
        </w:rPr>
        <w:t xml:space="preserve"> w 2021 r. Wartość ws</w:t>
      </w:r>
      <w:r w:rsidR="001D1207">
        <w:rPr>
          <w:sz w:val="24"/>
        </w:rPr>
        <w:t>kaźnika była wyższa w </w:t>
      </w:r>
      <w:r w:rsidRPr="00652ACD">
        <w:rPr>
          <w:sz w:val="24"/>
        </w:rPr>
        <w:t>porównaniu do średniej dla województwa (84,2 km) i kraju (101,3 km). Długość sieci wodociągowej rozdzielczej jest najwyższa w Oleśnicy (miasto), O</w:t>
      </w:r>
      <w:r w:rsidR="001D1207">
        <w:rPr>
          <w:sz w:val="24"/>
        </w:rPr>
        <w:t>ławie (miasto) i we </w:t>
      </w:r>
      <w:r w:rsidR="00A35D4B" w:rsidRPr="00652ACD">
        <w:rPr>
          <w:sz w:val="24"/>
        </w:rPr>
        <w:t xml:space="preserve">Wrocławiu. </w:t>
      </w:r>
    </w:p>
    <w:p w:rsidR="00A35D4B" w:rsidRPr="00652ACD" w:rsidRDefault="000178B1" w:rsidP="00652ACD">
      <w:pPr>
        <w:jc w:val="left"/>
        <w:rPr>
          <w:rFonts w:cstheme="minorHAnsi"/>
          <w:sz w:val="24"/>
        </w:rPr>
      </w:pPr>
      <w:r w:rsidRPr="00652ACD">
        <w:rPr>
          <w:rFonts w:cstheme="minorHAnsi"/>
          <w:sz w:val="24"/>
        </w:rPr>
        <w:t xml:space="preserve">Zgodnie z danymi Regionalnego Zarządu Gospodarki Wodnej we Wrocławiu, na terenie gmin WrOF występuje 331 ujęć wód powierzchniowych oraz 225 ujęć wód podziemnych, które są eksploatowane na podstawie wydanych pozwoleń wodno-prawnych. Podmioty, które uzyskały stosowne pozwolenie, mogą korzystać z ww. ujęć na różne cele. </w:t>
      </w:r>
    </w:p>
    <w:p w:rsidR="00A35D4B" w:rsidRPr="002570D8" w:rsidRDefault="00A35D4B" w:rsidP="00A35D4B">
      <w:pPr>
        <w:pStyle w:val="nadWrOF"/>
        <w:rPr>
          <w:rFonts w:ascii="Arial" w:hAnsi="Arial" w:cs="Arial"/>
        </w:rPr>
      </w:pPr>
      <w:bookmarkStart w:id="81" w:name="_Toc125959955"/>
      <w:bookmarkStart w:id="82" w:name="_Toc130466217"/>
      <w:bookmarkStart w:id="83" w:name="_Toc143607000"/>
      <w:r w:rsidRPr="002570D8">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11</w:t>
      </w:r>
      <w:r w:rsidR="00C73793">
        <w:rPr>
          <w:noProof/>
        </w:rPr>
        <w:fldChar w:fldCharType="end"/>
      </w:r>
      <w:r w:rsidR="00D94C7A">
        <w:rPr>
          <w:noProof/>
        </w:rPr>
        <w:t xml:space="preserve"> </w:t>
      </w:r>
      <w:r w:rsidRPr="002570D8">
        <w:t>Ujęcia wód podziemnych i powierzchniowych na terenie WrOF.</w:t>
      </w:r>
      <w:bookmarkEnd w:id="81"/>
      <w:bookmarkEnd w:id="82"/>
      <w:bookmarkEnd w:id="83"/>
    </w:p>
    <w:p w:rsidR="00A35D4B" w:rsidRPr="002570D8" w:rsidRDefault="00405DA1" w:rsidP="00A35D4B">
      <w:pPr>
        <w:spacing w:after="0"/>
        <w:rPr>
          <w:rFonts w:ascii="Arial" w:hAnsi="Arial" w:cs="Arial"/>
        </w:rPr>
      </w:pPr>
      <w:r w:rsidRPr="00D74575">
        <w:rPr>
          <w:rFonts w:ascii="Arial" w:hAnsi="Arial" w:cs="Arial"/>
          <w:noProof/>
          <w:lang w:eastAsia="pl-PL"/>
        </w:rPr>
        <w:drawing>
          <wp:inline distT="0" distB="0" distL="0" distR="0" wp14:anchorId="6168B312" wp14:editId="08AAA391">
            <wp:extent cx="5760000" cy="4703818"/>
            <wp:effectExtent l="0" t="0" r="0" b="1905"/>
            <wp:docPr id="70" name="Obraz 356" descr="Ujęcia wód podziemnych i powierzchniowych na terenie WrOF." title="Ujęcia wód podziemnych i powierzchniowych na terenie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6"/>
                    <pic:cNvPicPr>
                      <a:picLocks noChangeAspect="1" noChangeArrowheads="1"/>
                    </pic:cNvPicPr>
                  </pic:nvPicPr>
                  <pic:blipFill>
                    <a:blip r:embed="rId26" cstate="print"/>
                    <a:srcRect/>
                    <a:stretch>
                      <a:fillRect/>
                    </a:stretch>
                  </pic:blipFill>
                  <pic:spPr bwMode="auto">
                    <a:xfrm>
                      <a:off x="0" y="0"/>
                      <a:ext cx="5760000" cy="4703818"/>
                    </a:xfrm>
                    <a:prstGeom prst="rect">
                      <a:avLst/>
                    </a:prstGeom>
                    <a:noFill/>
                    <a:ln w="9525">
                      <a:noFill/>
                      <a:miter lim="800000"/>
                      <a:headEnd/>
                      <a:tailEnd/>
                    </a:ln>
                  </pic:spPr>
                </pic:pic>
              </a:graphicData>
            </a:graphic>
          </wp:inline>
        </w:drawing>
      </w:r>
    </w:p>
    <w:p w:rsidR="00A35D4B" w:rsidRDefault="00A35D4B" w:rsidP="00896807">
      <w:pPr>
        <w:pStyle w:val="PODWrof"/>
        <w:rPr>
          <w:rFonts w:cstheme="minorHAnsi"/>
        </w:rPr>
      </w:pPr>
      <w:r w:rsidRPr="002570D8">
        <w:t>Źródło: opracowanie własne na podstawie danych udostępnionych przez RZGW we Wrocławiu Stan na: 10.11.2021]</w:t>
      </w:r>
      <w:r>
        <w:t>.</w:t>
      </w:r>
    </w:p>
    <w:p w:rsidR="000178B1" w:rsidRPr="00652ACD" w:rsidRDefault="00A35D4B" w:rsidP="00652ACD">
      <w:pPr>
        <w:jc w:val="left"/>
        <w:rPr>
          <w:rFonts w:cstheme="minorHAnsi"/>
          <w:sz w:val="24"/>
        </w:rPr>
      </w:pPr>
      <w:r w:rsidRPr="00652ACD">
        <w:rPr>
          <w:rFonts w:cs="Calibri"/>
          <w:sz w:val="24"/>
        </w:rPr>
        <w:t>Dodatkowo na terenie WrOF w niektórych miejscowościach z uwagi na brak sieci wodociągowej,</w:t>
      </w:r>
      <w:r w:rsidR="008F1764" w:rsidRPr="00652ACD">
        <w:rPr>
          <w:rFonts w:cs="Calibri"/>
          <w:sz w:val="24"/>
        </w:rPr>
        <w:t xml:space="preserve"> </w:t>
      </w:r>
      <w:r w:rsidRPr="00652ACD">
        <w:rPr>
          <w:rFonts w:cstheme="minorHAnsi"/>
          <w:sz w:val="24"/>
        </w:rPr>
        <w:t>zaopatrzenie w wodę mieszkańców</w:t>
      </w:r>
      <w:r w:rsidR="003B579C" w:rsidRPr="00652ACD">
        <w:rPr>
          <w:rFonts w:cstheme="minorHAnsi"/>
          <w:sz w:val="24"/>
        </w:rPr>
        <w:t xml:space="preserve"> </w:t>
      </w:r>
      <w:r w:rsidR="000178B1" w:rsidRPr="00652ACD">
        <w:rPr>
          <w:rFonts w:cstheme="minorHAnsi"/>
          <w:sz w:val="24"/>
        </w:rPr>
        <w:t>odbywa się przez studnie</w:t>
      </w:r>
      <w:r w:rsidRPr="00652ACD">
        <w:rPr>
          <w:rFonts w:cstheme="minorHAnsi"/>
          <w:sz w:val="24"/>
        </w:rPr>
        <w:t>, w tym indywidualne</w:t>
      </w:r>
      <w:r w:rsidR="002E7344" w:rsidRPr="00652ACD">
        <w:rPr>
          <w:rFonts w:cstheme="minorHAnsi"/>
          <w:sz w:val="24"/>
        </w:rPr>
        <w:t>.</w:t>
      </w:r>
      <w:r w:rsidR="000178B1" w:rsidRPr="00652ACD">
        <w:rPr>
          <w:rFonts w:cstheme="minorHAnsi"/>
          <w:sz w:val="24"/>
        </w:rPr>
        <w:t xml:space="preserve"> </w:t>
      </w:r>
      <w:bookmarkEnd w:id="80"/>
      <w:r w:rsidR="00055CED" w:rsidRPr="00652ACD">
        <w:rPr>
          <w:rFonts w:cstheme="minorHAnsi"/>
          <w:sz w:val="24"/>
        </w:rPr>
        <w:t xml:space="preserve">Dlatego też, </w:t>
      </w:r>
      <w:r w:rsidR="000178B1" w:rsidRPr="00652ACD">
        <w:rPr>
          <w:rFonts w:cstheme="minorHAnsi"/>
          <w:sz w:val="24"/>
        </w:rPr>
        <w:t>niezwykle ważne na obszarze WrOF są zadania dotyczące inwestycji</w:t>
      </w:r>
      <w:r w:rsidR="003B579C" w:rsidRPr="00652ACD">
        <w:rPr>
          <w:rFonts w:cstheme="minorHAnsi"/>
          <w:sz w:val="24"/>
        </w:rPr>
        <w:t xml:space="preserve"> </w:t>
      </w:r>
      <w:r w:rsidR="000178B1" w:rsidRPr="00652ACD">
        <w:rPr>
          <w:rFonts w:cstheme="minorHAnsi"/>
          <w:sz w:val="24"/>
        </w:rPr>
        <w:t xml:space="preserve">w zakresie dostępu do wody poprzez </w:t>
      </w:r>
      <w:r w:rsidR="00602C27" w:rsidRPr="00652ACD">
        <w:rPr>
          <w:rFonts w:cstheme="minorHAnsi"/>
          <w:sz w:val="24"/>
        </w:rPr>
        <w:t xml:space="preserve">modernizacje, </w:t>
      </w:r>
      <w:r w:rsidR="000178B1" w:rsidRPr="00652ACD">
        <w:rPr>
          <w:rFonts w:cstheme="minorHAnsi"/>
          <w:sz w:val="24"/>
        </w:rPr>
        <w:t xml:space="preserve">budowę wodociągów, </w:t>
      </w:r>
      <w:r w:rsidR="008F1764" w:rsidRPr="00652ACD">
        <w:rPr>
          <w:rFonts w:cstheme="minorHAnsi"/>
          <w:sz w:val="24"/>
        </w:rPr>
        <w:t>studni</w:t>
      </w:r>
      <w:r w:rsidR="000178B1" w:rsidRPr="00652ACD">
        <w:rPr>
          <w:rFonts w:cstheme="minorHAnsi"/>
          <w:sz w:val="24"/>
        </w:rPr>
        <w:t xml:space="preserve"> czy systemów uzdatniania wody.</w:t>
      </w:r>
    </w:p>
    <w:p w:rsidR="00D755F3" w:rsidRDefault="00D755F3" w:rsidP="00D755F3">
      <w:pPr>
        <w:pStyle w:val="nadWrOF"/>
      </w:pPr>
      <w:bookmarkStart w:id="84" w:name="_Toc119309230"/>
      <w:bookmarkStart w:id="85" w:name="_Toc125959956"/>
      <w:bookmarkStart w:id="86" w:name="_Toc130466218"/>
      <w:bookmarkStart w:id="87" w:name="_Toc143607001"/>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12</w:t>
      </w:r>
      <w:r w:rsidR="00C73793">
        <w:rPr>
          <w:noProof/>
        </w:rPr>
        <w:fldChar w:fldCharType="end"/>
      </w:r>
      <w:r w:rsidR="008F1764">
        <w:rPr>
          <w:noProof/>
        </w:rPr>
        <w:t xml:space="preserve"> </w:t>
      </w:r>
      <w:r w:rsidRPr="00EA2F14">
        <w:t xml:space="preserve">Zużycie wody w gospodarstwach domowych ogółem na 1 korzystającego </w:t>
      </w:r>
      <w:r>
        <w:t xml:space="preserve">w 2020 r. </w:t>
      </w:r>
      <w:r w:rsidRPr="00EA2F14">
        <w:t>wraz z dynami</w:t>
      </w:r>
      <w:r w:rsidR="00652ACD">
        <w:t xml:space="preserve">ką zmian </w:t>
      </w:r>
      <w:r>
        <w:t xml:space="preserve">w latach 2017-2020 </w:t>
      </w:r>
      <w:r w:rsidRPr="00DF2FDC">
        <w:t>[m</w:t>
      </w:r>
      <w:r w:rsidRPr="00DF2FDC">
        <w:rPr>
          <w:vertAlign w:val="superscript"/>
        </w:rPr>
        <w:t>3</w:t>
      </w:r>
      <w:r w:rsidRPr="00DF2FDC">
        <w:t>]</w:t>
      </w:r>
      <w:r w:rsidRPr="00204380">
        <w:rPr>
          <w:rStyle w:val="Odwoanieprzypisudolnego"/>
          <w:rFonts w:cs="Calibri"/>
        </w:rPr>
        <w:footnoteReference w:id="57"/>
      </w:r>
      <w:bookmarkEnd w:id="84"/>
      <w:bookmarkEnd w:id="85"/>
      <w:bookmarkEnd w:id="86"/>
      <w:bookmarkEnd w:id="87"/>
    </w:p>
    <w:p w:rsidR="00D755F3" w:rsidRPr="00D96ABA" w:rsidRDefault="00405DA1" w:rsidP="00D755F3">
      <w:pPr>
        <w:spacing w:after="0" w:line="240" w:lineRule="auto"/>
      </w:pPr>
      <w:r w:rsidRPr="00D74575">
        <w:rPr>
          <w:rFonts w:cs="Calibri"/>
          <w:noProof/>
          <w:lang w:eastAsia="pl-PL"/>
        </w:rPr>
        <w:drawing>
          <wp:inline distT="0" distB="0" distL="0" distR="0" wp14:anchorId="1551A5FB" wp14:editId="7859396A">
            <wp:extent cx="5753100" cy="3543300"/>
            <wp:effectExtent l="0" t="0" r="0" b="0"/>
            <wp:docPr id="74" name="Obraz 357" descr="Zużycie wody w gospodarstwach domowych ogółem na 1 korzystającego w 2020 r. wraz z dynamiką zmian w latach 2017-2020 [m3] " title="Zużycie wody w gospodarstwach domowych ogółem na 1 korzystającego w 2020 r. wraz z dynamiką zmian w latach 2017-2020 [m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7"/>
                    <pic:cNvPicPr>
                      <a:picLocks noChangeAspect="1" noChangeArrowheads="1"/>
                    </pic:cNvPicPr>
                  </pic:nvPicPr>
                  <pic:blipFill>
                    <a:blip r:embed="rId27" cstate="print"/>
                    <a:srcRect b="3125"/>
                    <a:stretch>
                      <a:fillRect/>
                    </a:stretch>
                  </pic:blipFill>
                  <pic:spPr bwMode="auto">
                    <a:xfrm>
                      <a:off x="0" y="0"/>
                      <a:ext cx="5753100" cy="3543300"/>
                    </a:xfrm>
                    <a:prstGeom prst="rect">
                      <a:avLst/>
                    </a:prstGeom>
                    <a:noFill/>
                    <a:ln w="9525">
                      <a:noFill/>
                      <a:miter lim="800000"/>
                      <a:headEnd/>
                      <a:tailEnd/>
                    </a:ln>
                  </pic:spPr>
                </pic:pic>
              </a:graphicData>
            </a:graphic>
          </wp:inline>
        </w:drawing>
      </w:r>
    </w:p>
    <w:p w:rsidR="00D755F3" w:rsidRPr="004D744A" w:rsidRDefault="00D755F3" w:rsidP="00D755F3">
      <w:pPr>
        <w:pStyle w:val="PODWrof"/>
      </w:pPr>
      <w:r w:rsidRPr="00204380">
        <w:t>Źródło: opracowanie własne na podstawie danych BDL GUS</w:t>
      </w:r>
      <w:r>
        <w:t xml:space="preserve"> [Stan na: 31.12.2020].</w:t>
      </w:r>
    </w:p>
    <w:p w:rsidR="00D755F3" w:rsidRPr="00652ACD" w:rsidRDefault="00D755F3" w:rsidP="00652ACD">
      <w:pPr>
        <w:jc w:val="left"/>
        <w:rPr>
          <w:rFonts w:cs="Calibri"/>
          <w:sz w:val="24"/>
        </w:rPr>
      </w:pPr>
      <w:r w:rsidRPr="00652ACD">
        <w:rPr>
          <w:rFonts w:cs="Calibri"/>
          <w:sz w:val="24"/>
        </w:rPr>
        <w:t>Analizując dane publikowane przez BDL GUS dla lat 2017-2020, zauważyć można wzrost zużycia wody w gospodarstwach domowych ogółem na 1 korzystającego we wszystkich gminach</w:t>
      </w:r>
      <w:r w:rsidR="00D94C7A" w:rsidRPr="00652ACD">
        <w:rPr>
          <w:rFonts w:cs="Calibri"/>
          <w:sz w:val="24"/>
        </w:rPr>
        <w:t xml:space="preserve"> </w:t>
      </w:r>
      <w:r w:rsidRPr="00652ACD">
        <w:rPr>
          <w:rFonts w:cs="Calibri"/>
          <w:sz w:val="24"/>
        </w:rPr>
        <w:t>WrOF za wyjątkiem gminy Siechnice. Możliwe jest, iż wzrastające w ostatnim czasie temperatury powietrza latem związane z efektem globalnego ocieplenia, wpłynęły na wzrost zużycia wody, chociażby poprzez wzrost zapotrzebowania zużycia wody na podlewanie roślin.</w:t>
      </w:r>
    </w:p>
    <w:p w:rsidR="00D755F3" w:rsidRPr="00652ACD" w:rsidRDefault="00D755F3" w:rsidP="00652ACD">
      <w:pPr>
        <w:jc w:val="left"/>
        <w:rPr>
          <w:rFonts w:cs="Calibri"/>
          <w:sz w:val="24"/>
        </w:rPr>
      </w:pPr>
      <w:r w:rsidRPr="00652ACD">
        <w:rPr>
          <w:rFonts w:cs="Calibri"/>
          <w:sz w:val="24"/>
        </w:rPr>
        <w:t>Na terenie WrOF zapotrzebowanie na wodę jest wprost proporcjonalne do liczby mieszkańców danej gminy, dlatego najwięcej wody dostarcz</w:t>
      </w:r>
      <w:r w:rsidR="001D1207">
        <w:rPr>
          <w:rFonts w:cs="Calibri"/>
          <w:sz w:val="24"/>
        </w:rPr>
        <w:t>ane jest dla Wrocławia, gdzie w </w:t>
      </w:r>
      <w:r w:rsidRPr="00652ACD">
        <w:rPr>
          <w:rFonts w:cs="Calibri"/>
          <w:sz w:val="24"/>
        </w:rPr>
        <w:t>2021 r. łączna ilość wody dostarczanej dla gospodarstw domowych w tym mieście stanowiła ponad 66% całkowitej ilości wody dostarczanej gospodarstwom dla całego WrOF. Najniższy zaś wskaźnik wykazuje się dla gminy Zawonia (219 500 dam</w:t>
      </w:r>
      <w:r w:rsidRPr="00652ACD">
        <w:rPr>
          <w:rFonts w:cs="Calibri"/>
          <w:sz w:val="24"/>
          <w:vertAlign w:val="superscript"/>
        </w:rPr>
        <w:t>3</w:t>
      </w:r>
      <w:r w:rsidRPr="00652ACD">
        <w:rPr>
          <w:rFonts w:cs="Calibri"/>
          <w:sz w:val="24"/>
        </w:rPr>
        <w:t>), gdzie liczba ludności jest najniższa. Kons</w:t>
      </w:r>
      <w:r w:rsidR="00896807" w:rsidRPr="00652ACD">
        <w:rPr>
          <w:rFonts w:cs="Calibri"/>
          <w:sz w:val="24"/>
        </w:rPr>
        <w:t>ekwencją wzrostu zużycia wody w </w:t>
      </w:r>
      <w:r w:rsidRPr="00652ACD">
        <w:rPr>
          <w:rFonts w:cs="Calibri"/>
          <w:sz w:val="24"/>
        </w:rPr>
        <w:t>gospodarstwach domowych na 1 mieszkańca jest globalny wzrost ilości wody dostarczanej do poszczególnych gmin WrOF. Województwo dolnośląskie w analizowanym okresie</w:t>
      </w:r>
      <w:r w:rsidR="000A1A9F" w:rsidRPr="00652ACD">
        <w:rPr>
          <w:rFonts w:cs="Calibri"/>
          <w:sz w:val="24"/>
        </w:rPr>
        <w:t xml:space="preserve"> mimo ogólnego spadku liczby ludności </w:t>
      </w:r>
      <w:r w:rsidRPr="00652ACD">
        <w:rPr>
          <w:rFonts w:cs="Calibri"/>
          <w:sz w:val="24"/>
        </w:rPr>
        <w:t>(o 4 810 osób)</w:t>
      </w:r>
      <w:r w:rsidR="000A1A9F" w:rsidRPr="00652ACD">
        <w:rPr>
          <w:rFonts w:cs="Calibri"/>
          <w:sz w:val="24"/>
        </w:rPr>
        <w:t xml:space="preserve"> odnotowało</w:t>
      </w:r>
      <w:r w:rsidRPr="00652ACD">
        <w:rPr>
          <w:rFonts w:cs="Calibri"/>
          <w:sz w:val="24"/>
        </w:rPr>
        <w:t xml:space="preserve"> wzrost zużycia wody dostarcz</w:t>
      </w:r>
      <w:r w:rsidR="001D1207">
        <w:rPr>
          <w:rFonts w:cs="Calibri"/>
          <w:sz w:val="24"/>
        </w:rPr>
        <w:t>anej do gospodarstw domowych (w </w:t>
      </w:r>
      <w:r w:rsidRPr="00652ACD">
        <w:rPr>
          <w:rFonts w:cs="Calibri"/>
          <w:sz w:val="24"/>
        </w:rPr>
        <w:t>2017 r. – 93 958,3 dam</w:t>
      </w:r>
      <w:r w:rsidRPr="00652ACD">
        <w:rPr>
          <w:rFonts w:cs="Calibri"/>
          <w:sz w:val="24"/>
          <w:vertAlign w:val="superscript"/>
        </w:rPr>
        <w:t>3</w:t>
      </w:r>
      <w:r w:rsidRPr="00652ACD">
        <w:rPr>
          <w:rFonts w:cs="Calibri"/>
          <w:sz w:val="24"/>
        </w:rPr>
        <w:t>, a w 2021 r. – 99 028,8</w:t>
      </w:r>
      <w:r w:rsidR="002E7344" w:rsidRPr="00652ACD">
        <w:rPr>
          <w:rFonts w:cs="Calibri"/>
          <w:sz w:val="24"/>
        </w:rPr>
        <w:t xml:space="preserve"> </w:t>
      </w:r>
      <w:r w:rsidRPr="00652ACD">
        <w:rPr>
          <w:rFonts w:cs="Calibri"/>
          <w:sz w:val="24"/>
        </w:rPr>
        <w:t>dam</w:t>
      </w:r>
      <w:r w:rsidRPr="00652ACD">
        <w:rPr>
          <w:rFonts w:cs="Calibri"/>
          <w:sz w:val="24"/>
          <w:vertAlign w:val="superscript"/>
        </w:rPr>
        <w:t>3</w:t>
      </w:r>
      <w:r w:rsidRPr="00652ACD">
        <w:rPr>
          <w:rFonts w:cs="Calibri"/>
          <w:sz w:val="24"/>
        </w:rPr>
        <w:t xml:space="preserve">). W kraju sytuacja wyglądała </w:t>
      </w:r>
      <w:r w:rsidR="000A1A9F" w:rsidRPr="00652ACD">
        <w:rPr>
          <w:rFonts w:cs="Calibri"/>
          <w:sz w:val="24"/>
        </w:rPr>
        <w:t>podobnie tj.</w:t>
      </w:r>
      <w:r w:rsidRPr="00652ACD">
        <w:rPr>
          <w:rFonts w:cs="Calibri"/>
          <w:sz w:val="24"/>
        </w:rPr>
        <w:t xml:space="preserve"> latach 2017-2021 nastąpił spadek liczby ludności o 525 854 osoby, natomiast ilość wody dostarczonej do gospodarstw domowych wzrosła o 56 216,1 dam</w:t>
      </w:r>
      <w:r w:rsidRPr="00652ACD">
        <w:rPr>
          <w:rFonts w:cs="Calibri"/>
          <w:sz w:val="24"/>
          <w:vertAlign w:val="superscript"/>
        </w:rPr>
        <w:t>3</w:t>
      </w:r>
      <w:r w:rsidRPr="00652ACD">
        <w:rPr>
          <w:rFonts w:cs="Calibri"/>
          <w:sz w:val="24"/>
        </w:rPr>
        <w:t>.</w:t>
      </w:r>
      <w:r w:rsidRPr="00652ACD">
        <w:rPr>
          <w:rStyle w:val="Odwoanieprzypisudolnego"/>
          <w:rFonts w:cs="Calibri"/>
          <w:sz w:val="24"/>
        </w:rPr>
        <w:footnoteReference w:id="58"/>
      </w:r>
    </w:p>
    <w:p w:rsidR="00B26499" w:rsidRPr="00652ACD" w:rsidRDefault="00B26499" w:rsidP="00652ACD">
      <w:pPr>
        <w:spacing w:after="0"/>
        <w:jc w:val="left"/>
        <w:rPr>
          <w:rFonts w:cstheme="minorHAnsi"/>
          <w:b/>
          <w:color w:val="000000" w:themeColor="text1"/>
          <w:sz w:val="36"/>
          <w:szCs w:val="32"/>
        </w:rPr>
      </w:pPr>
      <w:r w:rsidRPr="00652ACD">
        <w:rPr>
          <w:rFonts w:cstheme="minorHAnsi"/>
          <w:b/>
          <w:color w:val="000000" w:themeColor="text1"/>
          <w:sz w:val="36"/>
          <w:szCs w:val="32"/>
        </w:rPr>
        <w:t>Gospodarka ściekowa</w:t>
      </w:r>
    </w:p>
    <w:p w:rsidR="000178B1" w:rsidRPr="00652ACD" w:rsidRDefault="000178B1" w:rsidP="00652ACD">
      <w:pPr>
        <w:spacing w:after="0"/>
        <w:jc w:val="left"/>
        <w:rPr>
          <w:rFonts w:cstheme="minorHAnsi"/>
          <w:b/>
          <w:color w:val="000000" w:themeColor="text1"/>
          <w:sz w:val="24"/>
        </w:rPr>
      </w:pPr>
      <w:r w:rsidRPr="00652ACD">
        <w:rPr>
          <w:rFonts w:cstheme="minorHAnsi"/>
          <w:b/>
          <w:color w:val="000000" w:themeColor="text1"/>
          <w:sz w:val="24"/>
        </w:rPr>
        <w:t>Sieć kanalizacyjna</w:t>
      </w:r>
    </w:p>
    <w:p w:rsidR="007431F8" w:rsidRPr="00652ACD" w:rsidRDefault="000178B1" w:rsidP="00652ACD">
      <w:pPr>
        <w:jc w:val="left"/>
        <w:rPr>
          <w:rFonts w:cs="Calibri"/>
          <w:color w:val="000000" w:themeColor="text1"/>
          <w:sz w:val="24"/>
        </w:rPr>
      </w:pPr>
      <w:r w:rsidRPr="00652ACD">
        <w:rPr>
          <w:rFonts w:cs="Calibri"/>
          <w:color w:val="000000" w:themeColor="text1"/>
          <w:sz w:val="24"/>
        </w:rPr>
        <w:t xml:space="preserve">Wraz z rozwojem terenów zurbanizowanych konieczny jest rozwój ekologicznych sposobów unieszkodliwiania ścieków komunalnych. Tam, gdzie jest to możliwe i uzasadnione ekonomicznie tworzona jest sieć kanalizacyjna. </w:t>
      </w:r>
    </w:p>
    <w:p w:rsidR="007431F8" w:rsidRPr="00DF2FDC" w:rsidRDefault="007431F8" w:rsidP="007431F8">
      <w:pPr>
        <w:pStyle w:val="nadWrOF"/>
      </w:pPr>
      <w:bookmarkStart w:id="88" w:name="_Toc119309231"/>
      <w:bookmarkStart w:id="89" w:name="_Toc125959957"/>
      <w:bookmarkStart w:id="90" w:name="_Toc130466219"/>
      <w:bookmarkStart w:id="91" w:name="_Toc143607002"/>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13</w:t>
      </w:r>
      <w:r w:rsidR="00C73793">
        <w:rPr>
          <w:noProof/>
        </w:rPr>
        <w:fldChar w:fldCharType="end"/>
      </w:r>
      <w:r w:rsidR="00D94C7A">
        <w:rPr>
          <w:noProof/>
        </w:rPr>
        <w:t xml:space="preserve"> </w:t>
      </w:r>
      <w:r w:rsidRPr="00DF2FDC">
        <w:t>Udział ludności korzystającej z sieci kanalizacyjnej</w:t>
      </w:r>
      <w:r>
        <w:t xml:space="preserve"> w 2020 r. wraz z dynamiką zmian w latach 2017-2020</w:t>
      </w:r>
      <w:bookmarkEnd w:id="88"/>
      <w:bookmarkEnd w:id="89"/>
      <w:bookmarkEnd w:id="90"/>
      <w:bookmarkEnd w:id="91"/>
    </w:p>
    <w:p w:rsidR="007431F8" w:rsidRPr="00204380" w:rsidRDefault="00405DA1" w:rsidP="007431F8">
      <w:pPr>
        <w:spacing w:after="0" w:line="276" w:lineRule="auto"/>
        <w:rPr>
          <w:rFonts w:cs="Calibri"/>
        </w:rPr>
      </w:pPr>
      <w:r w:rsidRPr="00D74575">
        <w:rPr>
          <w:rFonts w:cs="Calibri"/>
          <w:noProof/>
          <w:lang w:eastAsia="pl-PL"/>
        </w:rPr>
        <w:drawing>
          <wp:inline distT="0" distB="0" distL="0" distR="0" wp14:anchorId="11FC904C" wp14:editId="21385F98">
            <wp:extent cx="5829300" cy="3600450"/>
            <wp:effectExtent l="0" t="0" r="0" b="0"/>
            <wp:docPr id="45" name="Obraz 358" descr="Udział ludności korzystającej z sieci kanalizacyjnej w 2020 r. wraz z dynamiką zmian w latach 2017-2020" title="Udział ludności korzystającej z sieci kanalizacyjnej w 2020 r. wraz z dynamiką zmian w latach 2017-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8"/>
                    <pic:cNvPicPr>
                      <a:picLocks noChangeAspect="1" noChangeArrowheads="1"/>
                    </pic:cNvPicPr>
                  </pic:nvPicPr>
                  <pic:blipFill>
                    <a:blip r:embed="rId28" cstate="print"/>
                    <a:srcRect b="2866"/>
                    <a:stretch>
                      <a:fillRect/>
                    </a:stretch>
                  </pic:blipFill>
                  <pic:spPr bwMode="auto">
                    <a:xfrm>
                      <a:off x="0" y="0"/>
                      <a:ext cx="5829300" cy="3600450"/>
                    </a:xfrm>
                    <a:prstGeom prst="rect">
                      <a:avLst/>
                    </a:prstGeom>
                    <a:noFill/>
                    <a:ln w="9525">
                      <a:noFill/>
                      <a:miter lim="800000"/>
                      <a:headEnd/>
                      <a:tailEnd/>
                    </a:ln>
                  </pic:spPr>
                </pic:pic>
              </a:graphicData>
            </a:graphic>
          </wp:inline>
        </w:drawing>
      </w:r>
    </w:p>
    <w:p w:rsidR="007D07F9" w:rsidRDefault="007431F8" w:rsidP="00D74575">
      <w:pPr>
        <w:pStyle w:val="PODWrof"/>
      </w:pPr>
      <w:r w:rsidRPr="00AE6B69">
        <w:t>Źródło: opracowanie własne na podstawie danych BDL GUS</w:t>
      </w:r>
      <w:r>
        <w:t xml:space="preserve"> [Stan na: 31.12.2020].</w:t>
      </w:r>
    </w:p>
    <w:p w:rsidR="000178B1" w:rsidRPr="00652ACD" w:rsidRDefault="000178B1" w:rsidP="00652ACD">
      <w:pPr>
        <w:jc w:val="left"/>
        <w:rPr>
          <w:rFonts w:cs="Calibri"/>
          <w:sz w:val="24"/>
        </w:rPr>
      </w:pPr>
      <w:r w:rsidRPr="00652ACD">
        <w:rPr>
          <w:rFonts w:cs="Calibri"/>
          <w:sz w:val="24"/>
        </w:rPr>
        <w:t>Na terenie WrOF</w:t>
      </w:r>
      <w:r w:rsidR="002E7344" w:rsidRPr="00652ACD">
        <w:rPr>
          <w:rFonts w:cs="Calibri"/>
          <w:sz w:val="24"/>
        </w:rPr>
        <w:t xml:space="preserve"> </w:t>
      </w:r>
      <w:r w:rsidRPr="00652ACD">
        <w:rPr>
          <w:rFonts w:cs="Calibri"/>
          <w:sz w:val="24"/>
        </w:rPr>
        <w:t>obserwuje się rosnący trend liczby ludności korzystającej z tej infrastruktury. Z punktu widzenia ochrony środowi</w:t>
      </w:r>
      <w:r w:rsidR="000530A7" w:rsidRPr="00652ACD">
        <w:rPr>
          <w:rFonts w:cs="Calibri"/>
          <w:sz w:val="24"/>
        </w:rPr>
        <w:t>ska jest to aspekt pozytywny. W </w:t>
      </w:r>
      <w:r w:rsidRPr="00652ACD">
        <w:rPr>
          <w:rFonts w:cs="Calibri"/>
          <w:sz w:val="24"/>
        </w:rPr>
        <w:t>2020 roku wskaźnik skanalizowania wynosił 83,3% i był wyższy niż wskaźnik dla województwa (77,1%) i kraju (71,5%). W gminach miejskich odsetek ludności korzystającej z sieci kanalizacyjnej wynosi ponad 90%. Najsłabiej skanalizowana jest gmina Zawonia (1,3%), która dopiero w 2020 roku rozpoczęła prace związane z budową sieci kanalizacyjnej.</w:t>
      </w:r>
    </w:p>
    <w:p w:rsidR="00C7023F" w:rsidRPr="00A26C75" w:rsidRDefault="00C7023F" w:rsidP="00896807">
      <w:pPr>
        <w:pStyle w:val="nadWrOF"/>
        <w:rPr>
          <w:rFonts w:cs="Calibri"/>
        </w:rPr>
      </w:pPr>
      <w:bookmarkStart w:id="92" w:name="_Toc125959958"/>
      <w:bookmarkStart w:id="93" w:name="_Toc130466220"/>
      <w:bookmarkStart w:id="94" w:name="_Toc143607003"/>
      <w:r w:rsidRPr="00151BFE">
        <w:t xml:space="preserve">Mapa </w:t>
      </w:r>
      <w:r w:rsidR="00C73793" w:rsidRPr="00151BFE">
        <w:fldChar w:fldCharType="begin"/>
      </w:r>
      <w:r w:rsidRPr="00151BFE">
        <w:instrText xml:space="preserve"> SEQ Mapa \* ARABIC </w:instrText>
      </w:r>
      <w:r w:rsidR="00C73793" w:rsidRPr="00151BFE">
        <w:fldChar w:fldCharType="separate"/>
      </w:r>
      <w:r w:rsidR="00C96A96">
        <w:rPr>
          <w:noProof/>
        </w:rPr>
        <w:t>14</w:t>
      </w:r>
      <w:r w:rsidR="00C73793" w:rsidRPr="00151BFE">
        <w:fldChar w:fldCharType="end"/>
      </w:r>
      <w:r w:rsidR="00D94C7A">
        <w:t xml:space="preserve"> </w:t>
      </w:r>
      <w:r w:rsidRPr="00A26C75">
        <w:t>Długość sieci kanalizacji rozdzielczej na 100km</w:t>
      </w:r>
      <w:r w:rsidRPr="00A26C75">
        <w:rPr>
          <w:vertAlign w:val="superscript"/>
        </w:rPr>
        <w:t>2</w:t>
      </w:r>
      <w:r w:rsidRPr="00A26C75">
        <w:t xml:space="preserve"> na terenie WrOF</w:t>
      </w:r>
      <w:r w:rsidR="00D94C7A">
        <w:t xml:space="preserve"> </w:t>
      </w:r>
      <w:r>
        <w:t xml:space="preserve">w 2021 r. </w:t>
      </w:r>
      <w:r w:rsidRPr="00A26C75">
        <w:t>wraz z dynamiką zmian w latach 2017-202</w:t>
      </w:r>
      <w:r>
        <w:t>1</w:t>
      </w:r>
      <w:bookmarkEnd w:id="92"/>
      <w:bookmarkEnd w:id="93"/>
      <w:bookmarkEnd w:id="94"/>
    </w:p>
    <w:p w:rsidR="00C7023F" w:rsidRDefault="00405DA1" w:rsidP="00C7023F">
      <w:pPr>
        <w:spacing w:after="0" w:line="240" w:lineRule="auto"/>
        <w:rPr>
          <w:rFonts w:cs="Calibri"/>
        </w:rPr>
      </w:pPr>
      <w:r w:rsidRPr="00D74575">
        <w:rPr>
          <w:rFonts w:cs="Calibri"/>
          <w:noProof/>
          <w:lang w:eastAsia="pl-PL"/>
        </w:rPr>
        <w:drawing>
          <wp:inline distT="0" distB="0" distL="0" distR="0" wp14:anchorId="0AB8159A" wp14:editId="53215E15">
            <wp:extent cx="5753100" cy="3543300"/>
            <wp:effectExtent l="0" t="0" r="0" b="0"/>
            <wp:docPr id="101" name="Obraz 32" descr="Długość sieci kanalizacji rozdzielczej na 100km2 na terenie WrOF w 2021 r. wraz z dynamiką zmian w latach 2017-2021" title="Długość sieci kanalizacji rozdzielczej na 100km2 na terenie WrOF w 2021 r. wraz z dynamiką zmian w latach 2017-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2"/>
                    <pic:cNvPicPr>
                      <a:picLocks noChangeAspect="1" noChangeArrowheads="1"/>
                    </pic:cNvPicPr>
                  </pic:nvPicPr>
                  <pic:blipFill>
                    <a:blip r:embed="rId29" cstate="print"/>
                    <a:srcRect b="3125"/>
                    <a:stretch>
                      <a:fillRect/>
                    </a:stretch>
                  </pic:blipFill>
                  <pic:spPr bwMode="auto">
                    <a:xfrm>
                      <a:off x="0" y="0"/>
                      <a:ext cx="5753100" cy="3543300"/>
                    </a:xfrm>
                    <a:prstGeom prst="rect">
                      <a:avLst/>
                    </a:prstGeom>
                    <a:noFill/>
                    <a:ln w="9525">
                      <a:noFill/>
                      <a:miter lim="800000"/>
                      <a:headEnd/>
                      <a:tailEnd/>
                    </a:ln>
                  </pic:spPr>
                </pic:pic>
              </a:graphicData>
            </a:graphic>
          </wp:inline>
        </w:drawing>
      </w:r>
    </w:p>
    <w:p w:rsidR="00C7023F" w:rsidRPr="00DF4263" w:rsidRDefault="00C7023F" w:rsidP="00C7023F">
      <w:pPr>
        <w:pStyle w:val="PODWrof"/>
      </w:pPr>
      <w:r w:rsidRPr="00AE6B69">
        <w:t>Źródło: opracowanie własne na podstawie danych BDL GUS</w:t>
      </w:r>
      <w:r>
        <w:t xml:space="preserve"> [Stan na: 31.12.2021].</w:t>
      </w:r>
    </w:p>
    <w:p w:rsidR="007D07F9" w:rsidRPr="00652ACD" w:rsidRDefault="00C7023F" w:rsidP="00652ACD">
      <w:pPr>
        <w:spacing w:after="120"/>
        <w:jc w:val="left"/>
        <w:rPr>
          <w:rFonts w:cs="Calibri"/>
          <w:sz w:val="24"/>
        </w:rPr>
      </w:pPr>
      <w:r w:rsidRPr="00652ACD">
        <w:rPr>
          <w:rFonts w:cs="Calibri"/>
          <w:sz w:val="24"/>
        </w:rPr>
        <w:t>Analogicznie, jak w przypadku sieci wodociągowej, długość sieci kanalizacji rozdzielczej przypadającej na 100 km</w:t>
      </w:r>
      <w:r w:rsidRPr="00652ACD">
        <w:rPr>
          <w:rFonts w:cs="Calibri"/>
          <w:sz w:val="24"/>
          <w:vertAlign w:val="superscript"/>
        </w:rPr>
        <w:t xml:space="preserve">2 </w:t>
      </w:r>
      <w:r w:rsidRPr="00652ACD">
        <w:rPr>
          <w:rFonts w:cs="Calibri"/>
          <w:sz w:val="24"/>
        </w:rPr>
        <w:t>jest najwyższa w gminach miejskich. W gminie miejskiej Oleśnica wskaźnik ten wynosi 484,3</w:t>
      </w:r>
      <w:r w:rsidR="00F258FA" w:rsidRPr="00652ACD">
        <w:rPr>
          <w:rFonts w:cs="Calibri"/>
          <w:sz w:val="24"/>
        </w:rPr>
        <w:t> </w:t>
      </w:r>
      <w:r w:rsidRPr="00652ACD">
        <w:rPr>
          <w:rFonts w:cs="Calibri"/>
          <w:sz w:val="24"/>
        </w:rPr>
        <w:t xml:space="preserve">km. Z upływem lat sieć kanalizacyjna jest rozbudowywana, co ma i będzie mieć pozytywny wpływ na jakość wód na terenie WrOF. Konieczne są także bieżące wymiany istniejących </w:t>
      </w:r>
      <w:r w:rsidR="00D94C7A" w:rsidRPr="00652ACD">
        <w:rPr>
          <w:rFonts w:cs="Calibri"/>
          <w:sz w:val="24"/>
        </w:rPr>
        <w:t>i </w:t>
      </w:r>
      <w:r w:rsidRPr="00652ACD">
        <w:rPr>
          <w:rFonts w:cs="Calibri"/>
          <w:sz w:val="24"/>
        </w:rPr>
        <w:t>przestarzałych elementów sieci, których nadmierne wysłużenie może doprowadzić do awarii instalacji. Wymiany wyeksploatowanych i przestarzałych elementów sieci kanalizacyjnej mają szczególny wpływ na ochronę środowiska gruntowego i wodnego, zapobiegając niekontrolowanemu przenikaniu nieoczyszczonych ścieków do gleb i wód.</w:t>
      </w:r>
    </w:p>
    <w:p w:rsidR="000178B1" w:rsidRPr="00652ACD" w:rsidRDefault="000178B1" w:rsidP="00652ACD">
      <w:pPr>
        <w:spacing w:after="120"/>
        <w:jc w:val="left"/>
        <w:rPr>
          <w:rFonts w:cs="Calibri"/>
          <w:sz w:val="24"/>
        </w:rPr>
      </w:pPr>
      <w:r w:rsidRPr="00652ACD">
        <w:rPr>
          <w:rFonts w:cs="Calibri"/>
          <w:sz w:val="24"/>
          <w:shd w:val="clear" w:color="auto" w:fill="FFFFFF"/>
        </w:rPr>
        <w:t xml:space="preserve">W celu zidentyfikowania faktycznych potrzeb w zakresie uporządkowania gospodarki ściekowej utworzono Krajowy program oczyszczania ścieków komunalnych (KPOŚK). </w:t>
      </w:r>
      <w:r w:rsidRPr="00652ACD">
        <w:rPr>
          <w:rStyle w:val="a9c850d23acbe4ed5b27604ff79f1bcd289"/>
          <w:rFonts w:cs="Calibri"/>
          <w:bCs/>
        </w:rPr>
        <w:t>Obecnie obowiązuje jego VI aktualizacja</w:t>
      </w:r>
      <w:r w:rsidR="00D94C7A" w:rsidRPr="00652ACD">
        <w:rPr>
          <w:rStyle w:val="a9c850d23acbe4ed5b27604ff79f1bcd289"/>
          <w:rFonts w:cs="Calibri"/>
          <w:bCs/>
        </w:rPr>
        <w:t xml:space="preserve"> </w:t>
      </w:r>
      <w:r w:rsidRPr="00652ACD">
        <w:rPr>
          <w:rStyle w:val="a9c850d23acbe4ed5b27604ff79f1bcd289"/>
          <w:rFonts w:cs="Calibri"/>
          <w:bCs/>
        </w:rPr>
        <w:t>.J</w:t>
      </w:r>
      <w:r w:rsidRPr="00652ACD">
        <w:rPr>
          <w:rFonts w:cs="Calibri"/>
          <w:sz w:val="24"/>
        </w:rPr>
        <w:t>est to dokument strategiczny, w którym oszacowano potrzeby i określono działania na rzecz wyposażenia aglomeracji miejskich i wiejskich (o</w:t>
      </w:r>
      <w:r w:rsidR="001D1207">
        <w:rPr>
          <w:rFonts w:cs="Calibri"/>
          <w:sz w:val="24"/>
        </w:rPr>
        <w:t> </w:t>
      </w:r>
      <w:r w:rsidRPr="00652ACD">
        <w:rPr>
          <w:rFonts w:cs="Calibri"/>
          <w:sz w:val="24"/>
        </w:rPr>
        <w:t>RLM</w:t>
      </w:r>
      <w:r w:rsidRPr="00652ACD">
        <w:rPr>
          <w:rStyle w:val="Odwoanieprzypisudolnego"/>
          <w:rFonts w:cs="Calibri"/>
          <w:sz w:val="24"/>
        </w:rPr>
        <w:footnoteReference w:id="59"/>
      </w:r>
      <w:r w:rsidRPr="00652ACD">
        <w:rPr>
          <w:rFonts w:cs="Calibri"/>
          <w:sz w:val="24"/>
        </w:rPr>
        <w:t xml:space="preserve"> większej od 2 000) w systemy kanalizacyjne i oczyszczalnie ścieków. Na terenie WrOF wyznaczono łącznie 16 aglomeracji: Długołęka, Dobroszyce, Jelcz-Laskowice, Kąty Wrocławskie, Kobierzyce, Oleśnica, Oława, Stanowice, Oborniki Śląskie, Siechnice, Sobótka, Trzebnica, Wisznia Mała, Wrocław, Zawonia, Żórawina. Największą jest aglomeracja Wrocław, w skład której wchodzą gminy: Wrocław, Kobierzyce, Wisznia Mała, Miękinia, Czernica, Siechnice. Dla gminy Oleśnica (gmina wiejska) nie wyznaczono</w:t>
      </w:r>
      <w:r w:rsidR="00D94C7A" w:rsidRPr="00652ACD">
        <w:rPr>
          <w:rFonts w:cs="Calibri"/>
          <w:sz w:val="24"/>
        </w:rPr>
        <w:t xml:space="preserve"> </w:t>
      </w:r>
      <w:r w:rsidRPr="00652ACD">
        <w:rPr>
          <w:rFonts w:cs="Calibri"/>
          <w:sz w:val="24"/>
        </w:rPr>
        <w:t>aglomeracji</w:t>
      </w:r>
      <w:r w:rsidRPr="00652ACD">
        <w:rPr>
          <w:rStyle w:val="Odwoanieprzypisudolnego"/>
          <w:rFonts w:cs="Calibri"/>
          <w:sz w:val="24"/>
        </w:rPr>
        <w:footnoteReference w:id="60"/>
      </w:r>
      <w:r w:rsidRPr="00652ACD">
        <w:rPr>
          <w:rFonts w:cs="Calibri"/>
          <w:sz w:val="24"/>
        </w:rPr>
        <w:t xml:space="preserve">. Ze względu na stały rozwój obszarów zabudowanych, konieczne jest regularne przeprowadzanie aktualizacji wyznaczonych aglomeracji. </w:t>
      </w:r>
      <w:bookmarkStart w:id="95" w:name="_Hlk120870889"/>
      <w:r w:rsidRPr="00652ACD">
        <w:rPr>
          <w:rFonts w:cs="Calibri"/>
          <w:sz w:val="24"/>
        </w:rPr>
        <w:t>W ślad za rozbudową sieci kanalizacyjnej powinna iść budowa nowych oczyszczalni ścieków oraz wdrażanie najnowszych technologii oczyszczania. Działania te są konieczne z punktu widzenia ochrony środowiska jako kluczowe do osiągni</w:t>
      </w:r>
      <w:r w:rsidR="00C7023F" w:rsidRPr="00652ACD">
        <w:rPr>
          <w:rFonts w:cs="Calibri"/>
          <w:sz w:val="24"/>
        </w:rPr>
        <w:t>ę</w:t>
      </w:r>
      <w:r w:rsidRPr="00652ACD">
        <w:rPr>
          <w:rFonts w:cs="Calibri"/>
          <w:sz w:val="24"/>
        </w:rPr>
        <w:t>cia bądź utrzymania dobrego stanu wód i gleb dzięki minimalizacji zanieczyszczeń ze zbiorników bezodpływowych oraz wprowadzanych ścieków oczyszczonych o przekroczonych dopuszczalnych parametrach.</w:t>
      </w:r>
      <w:bookmarkStart w:id="96" w:name="_Hlk120696192"/>
      <w:r w:rsidR="009E0097" w:rsidRPr="00652ACD">
        <w:rPr>
          <w:rFonts w:cs="Calibri"/>
          <w:sz w:val="24"/>
        </w:rPr>
        <w:t xml:space="preserve"> </w:t>
      </w:r>
      <w:r w:rsidRPr="00652ACD">
        <w:rPr>
          <w:rFonts w:cs="Calibri"/>
          <w:sz w:val="24"/>
        </w:rPr>
        <w:t>Zgodnie z VI AKPOŚK, planowana jest modernizacja sieci kanalizacyjnej w aglomeracjach</w:t>
      </w:r>
      <w:r w:rsidR="00C7023F" w:rsidRPr="00652ACD">
        <w:rPr>
          <w:rFonts w:cs="Calibri"/>
          <w:sz w:val="24"/>
        </w:rPr>
        <w:t xml:space="preserve"> (szacunkowe długości)</w:t>
      </w:r>
      <w:r w:rsidRPr="00652ACD">
        <w:rPr>
          <w:rFonts w:cs="Calibri"/>
          <w:sz w:val="24"/>
        </w:rPr>
        <w:t>: Długołęka (69,8 km), Jelcz-Laskowice (15,19 km), Kobierzyce (1,5 km), Kąty Wrocławskie (1,3 km),</w:t>
      </w:r>
      <w:r w:rsidR="009E0097" w:rsidRPr="00652ACD">
        <w:rPr>
          <w:rFonts w:cs="Calibri"/>
          <w:sz w:val="24"/>
        </w:rPr>
        <w:t xml:space="preserve"> </w:t>
      </w:r>
      <w:r w:rsidRPr="00652ACD">
        <w:rPr>
          <w:rFonts w:cs="Calibri"/>
          <w:sz w:val="24"/>
        </w:rPr>
        <w:t>Oborniki Śląskie (2,4 km),</w:t>
      </w:r>
      <w:r w:rsidR="009E0097" w:rsidRPr="00652ACD">
        <w:rPr>
          <w:rFonts w:cs="Calibri"/>
          <w:sz w:val="24"/>
        </w:rPr>
        <w:t xml:space="preserve"> </w:t>
      </w:r>
      <w:r w:rsidRPr="00652ACD">
        <w:rPr>
          <w:rFonts w:cs="Calibri"/>
          <w:sz w:val="24"/>
        </w:rPr>
        <w:t>Oleśnica (9 km),</w:t>
      </w:r>
      <w:r w:rsidR="009E0097" w:rsidRPr="00652ACD">
        <w:rPr>
          <w:rFonts w:cs="Calibri"/>
          <w:sz w:val="24"/>
        </w:rPr>
        <w:t xml:space="preserve"> </w:t>
      </w:r>
      <w:r w:rsidRPr="00652ACD">
        <w:rPr>
          <w:rFonts w:cs="Calibri"/>
          <w:sz w:val="24"/>
        </w:rPr>
        <w:t>Oława (4,84 km),</w:t>
      </w:r>
      <w:r w:rsidR="009E0097" w:rsidRPr="00652ACD">
        <w:rPr>
          <w:rFonts w:cs="Calibri"/>
          <w:sz w:val="24"/>
        </w:rPr>
        <w:t xml:space="preserve"> </w:t>
      </w:r>
      <w:r w:rsidRPr="00652ACD">
        <w:rPr>
          <w:rFonts w:cs="Calibri"/>
          <w:sz w:val="24"/>
        </w:rPr>
        <w:t>Siechnice (9,5 km),</w:t>
      </w:r>
      <w:r w:rsidR="009E0097" w:rsidRPr="00652ACD">
        <w:rPr>
          <w:rFonts w:cs="Calibri"/>
          <w:sz w:val="24"/>
        </w:rPr>
        <w:t xml:space="preserve"> </w:t>
      </w:r>
      <w:r w:rsidRPr="00652ACD">
        <w:rPr>
          <w:rFonts w:cs="Calibri"/>
          <w:sz w:val="24"/>
        </w:rPr>
        <w:t>Sobótka (5 km),</w:t>
      </w:r>
      <w:r w:rsidR="009E0097" w:rsidRPr="00652ACD">
        <w:rPr>
          <w:rFonts w:cs="Calibri"/>
          <w:sz w:val="24"/>
        </w:rPr>
        <w:t xml:space="preserve"> </w:t>
      </w:r>
      <w:r w:rsidRPr="00652ACD">
        <w:rPr>
          <w:rFonts w:cs="Calibri"/>
          <w:sz w:val="24"/>
        </w:rPr>
        <w:t>Stanowice (2,3 km),</w:t>
      </w:r>
      <w:r w:rsidR="009E0097" w:rsidRPr="00652ACD">
        <w:rPr>
          <w:rFonts w:cs="Calibri"/>
          <w:sz w:val="24"/>
        </w:rPr>
        <w:t xml:space="preserve"> </w:t>
      </w:r>
      <w:r w:rsidRPr="00652ACD">
        <w:rPr>
          <w:rFonts w:cs="Calibri"/>
          <w:sz w:val="24"/>
        </w:rPr>
        <w:t>Trzebnica (2,2 km),</w:t>
      </w:r>
      <w:r w:rsidR="009E0097" w:rsidRPr="00652ACD">
        <w:rPr>
          <w:rFonts w:cs="Calibri"/>
          <w:sz w:val="24"/>
        </w:rPr>
        <w:t xml:space="preserve"> </w:t>
      </w:r>
      <w:r w:rsidRPr="00652ACD">
        <w:rPr>
          <w:rFonts w:cs="Calibri"/>
          <w:sz w:val="24"/>
        </w:rPr>
        <w:t>Wisznia Mała (1,2 km),</w:t>
      </w:r>
      <w:r w:rsidR="009E0097" w:rsidRPr="00652ACD">
        <w:rPr>
          <w:rFonts w:cs="Calibri"/>
          <w:sz w:val="24"/>
        </w:rPr>
        <w:t xml:space="preserve"> </w:t>
      </w:r>
      <w:r w:rsidRPr="00652ACD">
        <w:rPr>
          <w:rFonts w:cs="Calibri"/>
          <w:sz w:val="24"/>
        </w:rPr>
        <w:t xml:space="preserve">Wrocław (139,2 km), Zawonia (14,9 km), Żórawina (15 km). Łączne </w:t>
      </w:r>
      <w:r w:rsidR="00C7023F" w:rsidRPr="00652ACD">
        <w:rPr>
          <w:rFonts w:cs="Calibri"/>
          <w:sz w:val="24"/>
        </w:rPr>
        <w:t xml:space="preserve">szacunkowe </w:t>
      </w:r>
      <w:r w:rsidRPr="00652ACD">
        <w:rPr>
          <w:rFonts w:cs="Calibri"/>
          <w:sz w:val="24"/>
        </w:rPr>
        <w:t>n</w:t>
      </w:r>
      <w:r w:rsidR="004A032E" w:rsidRPr="00652ACD">
        <w:rPr>
          <w:rFonts w:cs="Calibri"/>
          <w:sz w:val="24"/>
        </w:rPr>
        <w:t xml:space="preserve">akłady na modernizację wyniosą </w:t>
      </w:r>
      <w:r w:rsidRPr="00652ACD">
        <w:rPr>
          <w:rFonts w:cs="Calibri"/>
          <w:sz w:val="24"/>
        </w:rPr>
        <w:t>ok. 1 021 082,5 tys. zł</w:t>
      </w:r>
      <w:r w:rsidRPr="00652ACD">
        <w:rPr>
          <w:rStyle w:val="Odwoanieprzypisudolnego"/>
          <w:rFonts w:cs="Calibri"/>
          <w:sz w:val="24"/>
        </w:rPr>
        <w:footnoteReference w:id="61"/>
      </w:r>
      <w:r w:rsidRPr="00652ACD">
        <w:rPr>
          <w:rFonts w:cs="Calibri"/>
          <w:sz w:val="24"/>
        </w:rPr>
        <w:t xml:space="preserve">. </w:t>
      </w:r>
    </w:p>
    <w:bookmarkEnd w:id="95"/>
    <w:bookmarkEnd w:id="96"/>
    <w:p w:rsidR="000178B1" w:rsidRPr="00652ACD" w:rsidRDefault="000178B1" w:rsidP="00652ACD">
      <w:pPr>
        <w:jc w:val="left"/>
        <w:rPr>
          <w:rFonts w:cs="Calibri"/>
          <w:sz w:val="24"/>
        </w:rPr>
      </w:pPr>
      <w:r w:rsidRPr="00652ACD">
        <w:rPr>
          <w:rFonts w:cs="Calibri"/>
          <w:sz w:val="24"/>
        </w:rPr>
        <w:t>Na terenie WrOF</w:t>
      </w:r>
      <w:r w:rsidR="00D94C7A" w:rsidRPr="00652ACD">
        <w:rPr>
          <w:rFonts w:cs="Calibri"/>
          <w:sz w:val="24"/>
        </w:rPr>
        <w:t xml:space="preserve"> </w:t>
      </w:r>
      <w:r w:rsidR="003E03AD" w:rsidRPr="00652ACD">
        <w:rPr>
          <w:rFonts w:cs="Calibri"/>
          <w:sz w:val="24"/>
        </w:rPr>
        <w:t xml:space="preserve">wciąż </w:t>
      </w:r>
      <w:r w:rsidRPr="00652ACD">
        <w:rPr>
          <w:rFonts w:cs="Calibri"/>
          <w:sz w:val="24"/>
        </w:rPr>
        <w:t>część mieszkańców korzysta ze zbiorników bezodpływowych oraz przydomowych oczyszczalni ścieków. Według danych BDL GUS, w 2020 roku, na obszarze WrOF zlokalizowanych było 32 517 zbiorników bezodpływowych oraz 2 925 przydomowych oczyszczalni ścieków. Lokalna społeczność korzysta z tego rozwiązania głównie na terenach wiejskich. Największą liczbę zbiorników bezodpływowych zanotowano w</w:t>
      </w:r>
      <w:r w:rsidR="00D94C7A" w:rsidRPr="00652ACD">
        <w:rPr>
          <w:rFonts w:cs="Calibri"/>
          <w:sz w:val="24"/>
        </w:rPr>
        <w:t xml:space="preserve"> </w:t>
      </w:r>
      <w:r w:rsidRPr="00652ACD">
        <w:rPr>
          <w:rFonts w:cs="Calibri"/>
          <w:sz w:val="24"/>
        </w:rPr>
        <w:t>gminie</w:t>
      </w:r>
      <w:r w:rsidR="00D94C7A" w:rsidRPr="00652ACD">
        <w:rPr>
          <w:rFonts w:cs="Calibri"/>
          <w:sz w:val="24"/>
        </w:rPr>
        <w:t xml:space="preserve"> </w:t>
      </w:r>
      <w:r w:rsidRPr="00652ACD">
        <w:rPr>
          <w:rFonts w:cs="Calibri"/>
          <w:sz w:val="24"/>
        </w:rPr>
        <w:t xml:space="preserve">Długołęka </w:t>
      </w:r>
      <w:r w:rsidR="00896807" w:rsidRPr="00652ACD">
        <w:rPr>
          <w:rFonts w:cs="Calibri"/>
          <w:sz w:val="24"/>
        </w:rPr>
        <w:t>(4 456 szt.), a najmniejszą w </w:t>
      </w:r>
      <w:r w:rsidRPr="00652ACD">
        <w:rPr>
          <w:rFonts w:cs="Calibri"/>
          <w:sz w:val="24"/>
        </w:rPr>
        <w:t>Oławie (</w:t>
      </w:r>
      <w:r w:rsidR="004A032E" w:rsidRPr="00652ACD">
        <w:rPr>
          <w:rFonts w:cs="Calibri"/>
          <w:sz w:val="24"/>
        </w:rPr>
        <w:t xml:space="preserve">miasto </w:t>
      </w:r>
      <w:r w:rsidRPr="00652ACD">
        <w:rPr>
          <w:rFonts w:cs="Calibri"/>
          <w:sz w:val="24"/>
        </w:rPr>
        <w:t>- 72 szt.) i Oleśnicy (miasto - 136 szt.). We Wrocławiu zlokalizowanych jest 2 405 zbiorników be</w:t>
      </w:r>
      <w:r w:rsidR="001D1207">
        <w:rPr>
          <w:rFonts w:cs="Calibri"/>
          <w:sz w:val="24"/>
        </w:rPr>
        <w:t>zodpływowych, a więc niewiele w </w:t>
      </w:r>
      <w:r w:rsidRPr="00652ACD">
        <w:rPr>
          <w:rFonts w:cs="Calibri"/>
          <w:sz w:val="24"/>
        </w:rPr>
        <w:t>stosunku do wielkości miasta i liczby ludnoś</w:t>
      </w:r>
      <w:r w:rsidR="00F258FA" w:rsidRPr="00652ACD">
        <w:rPr>
          <w:rFonts w:cs="Calibri"/>
          <w:sz w:val="24"/>
        </w:rPr>
        <w:t>ci, co </w:t>
      </w:r>
      <w:r w:rsidRPr="00652ACD">
        <w:rPr>
          <w:rFonts w:cs="Calibri"/>
          <w:sz w:val="24"/>
        </w:rPr>
        <w:t>wynika z wysokiego poziomu skanalizowania.</w:t>
      </w:r>
      <w:r w:rsidR="00D94C7A" w:rsidRPr="00652ACD">
        <w:rPr>
          <w:rFonts w:cs="Calibri"/>
          <w:sz w:val="24"/>
        </w:rPr>
        <w:t xml:space="preserve"> </w:t>
      </w:r>
      <w:r w:rsidRPr="00652ACD">
        <w:rPr>
          <w:rFonts w:cs="Calibri"/>
          <w:sz w:val="24"/>
        </w:rPr>
        <w:t xml:space="preserve">Gospodarowanie ściekami poprzez stosowanie zbiorników bezodpływowych nie jest korzystne z punktu widzenia </w:t>
      </w:r>
      <w:r w:rsidR="00896807" w:rsidRPr="00652ACD">
        <w:rPr>
          <w:rFonts w:cs="Calibri"/>
          <w:sz w:val="24"/>
        </w:rPr>
        <w:t>ochrony środowiska, w związku z </w:t>
      </w:r>
      <w:r w:rsidRPr="00652ACD">
        <w:rPr>
          <w:rFonts w:cs="Calibri"/>
          <w:sz w:val="24"/>
        </w:rPr>
        <w:t>zagrożeniem nieszczelnościami oraz zdarzającymi się nielegalnymi zrzutami ścieków do gruntu lub wody. Bardziej korzystnym dla środowiska rozwiązaniem są przydomowe oczyszczalnie ścieków, których na terenie WrOF zlokalizowanych jest znacznie mniej - 2 925 sztuk, z czego 720 na terenie Oleśnicy (gmina wiejska).</w:t>
      </w:r>
    </w:p>
    <w:p w:rsidR="00B26499" w:rsidRPr="00652ACD" w:rsidRDefault="00B26499" w:rsidP="00652ACD">
      <w:pPr>
        <w:spacing w:after="0"/>
        <w:jc w:val="left"/>
        <w:rPr>
          <w:rFonts w:cs="Calibri"/>
          <w:b/>
          <w:color w:val="000000" w:themeColor="text1"/>
          <w:sz w:val="24"/>
        </w:rPr>
      </w:pPr>
      <w:r w:rsidRPr="00652ACD">
        <w:rPr>
          <w:rFonts w:cs="Calibri"/>
          <w:b/>
          <w:color w:val="000000" w:themeColor="text1"/>
          <w:sz w:val="24"/>
        </w:rPr>
        <w:t>Oczyszczalnie ścieków</w:t>
      </w:r>
    </w:p>
    <w:p w:rsidR="004A66FC" w:rsidRPr="00652ACD" w:rsidRDefault="000178B1" w:rsidP="00652ACD">
      <w:pPr>
        <w:spacing w:after="0"/>
        <w:jc w:val="left"/>
        <w:rPr>
          <w:rFonts w:cs="Calibri"/>
          <w:color w:val="000000" w:themeColor="text1"/>
          <w:sz w:val="24"/>
        </w:rPr>
      </w:pPr>
      <w:r w:rsidRPr="00652ACD">
        <w:rPr>
          <w:rFonts w:cs="Calibri"/>
          <w:color w:val="000000" w:themeColor="text1"/>
          <w:sz w:val="24"/>
        </w:rPr>
        <w:t>Na terenie WrOF zlokalizowanych jest 12 oczyszczalni biologicznych oraz 13 z podwyższonym usuwaniem biogenów (BDL GUS, stan na 31.12.2021 r.).</w:t>
      </w:r>
      <w:bookmarkStart w:id="97" w:name="_Hlk120696123"/>
      <w:r w:rsidR="009E0097" w:rsidRPr="00652ACD">
        <w:rPr>
          <w:rFonts w:cs="Calibri"/>
          <w:color w:val="000000" w:themeColor="text1"/>
          <w:sz w:val="24"/>
        </w:rPr>
        <w:t xml:space="preserve"> </w:t>
      </w:r>
      <w:r w:rsidRPr="00652ACD">
        <w:rPr>
          <w:rFonts w:cs="Calibri"/>
          <w:color w:val="000000" w:themeColor="text1"/>
          <w:sz w:val="24"/>
        </w:rPr>
        <w:t xml:space="preserve">Oczyszczalni ścieków na swoim terenie nie posiadają gminy Czernica oraz Miękinia, które korzystają z oczyszczalni ścieków na </w:t>
      </w:r>
      <w:proofErr w:type="spellStart"/>
      <w:r w:rsidRPr="00652ACD">
        <w:rPr>
          <w:rFonts w:cs="Calibri"/>
          <w:color w:val="000000" w:themeColor="text1"/>
          <w:sz w:val="24"/>
        </w:rPr>
        <w:t>Janówku</w:t>
      </w:r>
      <w:proofErr w:type="spellEnd"/>
      <w:r w:rsidRPr="00652ACD">
        <w:rPr>
          <w:rFonts w:cs="Calibri"/>
          <w:color w:val="000000" w:themeColor="text1"/>
          <w:sz w:val="24"/>
        </w:rPr>
        <w:t xml:space="preserve"> zarządzanej przez MPWIK we Wrocławiu oraz </w:t>
      </w:r>
      <w:r w:rsidR="00D94C7A" w:rsidRPr="00652ACD">
        <w:rPr>
          <w:rFonts w:cs="Calibri"/>
          <w:color w:val="000000" w:themeColor="text1"/>
          <w:sz w:val="24"/>
        </w:rPr>
        <w:t>Oleśnica (</w:t>
      </w:r>
      <w:r w:rsidRPr="00652ACD">
        <w:rPr>
          <w:rFonts w:cs="Calibri"/>
          <w:color w:val="000000" w:themeColor="text1"/>
          <w:sz w:val="24"/>
        </w:rPr>
        <w:t>gmina wiejska</w:t>
      </w:r>
      <w:r w:rsidR="00D94C7A" w:rsidRPr="00652ACD">
        <w:rPr>
          <w:rFonts w:cs="Calibri"/>
          <w:color w:val="000000" w:themeColor="text1"/>
          <w:sz w:val="24"/>
        </w:rPr>
        <w:t>)</w:t>
      </w:r>
      <w:r w:rsidRPr="00652ACD">
        <w:rPr>
          <w:rFonts w:cs="Calibri"/>
          <w:color w:val="000000" w:themeColor="text1"/>
          <w:sz w:val="24"/>
        </w:rPr>
        <w:t>. Fakt ten skłania do podjęcia budowy własnej oc</w:t>
      </w:r>
      <w:r w:rsidR="00D94C7A" w:rsidRPr="00652ACD">
        <w:rPr>
          <w:rFonts w:cs="Calibri"/>
          <w:color w:val="000000" w:themeColor="text1"/>
          <w:sz w:val="24"/>
        </w:rPr>
        <w:t>zyszczalni w gminach</w:t>
      </w:r>
      <w:r w:rsidRPr="00652ACD">
        <w:rPr>
          <w:rFonts w:cs="Calibri"/>
          <w:color w:val="000000" w:themeColor="text1"/>
          <w:sz w:val="24"/>
        </w:rPr>
        <w:t>.</w:t>
      </w:r>
      <w:r w:rsidR="00D94C7A" w:rsidRPr="00652ACD">
        <w:rPr>
          <w:rFonts w:cs="Calibri"/>
          <w:color w:val="000000" w:themeColor="text1"/>
          <w:sz w:val="24"/>
        </w:rPr>
        <w:t xml:space="preserve"> </w:t>
      </w:r>
      <w:r w:rsidRPr="00652ACD">
        <w:rPr>
          <w:rFonts w:cs="Calibri"/>
          <w:color w:val="000000" w:themeColor="text1"/>
          <w:sz w:val="24"/>
        </w:rPr>
        <w:t>Zgodnie z VI AKPO</w:t>
      </w:r>
      <w:r w:rsidR="00B34B71" w:rsidRPr="00652ACD">
        <w:rPr>
          <w:rFonts w:cs="Calibri"/>
          <w:color w:val="000000" w:themeColor="text1"/>
          <w:sz w:val="24"/>
        </w:rPr>
        <w:t>Ś</w:t>
      </w:r>
      <w:r w:rsidRPr="00652ACD">
        <w:rPr>
          <w:rFonts w:cs="Calibri"/>
          <w:color w:val="000000" w:themeColor="text1"/>
          <w:sz w:val="24"/>
        </w:rPr>
        <w:t xml:space="preserve">K, planowane </w:t>
      </w:r>
      <w:r w:rsidR="004A66FC" w:rsidRPr="00652ACD">
        <w:rPr>
          <w:rFonts w:cs="Calibri"/>
          <w:color w:val="000000" w:themeColor="text1"/>
          <w:sz w:val="24"/>
        </w:rPr>
        <w:t>we WrOF</w:t>
      </w:r>
      <w:r w:rsidR="00D94C7A" w:rsidRPr="00652ACD">
        <w:rPr>
          <w:rFonts w:cs="Calibri"/>
          <w:color w:val="000000" w:themeColor="text1"/>
          <w:sz w:val="24"/>
        </w:rPr>
        <w:t xml:space="preserve"> </w:t>
      </w:r>
      <w:r w:rsidRPr="00652ACD">
        <w:rPr>
          <w:rFonts w:cs="Calibri"/>
          <w:color w:val="000000" w:themeColor="text1"/>
          <w:sz w:val="24"/>
        </w:rPr>
        <w:t xml:space="preserve">inwestycje </w:t>
      </w:r>
      <w:r w:rsidR="004A66FC" w:rsidRPr="00652ACD">
        <w:rPr>
          <w:rFonts w:cs="Calibri"/>
          <w:color w:val="000000" w:themeColor="text1"/>
          <w:sz w:val="24"/>
        </w:rPr>
        <w:t>z</w:t>
      </w:r>
      <w:r w:rsidR="00B34B71" w:rsidRPr="00652ACD">
        <w:rPr>
          <w:rFonts w:cs="Calibri"/>
          <w:color w:val="000000" w:themeColor="text1"/>
          <w:sz w:val="24"/>
        </w:rPr>
        <w:t>wiązane z oczyszczalniami</w:t>
      </w:r>
      <w:r w:rsidR="00D94C7A" w:rsidRPr="00652ACD">
        <w:rPr>
          <w:rFonts w:cs="Calibri"/>
          <w:color w:val="000000" w:themeColor="text1"/>
          <w:sz w:val="24"/>
        </w:rPr>
        <w:t xml:space="preserve"> </w:t>
      </w:r>
      <w:r w:rsidR="00460884" w:rsidRPr="00652ACD">
        <w:rPr>
          <w:rFonts w:cs="Calibri"/>
          <w:color w:val="000000" w:themeColor="text1"/>
          <w:sz w:val="24"/>
        </w:rPr>
        <w:t>ścieków</w:t>
      </w:r>
      <w:r w:rsidR="00D94C7A" w:rsidRPr="00652ACD">
        <w:rPr>
          <w:rFonts w:cs="Calibri"/>
          <w:color w:val="000000" w:themeColor="text1"/>
          <w:sz w:val="24"/>
        </w:rPr>
        <w:t xml:space="preserve"> </w:t>
      </w:r>
      <w:r w:rsidR="004A66FC" w:rsidRPr="00652ACD">
        <w:rPr>
          <w:rFonts w:cs="Calibri"/>
          <w:color w:val="000000" w:themeColor="text1"/>
          <w:sz w:val="24"/>
        </w:rPr>
        <w:t xml:space="preserve">dotyczą m. in. konieczności </w:t>
      </w:r>
      <w:r w:rsidR="00B34B71" w:rsidRPr="00652ACD">
        <w:rPr>
          <w:rFonts w:cs="Calibri"/>
          <w:color w:val="000000" w:themeColor="text1"/>
          <w:sz w:val="24"/>
        </w:rPr>
        <w:t xml:space="preserve">ich </w:t>
      </w:r>
      <w:r w:rsidR="004A66FC" w:rsidRPr="00652ACD">
        <w:rPr>
          <w:rFonts w:cs="Calibri"/>
          <w:color w:val="000000" w:themeColor="text1"/>
          <w:sz w:val="24"/>
        </w:rPr>
        <w:t>modernizacji ze względu na jakość odprowadzanych ścieków, zwiększenie przepustowości oraz budowy nowych oczyszczalni,  spełniających wymogi dyrektywy 91/271/EWG dotyczącej ścieków komunalnych</w:t>
      </w:r>
      <w:r w:rsidR="00D94C7A" w:rsidRPr="00652ACD">
        <w:rPr>
          <w:rFonts w:cs="Calibri"/>
          <w:color w:val="000000" w:themeColor="text1"/>
          <w:sz w:val="24"/>
        </w:rPr>
        <w:t>. Rozbudowa</w:t>
      </w:r>
      <w:r w:rsidR="00442709" w:rsidRPr="00652ACD">
        <w:rPr>
          <w:rFonts w:cs="Calibri"/>
          <w:color w:val="000000" w:themeColor="text1"/>
          <w:sz w:val="24"/>
        </w:rPr>
        <w:t xml:space="preserve"> czy budowa nowych oczyszczalni, </w:t>
      </w:r>
      <w:r w:rsidR="00B34B71" w:rsidRPr="00652ACD">
        <w:rPr>
          <w:rFonts w:cs="Calibri"/>
          <w:color w:val="000000" w:themeColor="text1"/>
          <w:sz w:val="24"/>
        </w:rPr>
        <w:t>często skojarzona jest</w:t>
      </w:r>
      <w:r w:rsidR="00442709" w:rsidRPr="00652ACD">
        <w:rPr>
          <w:rFonts w:cs="Calibri"/>
          <w:color w:val="000000" w:themeColor="text1"/>
          <w:sz w:val="24"/>
        </w:rPr>
        <w:t xml:space="preserve"> z rozbudową sieci kanalizacyjnej na obszarze</w:t>
      </w:r>
      <w:r w:rsidR="00B34B71" w:rsidRPr="00652ACD">
        <w:rPr>
          <w:rFonts w:cs="Calibri"/>
          <w:color w:val="000000" w:themeColor="text1"/>
          <w:sz w:val="24"/>
        </w:rPr>
        <w:t xml:space="preserve"> gmin</w:t>
      </w:r>
      <w:r w:rsidR="00D94C7A" w:rsidRPr="00652ACD">
        <w:rPr>
          <w:rFonts w:cs="Calibri"/>
          <w:color w:val="000000" w:themeColor="text1"/>
          <w:sz w:val="24"/>
        </w:rPr>
        <w:t xml:space="preserve"> </w:t>
      </w:r>
      <w:r w:rsidR="00442709" w:rsidRPr="00652ACD">
        <w:rPr>
          <w:rFonts w:cs="Calibri"/>
          <w:color w:val="000000" w:themeColor="text1"/>
          <w:sz w:val="24"/>
        </w:rPr>
        <w:t>WrOF. Dodatkowo</w:t>
      </w:r>
      <w:r w:rsidR="00B34B71" w:rsidRPr="00652ACD">
        <w:rPr>
          <w:rFonts w:cs="Calibri"/>
          <w:color w:val="000000" w:themeColor="text1"/>
          <w:sz w:val="24"/>
        </w:rPr>
        <w:t xml:space="preserve"> przy działaniach w zakresie gospodarki ściekowej niezbędne jest uwzględnianie inwestycji</w:t>
      </w:r>
      <w:r w:rsidR="00442709" w:rsidRPr="00652ACD">
        <w:rPr>
          <w:rFonts w:cs="Calibri"/>
          <w:color w:val="000000" w:themeColor="text1"/>
          <w:sz w:val="24"/>
        </w:rPr>
        <w:t xml:space="preserve"> związan</w:t>
      </w:r>
      <w:r w:rsidR="00B34B71" w:rsidRPr="00652ACD">
        <w:rPr>
          <w:rFonts w:cs="Calibri"/>
          <w:color w:val="000000" w:themeColor="text1"/>
          <w:sz w:val="24"/>
        </w:rPr>
        <w:t>ych</w:t>
      </w:r>
      <w:r w:rsidR="00442709" w:rsidRPr="00652ACD">
        <w:rPr>
          <w:rFonts w:cs="Calibri"/>
          <w:color w:val="000000" w:themeColor="text1"/>
          <w:sz w:val="24"/>
        </w:rPr>
        <w:t xml:space="preserve"> z zagospodarowaniem osadów ściekowych. </w:t>
      </w:r>
      <w:r w:rsidR="00B34B71" w:rsidRPr="00652ACD">
        <w:rPr>
          <w:rFonts w:cs="Calibri"/>
          <w:color w:val="000000" w:themeColor="text1"/>
          <w:sz w:val="24"/>
        </w:rPr>
        <w:t>Zgodnie z aktualną AKPOŚK inwestycje dotyczące oczyszczalni planuje się m.in. w aglomeracjach: Wrocław, Oleśnica, Sobótka, Zawonia, Siechnice, Trzebnica, Jelcz-Laskowice, Kobierzyce</w:t>
      </w:r>
      <w:r w:rsidR="00B34B71" w:rsidRPr="00652ACD">
        <w:rPr>
          <w:rStyle w:val="Odwoanieprzypisudolnego"/>
          <w:color w:val="000000" w:themeColor="text1"/>
          <w:sz w:val="24"/>
        </w:rPr>
        <w:footnoteReference w:id="62"/>
      </w:r>
      <w:r w:rsidR="00B34B71" w:rsidRPr="00652ACD">
        <w:rPr>
          <w:rFonts w:cs="Calibri"/>
          <w:color w:val="000000" w:themeColor="text1"/>
          <w:sz w:val="24"/>
        </w:rPr>
        <w:t>.</w:t>
      </w:r>
    </w:p>
    <w:p w:rsidR="000178B1" w:rsidRPr="00652ACD" w:rsidRDefault="000178B1" w:rsidP="00652ACD">
      <w:pPr>
        <w:spacing w:before="240" w:after="0"/>
        <w:jc w:val="left"/>
        <w:rPr>
          <w:rFonts w:cs="Calibri"/>
          <w:b/>
          <w:color w:val="000000" w:themeColor="text1"/>
          <w:sz w:val="24"/>
        </w:rPr>
      </w:pPr>
      <w:r w:rsidRPr="00652ACD">
        <w:rPr>
          <w:rFonts w:cs="Calibri"/>
          <w:b/>
          <w:color w:val="000000" w:themeColor="text1"/>
          <w:sz w:val="24"/>
        </w:rPr>
        <w:t>Energetyka</w:t>
      </w:r>
    </w:p>
    <w:p w:rsidR="00E92C48" w:rsidRPr="00652ACD" w:rsidRDefault="00E82203" w:rsidP="00652ACD">
      <w:pPr>
        <w:spacing w:after="120"/>
        <w:jc w:val="left"/>
        <w:rPr>
          <w:color w:val="000000" w:themeColor="text1"/>
          <w:sz w:val="24"/>
        </w:rPr>
      </w:pPr>
      <w:r w:rsidRPr="00652ACD">
        <w:rPr>
          <w:color w:val="000000" w:themeColor="text1"/>
          <w:sz w:val="24"/>
        </w:rPr>
        <w:t xml:space="preserve">Sektor energii stanowi podstawę </w:t>
      </w:r>
      <w:r w:rsidR="00B76684" w:rsidRPr="00652ACD">
        <w:rPr>
          <w:color w:val="000000" w:themeColor="text1"/>
          <w:sz w:val="24"/>
        </w:rPr>
        <w:t xml:space="preserve">funkcjonowania i </w:t>
      </w:r>
      <w:r w:rsidRPr="00652ACD">
        <w:rPr>
          <w:color w:val="000000" w:themeColor="text1"/>
          <w:sz w:val="24"/>
        </w:rPr>
        <w:t>rozwoju gospodarczego</w:t>
      </w:r>
      <w:r w:rsidR="00B76684" w:rsidRPr="00652ACD">
        <w:rPr>
          <w:color w:val="000000" w:themeColor="text1"/>
          <w:sz w:val="24"/>
        </w:rPr>
        <w:t>, dlatego też ważne dla WrOF jest bezpieczeństwo i stabilność dostaw energii. Obecne kierunki polskiej polityki energetycznej zmierzają do transformacj</w:t>
      </w:r>
      <w:r w:rsidR="001D1207">
        <w:rPr>
          <w:color w:val="000000" w:themeColor="text1"/>
          <w:sz w:val="24"/>
        </w:rPr>
        <w:t>i w kierunku  czystej energii i </w:t>
      </w:r>
      <w:r w:rsidR="00B76684" w:rsidRPr="00652ACD">
        <w:rPr>
          <w:color w:val="000000" w:themeColor="text1"/>
          <w:sz w:val="24"/>
        </w:rPr>
        <w:t>przeciwdziałania zmianom klimatu. Na terenie WrOF podejmowane</w:t>
      </w:r>
      <w:r w:rsidR="0043690B" w:rsidRPr="00652ACD">
        <w:rPr>
          <w:color w:val="000000" w:themeColor="text1"/>
          <w:sz w:val="24"/>
        </w:rPr>
        <w:t xml:space="preserve"> są również</w:t>
      </w:r>
      <w:r w:rsidR="00B76684" w:rsidRPr="00652ACD">
        <w:rPr>
          <w:color w:val="000000" w:themeColor="text1"/>
          <w:sz w:val="24"/>
        </w:rPr>
        <w:t xml:space="preserve"> działania związane ze zwiększeniem produkcji energii ze źródeł odnawialnych, jednakże nadal dominującymi są źródła konwencjonalne.</w:t>
      </w:r>
      <w:bookmarkStart w:id="98" w:name="_Hlk120703708"/>
    </w:p>
    <w:p w:rsidR="00E92C48" w:rsidRPr="00652ACD" w:rsidRDefault="00E92C48" w:rsidP="00652ACD">
      <w:pPr>
        <w:spacing w:after="120"/>
        <w:jc w:val="left"/>
        <w:rPr>
          <w:color w:val="000000" w:themeColor="text1"/>
          <w:sz w:val="24"/>
        </w:rPr>
      </w:pPr>
      <w:r w:rsidRPr="00652ACD">
        <w:rPr>
          <w:color w:val="000000" w:themeColor="text1"/>
          <w:sz w:val="24"/>
        </w:rPr>
        <w:t xml:space="preserve">Przykładem takiej inwestycji jest budowa nowej EC </w:t>
      </w:r>
      <w:proofErr w:type="spellStart"/>
      <w:r w:rsidRPr="00652ACD">
        <w:rPr>
          <w:color w:val="000000" w:themeColor="text1"/>
          <w:sz w:val="24"/>
        </w:rPr>
        <w:t>Czechnica</w:t>
      </w:r>
      <w:proofErr w:type="spellEnd"/>
      <w:r w:rsidRPr="00652ACD">
        <w:rPr>
          <w:color w:val="000000" w:themeColor="text1"/>
          <w:sz w:val="24"/>
        </w:rPr>
        <w:t>, której realizacja wpłynie na poprawę efektywności wytwarzania energii elektrycznej i cieplnej w kogeneracji. Inwestycja ta będzie miała wpływ na rozwój energetyki wodorowej ze względna na zastoso</w:t>
      </w:r>
      <w:r w:rsidR="00F258FA" w:rsidRPr="00652ACD">
        <w:rPr>
          <w:color w:val="000000" w:themeColor="text1"/>
          <w:sz w:val="24"/>
        </w:rPr>
        <w:t>wanie  nowoczesnych urządzeń do </w:t>
      </w:r>
      <w:r w:rsidRPr="00652ACD">
        <w:rPr>
          <w:color w:val="000000" w:themeColor="text1"/>
          <w:sz w:val="24"/>
        </w:rPr>
        <w:t>produkcji energii w procesie spalania wodoru. Nowa elektrociepłownia będzie dysponowała jednym z najnowocześniejszych w Polsce  akumulatorem ciepła, który będzie odpowiadał za stabilizację obciążenia źródeł ciepła przy zmiennym zapotrzebowaniu oraz za pokrywanie chwilowego szczytowego zapotrzebowania na ciepło. Akumulator ciepła zwiększy elastyczn</w:t>
      </w:r>
      <w:r w:rsidR="001D1207">
        <w:rPr>
          <w:color w:val="000000" w:themeColor="text1"/>
          <w:sz w:val="24"/>
        </w:rPr>
        <w:t>ość pracy urządzeń, sprawność i </w:t>
      </w:r>
      <w:r w:rsidRPr="00652ACD">
        <w:rPr>
          <w:color w:val="000000" w:themeColor="text1"/>
          <w:sz w:val="24"/>
        </w:rPr>
        <w:t>dyspozycyjność wytwarzania energii elektrycznej i ciepła oraz optymalizację kosztów produkcji oraz dostaw ciepła w sytuacjach awaryjnych.</w:t>
      </w:r>
    </w:p>
    <w:p w:rsidR="000F5700" w:rsidRPr="00652ACD" w:rsidRDefault="000178B1" w:rsidP="00652ACD">
      <w:pPr>
        <w:spacing w:after="120"/>
        <w:jc w:val="left"/>
        <w:rPr>
          <w:color w:val="000000" w:themeColor="text1"/>
          <w:sz w:val="24"/>
        </w:rPr>
      </w:pPr>
      <w:r w:rsidRPr="00652ACD">
        <w:rPr>
          <w:color w:val="000000" w:themeColor="text1"/>
          <w:sz w:val="24"/>
        </w:rPr>
        <w:t xml:space="preserve">Największym systemowym wytwórcą energii elektrycznej na terenie województwa dolnośląskiego jest elektrownia systemowa PGE </w:t>
      </w:r>
      <w:proofErr w:type="spellStart"/>
      <w:r w:rsidRPr="00652ACD">
        <w:rPr>
          <w:color w:val="000000" w:themeColor="text1"/>
          <w:sz w:val="24"/>
        </w:rPr>
        <w:t>GiEK</w:t>
      </w:r>
      <w:proofErr w:type="spellEnd"/>
      <w:r w:rsidR="00D94C7A" w:rsidRPr="00652ACD">
        <w:rPr>
          <w:color w:val="000000" w:themeColor="text1"/>
          <w:sz w:val="24"/>
        </w:rPr>
        <w:t xml:space="preserve"> </w:t>
      </w:r>
      <w:r w:rsidRPr="00652ACD">
        <w:rPr>
          <w:color w:val="000000" w:themeColor="text1"/>
          <w:sz w:val="24"/>
        </w:rPr>
        <w:t>S.A.</w:t>
      </w:r>
      <w:r w:rsidR="00D94C7A" w:rsidRPr="00652ACD">
        <w:rPr>
          <w:color w:val="000000" w:themeColor="text1"/>
          <w:sz w:val="24"/>
        </w:rPr>
        <w:t xml:space="preserve"> </w:t>
      </w:r>
      <w:r w:rsidRPr="00652ACD">
        <w:rPr>
          <w:color w:val="000000" w:themeColor="text1"/>
          <w:sz w:val="24"/>
        </w:rPr>
        <w:t>Oddział Elektrownia Turów. Zasila ona także teren WrOF</w:t>
      </w:r>
      <w:bookmarkEnd w:id="98"/>
      <w:r w:rsidRPr="00652ACD">
        <w:rPr>
          <w:color w:val="000000" w:themeColor="text1"/>
          <w:sz w:val="24"/>
        </w:rPr>
        <w:t>.</w:t>
      </w:r>
      <w:r w:rsidR="00D94C7A" w:rsidRPr="00652ACD">
        <w:rPr>
          <w:color w:val="000000" w:themeColor="text1"/>
          <w:sz w:val="24"/>
        </w:rPr>
        <w:t xml:space="preserve"> </w:t>
      </w:r>
      <w:r w:rsidRPr="00652ACD">
        <w:rPr>
          <w:color w:val="000000" w:themeColor="text1"/>
          <w:sz w:val="24"/>
        </w:rPr>
        <w:t>Właścicielem systemu elektroenergetycznego na obszarze WrOF jest TAU</w:t>
      </w:r>
      <w:r w:rsidR="000F5700" w:rsidRPr="00652ACD">
        <w:rPr>
          <w:color w:val="000000" w:themeColor="text1"/>
          <w:sz w:val="24"/>
        </w:rPr>
        <w:t xml:space="preserve">RON Dystrybucja S.A. Oddział we </w:t>
      </w:r>
      <w:r w:rsidRPr="00652ACD">
        <w:rPr>
          <w:color w:val="000000" w:themeColor="text1"/>
          <w:sz w:val="24"/>
        </w:rPr>
        <w:t xml:space="preserve">Wrocławiu oraz Polskie </w:t>
      </w:r>
      <w:r w:rsidR="000F5700" w:rsidRPr="00652ACD">
        <w:rPr>
          <w:color w:val="000000" w:themeColor="text1"/>
          <w:sz w:val="24"/>
        </w:rPr>
        <w:t xml:space="preserve">Sieci Elektroenergetyczne S.A. </w:t>
      </w:r>
    </w:p>
    <w:p w:rsidR="000178B1" w:rsidRPr="00652ACD" w:rsidRDefault="000178B1" w:rsidP="00652ACD">
      <w:pPr>
        <w:spacing w:after="0"/>
        <w:jc w:val="left"/>
        <w:rPr>
          <w:rFonts w:cs="Calibri"/>
          <w:bCs/>
          <w:color w:val="000000" w:themeColor="text1"/>
          <w:sz w:val="24"/>
          <w:shd w:val="clear" w:color="auto" w:fill="FFFFFF"/>
        </w:rPr>
      </w:pPr>
      <w:r w:rsidRPr="00652ACD">
        <w:rPr>
          <w:color w:val="000000" w:themeColor="text1"/>
          <w:sz w:val="24"/>
        </w:rPr>
        <w:t>Na terenie ZIT WrOF energia elektryczna wytwarzana jest także przez Zespół Elektrociepłowni Wrocławskich KOGENERACJA S.A., należący do PGE Energia Ciepła z Grupy Kapitałowej PGE</w:t>
      </w:r>
      <w:r w:rsidR="00E82203" w:rsidRPr="00652ACD">
        <w:rPr>
          <w:color w:val="000000" w:themeColor="text1"/>
          <w:sz w:val="24"/>
        </w:rPr>
        <w:t>.</w:t>
      </w:r>
      <w:r w:rsidR="003B579C" w:rsidRPr="00652ACD">
        <w:rPr>
          <w:color w:val="000000" w:themeColor="text1"/>
          <w:sz w:val="24"/>
        </w:rPr>
        <w:t xml:space="preserve"> </w:t>
      </w:r>
      <w:r w:rsidR="003F098B" w:rsidRPr="00652ACD">
        <w:rPr>
          <w:color w:val="000000" w:themeColor="text1"/>
          <w:sz w:val="24"/>
        </w:rPr>
        <w:t>Zespół Elektrociepłowni Wrocławskich</w:t>
      </w:r>
      <w:r w:rsidR="00D94C7A" w:rsidRPr="00652ACD">
        <w:rPr>
          <w:color w:val="000000" w:themeColor="text1"/>
          <w:sz w:val="24"/>
        </w:rPr>
        <w:t xml:space="preserve"> </w:t>
      </w:r>
      <w:r w:rsidRPr="00652ACD">
        <w:rPr>
          <w:color w:val="000000" w:themeColor="text1"/>
          <w:sz w:val="24"/>
        </w:rPr>
        <w:t>KOGENERACJAS.A.</w:t>
      </w:r>
      <w:r w:rsidR="00D94C7A" w:rsidRPr="00652ACD">
        <w:rPr>
          <w:color w:val="000000" w:themeColor="text1"/>
          <w:sz w:val="24"/>
        </w:rPr>
        <w:t xml:space="preserve"> </w:t>
      </w:r>
      <w:r w:rsidR="00E82203" w:rsidRPr="00652ACD">
        <w:rPr>
          <w:color w:val="000000" w:themeColor="text1"/>
          <w:sz w:val="24"/>
        </w:rPr>
        <w:t>s</w:t>
      </w:r>
      <w:r w:rsidRPr="00652ACD">
        <w:rPr>
          <w:color w:val="000000" w:themeColor="text1"/>
          <w:sz w:val="24"/>
        </w:rPr>
        <w:t>kłada się z 3 zakładów produkcyjnych o łącznej mocy elektrycznej 418 MW i cieplnej 1 080,15 MW:</w:t>
      </w:r>
    </w:p>
    <w:p w:rsidR="000178B1" w:rsidRPr="00652ACD" w:rsidRDefault="000178B1" w:rsidP="00652ACD">
      <w:pPr>
        <w:pStyle w:val="Akapitzlist"/>
        <w:numPr>
          <w:ilvl w:val="0"/>
          <w:numId w:val="18"/>
        </w:numPr>
        <w:jc w:val="left"/>
        <w:rPr>
          <w:rFonts w:cs="Calibri"/>
          <w:color w:val="000000" w:themeColor="text1"/>
          <w:sz w:val="24"/>
          <w:shd w:val="clear" w:color="auto" w:fill="FFFFFF"/>
        </w:rPr>
      </w:pPr>
      <w:r w:rsidRPr="00652ACD">
        <w:rPr>
          <w:rStyle w:val="Pogrubienie"/>
          <w:rFonts w:cs="Calibri"/>
          <w:b w:val="0"/>
          <w:color w:val="000000" w:themeColor="text1"/>
          <w:sz w:val="24"/>
          <w:shd w:val="clear" w:color="auto" w:fill="FFFFFF"/>
        </w:rPr>
        <w:t>Elektrociepłownia Wrocław</w:t>
      </w:r>
      <w:r w:rsidRPr="00652ACD">
        <w:rPr>
          <w:rFonts w:cs="Calibri"/>
          <w:color w:val="000000" w:themeColor="text1"/>
          <w:sz w:val="24"/>
          <w:shd w:val="clear" w:color="auto" w:fill="FFFFFF"/>
        </w:rPr>
        <w:t> (305 MW mocy elektrycznej + 812 MW mocy cieplnej),</w:t>
      </w:r>
    </w:p>
    <w:p w:rsidR="000178B1" w:rsidRPr="00652ACD" w:rsidRDefault="000178B1" w:rsidP="00652ACD">
      <w:pPr>
        <w:pStyle w:val="Akapitzlist"/>
        <w:numPr>
          <w:ilvl w:val="0"/>
          <w:numId w:val="18"/>
        </w:numPr>
        <w:jc w:val="left"/>
        <w:rPr>
          <w:rFonts w:cs="Calibri"/>
          <w:color w:val="000000" w:themeColor="text1"/>
          <w:sz w:val="24"/>
          <w:shd w:val="clear" w:color="auto" w:fill="FFFFFF"/>
        </w:rPr>
      </w:pPr>
      <w:r w:rsidRPr="00652ACD">
        <w:rPr>
          <w:rStyle w:val="Pogrubienie"/>
          <w:rFonts w:cs="Calibri"/>
          <w:b w:val="0"/>
          <w:color w:val="000000" w:themeColor="text1"/>
          <w:sz w:val="24"/>
          <w:shd w:val="clear" w:color="auto" w:fill="FFFFFF"/>
        </w:rPr>
        <w:t xml:space="preserve">Elektrociepłownia </w:t>
      </w:r>
      <w:proofErr w:type="spellStart"/>
      <w:r w:rsidRPr="00652ACD">
        <w:rPr>
          <w:rStyle w:val="Pogrubienie"/>
          <w:rFonts w:cs="Calibri"/>
          <w:b w:val="0"/>
          <w:color w:val="000000" w:themeColor="text1"/>
          <w:sz w:val="24"/>
          <w:shd w:val="clear" w:color="auto" w:fill="FFFFFF"/>
        </w:rPr>
        <w:t>Czechnica</w:t>
      </w:r>
      <w:proofErr w:type="spellEnd"/>
      <w:r w:rsidRPr="00652ACD">
        <w:rPr>
          <w:rFonts w:cs="Calibri"/>
          <w:color w:val="000000" w:themeColor="text1"/>
          <w:sz w:val="24"/>
          <w:shd w:val="clear" w:color="auto" w:fill="FFFFFF"/>
        </w:rPr>
        <w:t> (110 MW mocy elektrycznej + 247 MW mocy cieplnej),</w:t>
      </w:r>
    </w:p>
    <w:p w:rsidR="000178B1" w:rsidRPr="00652ACD" w:rsidRDefault="000178B1" w:rsidP="00652ACD">
      <w:pPr>
        <w:pStyle w:val="Akapitzlist"/>
        <w:numPr>
          <w:ilvl w:val="0"/>
          <w:numId w:val="18"/>
        </w:numPr>
        <w:jc w:val="left"/>
        <w:rPr>
          <w:rFonts w:cs="Calibri"/>
          <w:color w:val="000000" w:themeColor="text1"/>
          <w:sz w:val="24"/>
        </w:rPr>
      </w:pPr>
      <w:r w:rsidRPr="00652ACD">
        <w:rPr>
          <w:rStyle w:val="Pogrubienie"/>
          <w:rFonts w:cs="Calibri"/>
          <w:b w:val="0"/>
          <w:color w:val="000000" w:themeColor="text1"/>
          <w:sz w:val="24"/>
          <w:shd w:val="clear" w:color="auto" w:fill="FFFFFF"/>
        </w:rPr>
        <w:t xml:space="preserve">Elektrociepłownia </w:t>
      </w:r>
      <w:proofErr w:type="spellStart"/>
      <w:r w:rsidRPr="00652ACD">
        <w:rPr>
          <w:rStyle w:val="Pogrubienie"/>
          <w:rFonts w:cs="Calibri"/>
          <w:b w:val="0"/>
          <w:color w:val="000000" w:themeColor="text1"/>
          <w:sz w:val="24"/>
          <w:shd w:val="clear" w:color="auto" w:fill="FFFFFF"/>
        </w:rPr>
        <w:t>Zawidawie</w:t>
      </w:r>
      <w:proofErr w:type="spellEnd"/>
      <w:r w:rsidRPr="00652ACD">
        <w:rPr>
          <w:rFonts w:cs="Calibri"/>
          <w:color w:val="000000" w:themeColor="text1"/>
          <w:sz w:val="24"/>
          <w:shd w:val="clear" w:color="auto" w:fill="FFFFFF"/>
        </w:rPr>
        <w:t> (3 MW mocy elektrycznej + 21,15 MW mocy cieplnej)</w:t>
      </w:r>
      <w:r w:rsidRPr="00652ACD">
        <w:rPr>
          <w:rStyle w:val="Odwoanieprzypisudolnego"/>
          <w:rFonts w:cs="Calibri"/>
          <w:color w:val="000000" w:themeColor="text1"/>
          <w:sz w:val="24"/>
          <w:shd w:val="clear" w:color="auto" w:fill="FFFFFF"/>
        </w:rPr>
        <w:footnoteReference w:id="63"/>
      </w:r>
      <w:r w:rsidRPr="00652ACD">
        <w:rPr>
          <w:rFonts w:cs="Calibri"/>
          <w:color w:val="000000" w:themeColor="text1"/>
          <w:sz w:val="24"/>
          <w:shd w:val="clear" w:color="auto" w:fill="FFFFFF"/>
        </w:rPr>
        <w:t>.</w:t>
      </w:r>
    </w:p>
    <w:p w:rsidR="00E92C48" w:rsidRPr="00652ACD" w:rsidRDefault="00E92C48" w:rsidP="00652ACD">
      <w:pPr>
        <w:jc w:val="left"/>
        <w:rPr>
          <w:rFonts w:cs="Calibri"/>
          <w:color w:val="000000" w:themeColor="text1"/>
          <w:sz w:val="24"/>
        </w:rPr>
      </w:pPr>
      <w:r w:rsidRPr="00652ACD">
        <w:rPr>
          <w:rFonts w:cs="Calibri"/>
          <w:color w:val="000000" w:themeColor="text1"/>
          <w:sz w:val="24"/>
        </w:rPr>
        <w:t xml:space="preserve">Na terenie Gminy Siechnice realizowana jest przez Zespół Elektrociepłowni Wrocławskich KOGENERACJA SA  inwestycja pn. „Budowa Nowej Elektrociepłowni </w:t>
      </w:r>
      <w:proofErr w:type="spellStart"/>
      <w:r w:rsidRPr="00652ACD">
        <w:rPr>
          <w:rFonts w:cs="Calibri"/>
          <w:color w:val="000000" w:themeColor="text1"/>
          <w:sz w:val="24"/>
        </w:rPr>
        <w:t>Czechnica</w:t>
      </w:r>
      <w:proofErr w:type="spellEnd"/>
      <w:r w:rsidRPr="00652ACD">
        <w:rPr>
          <w:rFonts w:cs="Calibri"/>
          <w:color w:val="000000" w:themeColor="text1"/>
          <w:sz w:val="24"/>
        </w:rPr>
        <w:t>”. Nowoczesna jednostka będzie się składała z bloku gazowo-parowego, kotłowni szczytowo-rezerwowej</w:t>
      </w:r>
      <w:r w:rsidR="00F258FA" w:rsidRPr="00652ACD">
        <w:rPr>
          <w:rFonts w:cs="Calibri"/>
          <w:color w:val="000000" w:themeColor="text1"/>
          <w:sz w:val="24"/>
        </w:rPr>
        <w:t xml:space="preserve"> i </w:t>
      </w:r>
      <w:r w:rsidRPr="00652ACD">
        <w:rPr>
          <w:rFonts w:cs="Calibri"/>
          <w:color w:val="000000" w:themeColor="text1"/>
          <w:sz w:val="24"/>
        </w:rPr>
        <w:t xml:space="preserve">akumulatora ciepła. Nowy blok gazowo-parowy wraz z </w:t>
      </w:r>
      <w:r w:rsidR="001D1207">
        <w:rPr>
          <w:rFonts w:cs="Calibri"/>
          <w:color w:val="000000" w:themeColor="text1"/>
          <w:sz w:val="24"/>
        </w:rPr>
        <w:t>kotłownią szczytowo-rezerwową o </w:t>
      </w:r>
      <w:r w:rsidRPr="00652ACD">
        <w:rPr>
          <w:rFonts w:cs="Calibri"/>
          <w:color w:val="000000" w:themeColor="text1"/>
          <w:sz w:val="24"/>
        </w:rPr>
        <w:t xml:space="preserve">mocy cieplnej ok. 315 </w:t>
      </w:r>
      <w:proofErr w:type="spellStart"/>
      <w:r w:rsidRPr="00652ACD">
        <w:rPr>
          <w:rFonts w:cs="Calibri"/>
          <w:color w:val="000000" w:themeColor="text1"/>
          <w:sz w:val="24"/>
        </w:rPr>
        <w:t>MW</w:t>
      </w:r>
      <w:r w:rsidRPr="00652ACD">
        <w:rPr>
          <w:rFonts w:cs="Calibri"/>
          <w:color w:val="000000" w:themeColor="text1"/>
          <w:sz w:val="24"/>
          <w:vertAlign w:val="subscript"/>
        </w:rPr>
        <w:t>t</w:t>
      </w:r>
      <w:proofErr w:type="spellEnd"/>
      <w:r w:rsidRPr="00652ACD">
        <w:rPr>
          <w:rFonts w:cs="Calibri"/>
          <w:color w:val="000000" w:themeColor="text1"/>
          <w:sz w:val="24"/>
        </w:rPr>
        <w:t xml:space="preserve"> i mocy elektrycznej ok. 180 </w:t>
      </w:r>
      <w:proofErr w:type="spellStart"/>
      <w:r w:rsidRPr="00652ACD">
        <w:rPr>
          <w:rFonts w:cs="Calibri"/>
          <w:color w:val="000000" w:themeColor="text1"/>
          <w:sz w:val="24"/>
        </w:rPr>
        <w:t>MW</w:t>
      </w:r>
      <w:r w:rsidRPr="00652ACD">
        <w:rPr>
          <w:rFonts w:cs="Calibri"/>
          <w:color w:val="000000" w:themeColor="text1"/>
          <w:sz w:val="24"/>
          <w:vertAlign w:val="subscript"/>
        </w:rPr>
        <w:t>e</w:t>
      </w:r>
      <w:proofErr w:type="spellEnd"/>
      <w:r w:rsidRPr="00652ACD">
        <w:rPr>
          <w:rFonts w:cs="Calibri"/>
          <w:color w:val="000000" w:themeColor="text1"/>
          <w:sz w:val="24"/>
        </w:rPr>
        <w:t xml:space="preserve"> będzie źródłem ciepła dla mieszkańców Siechnic i południowej części Wrocławia. Dzięki zastosowaniu nowoczesnej technologii i niskoemisyjnego paliwa jakim jest gaz, cały proces produkcyjny będzie przebiegał w sposób efektywny i przyjazny dla środowiska. Źródłem zasilania będzie gaz ziemny, który jest paliwem zdecydowanie mniej emisyjnym niż używany obecnie węgiel. Dzięki temu szacuje się, że roczna emisja CO</w:t>
      </w:r>
      <w:r w:rsidRPr="00652ACD">
        <w:rPr>
          <w:rFonts w:cs="Calibri"/>
          <w:color w:val="000000" w:themeColor="text1"/>
          <w:sz w:val="24"/>
          <w:vertAlign w:val="subscript"/>
        </w:rPr>
        <w:t>2</w:t>
      </w:r>
      <w:r w:rsidRPr="00652ACD">
        <w:rPr>
          <w:rFonts w:cs="Calibri"/>
          <w:color w:val="000000" w:themeColor="text1"/>
          <w:sz w:val="24"/>
        </w:rPr>
        <w:t xml:space="preserve"> spadnie aż o 622 tysiące ton, a roczne oszczędności energii pierwotnej będą na poziomie 599 tysięcy </w:t>
      </w:r>
      <w:proofErr w:type="spellStart"/>
      <w:r w:rsidRPr="00652ACD">
        <w:rPr>
          <w:rFonts w:cs="Calibri"/>
          <w:color w:val="000000" w:themeColor="text1"/>
          <w:sz w:val="24"/>
        </w:rPr>
        <w:t>MWh</w:t>
      </w:r>
      <w:proofErr w:type="spellEnd"/>
      <w:r w:rsidRPr="00652ACD">
        <w:rPr>
          <w:rFonts w:cs="Calibri"/>
          <w:color w:val="000000" w:themeColor="text1"/>
          <w:sz w:val="24"/>
        </w:rPr>
        <w:t>. Zakończenie inwestycji zaplanowano w 2024 r.</w:t>
      </w:r>
    </w:p>
    <w:p w:rsidR="000178B1" w:rsidRPr="00652ACD" w:rsidRDefault="000178B1" w:rsidP="00652ACD">
      <w:pPr>
        <w:jc w:val="left"/>
        <w:rPr>
          <w:rFonts w:cs="CIDFont+F9"/>
          <w:color w:val="000000" w:themeColor="text1"/>
          <w:sz w:val="24"/>
        </w:rPr>
      </w:pPr>
      <w:r w:rsidRPr="00652ACD">
        <w:rPr>
          <w:rFonts w:cs="Calibri"/>
          <w:color w:val="000000" w:themeColor="text1"/>
          <w:sz w:val="24"/>
        </w:rPr>
        <w:t xml:space="preserve">Do wytwórców energii elektrycznej na terenie Wrocławia należy także przedsiębiorstwo TAURON </w:t>
      </w:r>
      <w:proofErr w:type="spellStart"/>
      <w:r w:rsidRPr="00652ACD">
        <w:rPr>
          <w:rFonts w:cs="Calibri"/>
          <w:color w:val="000000" w:themeColor="text1"/>
          <w:sz w:val="24"/>
        </w:rPr>
        <w:t>Ekoenergia</w:t>
      </w:r>
      <w:proofErr w:type="spellEnd"/>
      <w:r w:rsidRPr="00652ACD">
        <w:rPr>
          <w:rFonts w:cs="Calibri"/>
          <w:color w:val="000000" w:themeColor="text1"/>
          <w:sz w:val="24"/>
        </w:rPr>
        <w:t xml:space="preserve"> Sp. z o.o., </w:t>
      </w:r>
      <w:r w:rsidRPr="00652ACD">
        <w:rPr>
          <w:rFonts w:cs="CIDFont+F9"/>
          <w:color w:val="000000" w:themeColor="text1"/>
          <w:sz w:val="24"/>
        </w:rPr>
        <w:t>BD Sp. z o.o. (produkująca energię elektryczną i cieplną w kogeneracji) oraz Miejskie Przedsiębiorstwo Wodociągów i Kanalizacji S.A. we Wrocławiu (produkujące energię elektryczną w elektrowni biogazowej)</w:t>
      </w:r>
      <w:r w:rsidRPr="00652ACD">
        <w:rPr>
          <w:rStyle w:val="Odwoanieprzypisudolnego"/>
          <w:rFonts w:cs="CIDFont+F9"/>
          <w:color w:val="000000" w:themeColor="text1"/>
          <w:sz w:val="24"/>
        </w:rPr>
        <w:footnoteReference w:id="64"/>
      </w:r>
      <w:r w:rsidRPr="00652ACD">
        <w:rPr>
          <w:rFonts w:cs="CIDFont+F9"/>
          <w:color w:val="000000" w:themeColor="text1"/>
          <w:sz w:val="24"/>
        </w:rPr>
        <w:t>.</w:t>
      </w:r>
    </w:p>
    <w:p w:rsidR="000178B1" w:rsidRPr="00652ACD" w:rsidRDefault="000178B1" w:rsidP="00652ACD">
      <w:pPr>
        <w:jc w:val="left"/>
        <w:rPr>
          <w:rFonts w:cs="CIDFont+F9"/>
          <w:color w:val="000000" w:themeColor="text1"/>
          <w:sz w:val="24"/>
        </w:rPr>
      </w:pPr>
      <w:r w:rsidRPr="00652ACD">
        <w:rPr>
          <w:rFonts w:cs="Calibri"/>
          <w:color w:val="000000" w:themeColor="text1"/>
          <w:sz w:val="24"/>
        </w:rPr>
        <w:t>W latach 2017-2021 zużycie energii elektrycznej na teren</w:t>
      </w:r>
      <w:r w:rsidR="001D1207">
        <w:rPr>
          <w:rFonts w:cs="Calibri"/>
          <w:color w:val="000000" w:themeColor="text1"/>
          <w:sz w:val="24"/>
        </w:rPr>
        <w:t>ie WrOF systematycznie rosło. W </w:t>
      </w:r>
      <w:r w:rsidRPr="00652ACD">
        <w:rPr>
          <w:rFonts w:cs="Calibri"/>
          <w:color w:val="000000" w:themeColor="text1"/>
          <w:sz w:val="24"/>
        </w:rPr>
        <w:t xml:space="preserve">2021 roku wynosiło około 4 700 – 27 300 </w:t>
      </w:r>
      <w:proofErr w:type="spellStart"/>
      <w:r w:rsidRPr="00652ACD">
        <w:rPr>
          <w:rFonts w:cs="Calibri"/>
          <w:color w:val="000000" w:themeColor="text1"/>
          <w:sz w:val="24"/>
        </w:rPr>
        <w:t>MWh</w:t>
      </w:r>
      <w:proofErr w:type="spellEnd"/>
      <w:r w:rsidRPr="00652ACD">
        <w:rPr>
          <w:rFonts w:cs="Calibri"/>
          <w:color w:val="000000" w:themeColor="text1"/>
          <w:sz w:val="24"/>
        </w:rPr>
        <w:t xml:space="preserve"> – z wyłączeniem Wrocławia, gdzie zużycie to </w:t>
      </w:r>
      <w:r w:rsidR="00D94C7A" w:rsidRPr="00652ACD">
        <w:rPr>
          <w:rFonts w:cs="Calibri"/>
          <w:color w:val="000000" w:themeColor="text1"/>
          <w:sz w:val="24"/>
        </w:rPr>
        <w:t>kształtowało się na poziomie</w:t>
      </w:r>
      <w:r w:rsidRPr="00652ACD">
        <w:rPr>
          <w:rFonts w:cs="Calibri"/>
          <w:color w:val="000000" w:themeColor="text1"/>
          <w:sz w:val="24"/>
        </w:rPr>
        <w:t xml:space="preserve"> 635,5 tys. </w:t>
      </w:r>
      <w:proofErr w:type="spellStart"/>
      <w:r w:rsidRPr="00652ACD">
        <w:rPr>
          <w:rFonts w:cs="Calibri"/>
          <w:color w:val="000000" w:themeColor="text1"/>
          <w:sz w:val="24"/>
        </w:rPr>
        <w:t>MWh</w:t>
      </w:r>
      <w:proofErr w:type="spellEnd"/>
      <w:r w:rsidRPr="00652ACD">
        <w:rPr>
          <w:rFonts w:cs="Calibri"/>
          <w:color w:val="000000" w:themeColor="text1"/>
          <w:sz w:val="24"/>
        </w:rPr>
        <w:t xml:space="preserve">. W 2017 roku zużycie energii elektrycznej mieściło się w granicach 3 900 – 25 800 </w:t>
      </w:r>
      <w:proofErr w:type="spellStart"/>
      <w:r w:rsidRPr="00652ACD">
        <w:rPr>
          <w:rFonts w:cs="Calibri"/>
          <w:color w:val="000000" w:themeColor="text1"/>
          <w:sz w:val="24"/>
        </w:rPr>
        <w:t>MWh</w:t>
      </w:r>
      <w:proofErr w:type="spellEnd"/>
      <w:r w:rsidRPr="00652ACD">
        <w:rPr>
          <w:rFonts w:cs="Calibri"/>
          <w:color w:val="000000" w:themeColor="text1"/>
          <w:sz w:val="24"/>
        </w:rPr>
        <w:t xml:space="preserve"> – z wyłączeniem Wrocławia, gdzie wyniosło 576,0 tys. </w:t>
      </w:r>
      <w:proofErr w:type="spellStart"/>
      <w:r w:rsidRPr="00652ACD">
        <w:rPr>
          <w:rFonts w:cs="Calibri"/>
          <w:color w:val="000000" w:themeColor="text1"/>
          <w:sz w:val="24"/>
        </w:rPr>
        <w:t>MWh</w:t>
      </w:r>
      <w:proofErr w:type="spellEnd"/>
      <w:r w:rsidRPr="00652ACD">
        <w:rPr>
          <w:rFonts w:cs="Calibri"/>
          <w:color w:val="000000" w:themeColor="text1"/>
          <w:sz w:val="24"/>
        </w:rPr>
        <w:t>. W analizowanym okresie zużycie energii elektrycznej na 1 mieszkańca WrOF również wykazuje tendencję rosnącą. W 2021 roku mieściło się w granicach 521,6 – 1006,3 kWh, a w 2017 roku było to 537,4 – 902,4 kWh. Na terenie województwa dolnośląskiego zużycie ogółem energii elektrycznej w 2021 roku na 1 m</w:t>
      </w:r>
      <w:r w:rsidR="001D1207">
        <w:rPr>
          <w:rFonts w:cs="Calibri"/>
          <w:color w:val="000000" w:themeColor="text1"/>
          <w:sz w:val="24"/>
        </w:rPr>
        <w:t>ieszkańca wynosiło 891,1 kWh. W </w:t>
      </w:r>
      <w:r w:rsidRPr="00652ACD">
        <w:rPr>
          <w:rFonts w:cs="Calibri"/>
          <w:color w:val="000000" w:themeColor="text1"/>
          <w:sz w:val="24"/>
        </w:rPr>
        <w:t>Polsce w 2021 roku kształtowało się na poziomie 833,0 kWh.</w:t>
      </w:r>
      <w:r w:rsidRPr="00652ACD">
        <w:rPr>
          <w:rStyle w:val="Odwoanieprzypisudolnego"/>
          <w:rFonts w:cs="Calibri"/>
          <w:color w:val="000000" w:themeColor="text1"/>
          <w:sz w:val="24"/>
        </w:rPr>
        <w:footnoteReference w:id="65"/>
      </w:r>
    </w:p>
    <w:p w:rsidR="000178B1" w:rsidRPr="00652ACD" w:rsidRDefault="000178B1" w:rsidP="00652ACD">
      <w:pPr>
        <w:spacing w:after="0"/>
        <w:jc w:val="left"/>
        <w:rPr>
          <w:rFonts w:cs="CIDFont+F9"/>
          <w:color w:val="000000" w:themeColor="text1"/>
          <w:sz w:val="24"/>
        </w:rPr>
      </w:pPr>
      <w:r w:rsidRPr="00652ACD">
        <w:rPr>
          <w:rFonts w:cs="CIDFont+F9"/>
          <w:color w:val="000000" w:themeColor="text1"/>
          <w:sz w:val="24"/>
        </w:rPr>
        <w:t xml:space="preserve">W kontekście infrastruktury energetycznej, konieczne jest podjęcie prac </w:t>
      </w:r>
      <w:r w:rsidR="00896807" w:rsidRPr="00652ACD">
        <w:rPr>
          <w:rFonts w:cs="CIDFont+F9"/>
          <w:color w:val="000000" w:themeColor="text1"/>
          <w:sz w:val="24"/>
        </w:rPr>
        <w:t>inwestycyjnych i </w:t>
      </w:r>
      <w:r w:rsidRPr="00652ACD">
        <w:rPr>
          <w:rFonts w:cs="CIDFont+F9"/>
          <w:color w:val="000000" w:themeColor="text1"/>
          <w:sz w:val="24"/>
        </w:rPr>
        <w:t xml:space="preserve">modernizacyjnych w celu zapewnienia bezpiecznych i stabilnych dostaw energii oraz </w:t>
      </w:r>
      <w:r w:rsidR="00E82203" w:rsidRPr="00652ACD">
        <w:rPr>
          <w:rFonts w:cs="CIDFont+F9"/>
          <w:color w:val="000000" w:themeColor="text1"/>
          <w:sz w:val="24"/>
        </w:rPr>
        <w:t xml:space="preserve">dalsze wspieranie </w:t>
      </w:r>
      <w:r w:rsidRPr="00652ACD">
        <w:rPr>
          <w:rFonts w:cs="CIDFont+F9"/>
          <w:color w:val="000000" w:themeColor="text1"/>
          <w:sz w:val="24"/>
        </w:rPr>
        <w:t>WrOF</w:t>
      </w:r>
      <w:r w:rsidR="00D94C7A" w:rsidRPr="00652ACD">
        <w:rPr>
          <w:rFonts w:cs="CIDFont+F9"/>
          <w:color w:val="000000" w:themeColor="text1"/>
          <w:sz w:val="24"/>
        </w:rPr>
        <w:t xml:space="preserve"> </w:t>
      </w:r>
      <w:r w:rsidR="00E82203" w:rsidRPr="00652ACD">
        <w:rPr>
          <w:rFonts w:cs="CIDFont+F9"/>
          <w:color w:val="000000" w:themeColor="text1"/>
          <w:sz w:val="24"/>
        </w:rPr>
        <w:t xml:space="preserve">na drodze </w:t>
      </w:r>
      <w:r w:rsidRPr="00652ACD">
        <w:rPr>
          <w:rFonts w:cs="CIDFont+F9"/>
          <w:color w:val="000000" w:themeColor="text1"/>
          <w:sz w:val="24"/>
        </w:rPr>
        <w:t xml:space="preserve">do  transformacji </w:t>
      </w:r>
      <w:r w:rsidR="00E82203" w:rsidRPr="00652ACD">
        <w:rPr>
          <w:rFonts w:cs="CIDFont+F9"/>
          <w:color w:val="000000" w:themeColor="text1"/>
          <w:sz w:val="24"/>
        </w:rPr>
        <w:t xml:space="preserve">energetycznej w kierunku czystej energii. </w:t>
      </w:r>
      <w:r w:rsidR="0091181E" w:rsidRPr="00652ACD">
        <w:rPr>
          <w:rFonts w:cs="CIDFont+F9"/>
          <w:color w:val="000000" w:themeColor="text1"/>
          <w:sz w:val="24"/>
        </w:rPr>
        <w:t>Należy wspierać wszelkie działania związane z rozwojem OZE wraz z magazynami energii.</w:t>
      </w:r>
    </w:p>
    <w:p w:rsidR="000178B1" w:rsidRPr="00652ACD" w:rsidRDefault="000178B1" w:rsidP="00652ACD">
      <w:pPr>
        <w:spacing w:before="240" w:after="0"/>
        <w:jc w:val="left"/>
        <w:rPr>
          <w:rFonts w:cs="Calibri"/>
          <w:b/>
          <w:color w:val="000000" w:themeColor="text1"/>
          <w:sz w:val="24"/>
        </w:rPr>
      </w:pPr>
      <w:r w:rsidRPr="00652ACD">
        <w:rPr>
          <w:rFonts w:cs="Calibri"/>
          <w:b/>
          <w:color w:val="000000" w:themeColor="text1"/>
          <w:sz w:val="24"/>
        </w:rPr>
        <w:t>Energia cieplna</w:t>
      </w:r>
    </w:p>
    <w:p w:rsidR="000178B1" w:rsidRPr="00652ACD" w:rsidRDefault="00E82203" w:rsidP="00652ACD">
      <w:pPr>
        <w:spacing w:after="120"/>
        <w:jc w:val="left"/>
        <w:rPr>
          <w:color w:val="000000" w:themeColor="text1"/>
          <w:sz w:val="24"/>
        </w:rPr>
      </w:pPr>
      <w:r w:rsidRPr="00652ACD">
        <w:rPr>
          <w:color w:val="000000" w:themeColor="text1"/>
          <w:sz w:val="24"/>
        </w:rPr>
        <w:t>Energia cieplna wykorzystywana jest do wytwarzania ciepłej wody użytkowej, oraz celów grzewczych. Do budynków dostarczan</w:t>
      </w:r>
      <w:r w:rsidR="00B16DF1" w:rsidRPr="00652ACD">
        <w:rPr>
          <w:color w:val="000000" w:themeColor="text1"/>
          <w:sz w:val="24"/>
        </w:rPr>
        <w:t>a</w:t>
      </w:r>
      <w:r w:rsidRPr="00652ACD">
        <w:rPr>
          <w:color w:val="000000" w:themeColor="text1"/>
          <w:sz w:val="24"/>
        </w:rPr>
        <w:t xml:space="preserve"> jest za pomocą scentralizowanego systemu ciepłowniczego lub wytwarzan</w:t>
      </w:r>
      <w:r w:rsidR="00B16DF1" w:rsidRPr="00652ACD">
        <w:rPr>
          <w:color w:val="000000" w:themeColor="text1"/>
          <w:sz w:val="24"/>
        </w:rPr>
        <w:t>a</w:t>
      </w:r>
      <w:r w:rsidRPr="00652ACD">
        <w:rPr>
          <w:color w:val="000000" w:themeColor="text1"/>
          <w:sz w:val="24"/>
        </w:rPr>
        <w:t xml:space="preserve"> w indywidualnych źródłach ciepła. </w:t>
      </w:r>
      <w:r w:rsidR="000178B1" w:rsidRPr="00652ACD">
        <w:rPr>
          <w:color w:val="000000" w:themeColor="text1"/>
          <w:sz w:val="24"/>
        </w:rPr>
        <w:t xml:space="preserve">Scentralizowane systemy ciepłownicze na obszarze WrOF funkcjonują </w:t>
      </w:r>
      <w:r w:rsidRPr="00652ACD">
        <w:rPr>
          <w:color w:val="000000" w:themeColor="text1"/>
          <w:sz w:val="24"/>
        </w:rPr>
        <w:t xml:space="preserve">tylko </w:t>
      </w:r>
      <w:r w:rsidR="000178B1" w:rsidRPr="00652ACD">
        <w:rPr>
          <w:color w:val="000000" w:themeColor="text1"/>
          <w:sz w:val="24"/>
        </w:rPr>
        <w:t>we Wrocławiu, Oleśnicy (miasto), Oławie (miasto) oraz Jelczu-Laskowicach. Źródłami zasilania miejskiego systemu ciepłowniczego Wrocławia, zaopatrującego w ciepło obiekty na terenie znacznej części miasta są:</w:t>
      </w:r>
      <w:r w:rsidR="00D94C7A" w:rsidRPr="00652ACD">
        <w:rPr>
          <w:color w:val="000000" w:themeColor="text1"/>
          <w:sz w:val="24"/>
        </w:rPr>
        <w:t xml:space="preserve"> </w:t>
      </w:r>
      <w:r w:rsidR="000178B1" w:rsidRPr="00652ACD">
        <w:rPr>
          <w:color w:val="000000" w:themeColor="text1"/>
          <w:sz w:val="24"/>
        </w:rPr>
        <w:t xml:space="preserve">EC Wrocław, EC </w:t>
      </w:r>
      <w:proofErr w:type="spellStart"/>
      <w:r w:rsidR="000178B1" w:rsidRPr="00652ACD">
        <w:rPr>
          <w:color w:val="000000" w:themeColor="text1"/>
          <w:sz w:val="24"/>
        </w:rPr>
        <w:t>Czechnica</w:t>
      </w:r>
      <w:proofErr w:type="spellEnd"/>
      <w:r w:rsidR="000178B1" w:rsidRPr="00652ACD">
        <w:rPr>
          <w:color w:val="000000" w:themeColor="text1"/>
          <w:sz w:val="24"/>
        </w:rPr>
        <w:t xml:space="preserve"> i EC </w:t>
      </w:r>
      <w:proofErr w:type="spellStart"/>
      <w:r w:rsidR="000178B1" w:rsidRPr="00652ACD">
        <w:rPr>
          <w:color w:val="000000" w:themeColor="text1"/>
          <w:sz w:val="24"/>
        </w:rPr>
        <w:t>Zawidawie</w:t>
      </w:r>
      <w:proofErr w:type="spellEnd"/>
      <w:r w:rsidR="000178B1" w:rsidRPr="00652ACD">
        <w:rPr>
          <w:color w:val="000000" w:themeColor="text1"/>
          <w:sz w:val="24"/>
        </w:rPr>
        <w:t xml:space="preserve">. Ciepło z EC </w:t>
      </w:r>
      <w:proofErr w:type="spellStart"/>
      <w:r w:rsidR="000178B1" w:rsidRPr="00652ACD">
        <w:rPr>
          <w:color w:val="000000" w:themeColor="text1"/>
          <w:sz w:val="24"/>
        </w:rPr>
        <w:t>Czechnica</w:t>
      </w:r>
      <w:proofErr w:type="spellEnd"/>
      <w:r w:rsidR="000178B1" w:rsidRPr="00652ACD">
        <w:rPr>
          <w:color w:val="000000" w:themeColor="text1"/>
          <w:sz w:val="24"/>
        </w:rPr>
        <w:t xml:space="preserve"> dostarczane jest również do odbiorców na terenie gminy Siechnice</w:t>
      </w:r>
      <w:r w:rsidR="000178B1" w:rsidRPr="00652ACD">
        <w:rPr>
          <w:rStyle w:val="Odwoanieprzypisudolnego"/>
          <w:color w:val="000000" w:themeColor="text1"/>
          <w:sz w:val="24"/>
        </w:rPr>
        <w:footnoteReference w:id="66"/>
      </w:r>
      <w:r w:rsidR="000178B1" w:rsidRPr="00652ACD">
        <w:rPr>
          <w:color w:val="000000" w:themeColor="text1"/>
          <w:sz w:val="24"/>
        </w:rPr>
        <w:t xml:space="preserve">. </w:t>
      </w:r>
      <w:r w:rsidRPr="00652ACD">
        <w:rPr>
          <w:color w:val="000000" w:themeColor="text1"/>
          <w:sz w:val="24"/>
        </w:rPr>
        <w:t>W pozost</w:t>
      </w:r>
      <w:r w:rsidR="00896807" w:rsidRPr="00652ACD">
        <w:rPr>
          <w:color w:val="000000" w:themeColor="text1"/>
          <w:sz w:val="24"/>
        </w:rPr>
        <w:t>ałych gminach ciepło pochodzi z </w:t>
      </w:r>
      <w:r w:rsidRPr="00652ACD">
        <w:rPr>
          <w:color w:val="000000" w:themeColor="text1"/>
          <w:sz w:val="24"/>
        </w:rPr>
        <w:t xml:space="preserve">indywidualnych źródeł ciepła opalanych głównie węglem i gazem. </w:t>
      </w:r>
      <w:r w:rsidR="000178B1" w:rsidRPr="00652ACD">
        <w:rPr>
          <w:color w:val="000000" w:themeColor="text1"/>
          <w:sz w:val="24"/>
        </w:rPr>
        <w:t xml:space="preserve">Dominującym paliwem zużywanym do produkcji ciepła </w:t>
      </w:r>
      <w:r w:rsidRPr="00652ACD">
        <w:rPr>
          <w:color w:val="000000" w:themeColor="text1"/>
          <w:sz w:val="24"/>
        </w:rPr>
        <w:t xml:space="preserve">zarówno </w:t>
      </w:r>
      <w:r w:rsidR="000178B1" w:rsidRPr="00652ACD">
        <w:rPr>
          <w:color w:val="000000" w:themeColor="text1"/>
          <w:sz w:val="24"/>
        </w:rPr>
        <w:t>w województwie dolnośląskim</w:t>
      </w:r>
      <w:r w:rsidR="00D94C7A" w:rsidRPr="00652ACD">
        <w:rPr>
          <w:color w:val="000000" w:themeColor="text1"/>
          <w:sz w:val="24"/>
        </w:rPr>
        <w:t>,</w:t>
      </w:r>
      <w:r w:rsidRPr="00652ACD">
        <w:rPr>
          <w:color w:val="000000" w:themeColor="text1"/>
          <w:sz w:val="24"/>
        </w:rPr>
        <w:t xml:space="preserve"> jak i WrOF</w:t>
      </w:r>
      <w:r w:rsidR="000178B1" w:rsidRPr="00652ACD">
        <w:rPr>
          <w:color w:val="000000" w:themeColor="text1"/>
          <w:sz w:val="24"/>
        </w:rPr>
        <w:t xml:space="preserve"> jest węgiel kamienny</w:t>
      </w:r>
      <w:r w:rsidRPr="00652ACD">
        <w:rPr>
          <w:color w:val="000000" w:themeColor="text1"/>
          <w:sz w:val="24"/>
        </w:rPr>
        <w:t>, który w</w:t>
      </w:r>
      <w:r w:rsidR="00A02854" w:rsidRPr="00652ACD">
        <w:rPr>
          <w:color w:val="000000" w:themeColor="text1"/>
          <w:sz w:val="24"/>
        </w:rPr>
        <w:t> </w:t>
      </w:r>
      <w:r w:rsidRPr="00652ACD">
        <w:rPr>
          <w:color w:val="000000" w:themeColor="text1"/>
          <w:sz w:val="24"/>
        </w:rPr>
        <w:t>procesie spalania emituje związki szkodliwe dla zdrowia</w:t>
      </w:r>
      <w:r w:rsidR="003F098B" w:rsidRPr="00652ACD">
        <w:rPr>
          <w:color w:val="000000" w:themeColor="text1"/>
          <w:sz w:val="24"/>
        </w:rPr>
        <w:t xml:space="preserve">. </w:t>
      </w:r>
      <w:r w:rsidR="000178B1" w:rsidRPr="00652ACD">
        <w:rPr>
          <w:color w:val="000000" w:themeColor="text1"/>
          <w:sz w:val="24"/>
        </w:rPr>
        <w:t>Według Raportu URE</w:t>
      </w:r>
      <w:r w:rsidR="000178B1" w:rsidRPr="00652ACD">
        <w:rPr>
          <w:rStyle w:val="Odwoanieprzypisudolnego"/>
          <w:color w:val="000000" w:themeColor="text1"/>
          <w:sz w:val="24"/>
        </w:rPr>
        <w:footnoteReference w:id="67"/>
      </w:r>
      <w:r w:rsidR="000178B1" w:rsidRPr="00652ACD">
        <w:rPr>
          <w:color w:val="000000" w:themeColor="text1"/>
          <w:sz w:val="24"/>
        </w:rPr>
        <w:t xml:space="preserve">, w 2020 roku ogółem wyprodukowano 23 238,3 TJ ciepła, w tym 17 006,0 TJ w kogeneracji. </w:t>
      </w:r>
      <w:r w:rsidRPr="00652ACD">
        <w:rPr>
          <w:color w:val="000000" w:themeColor="text1"/>
          <w:sz w:val="24"/>
        </w:rPr>
        <w:t>W związku z powyższym należy zintensyfikować działania mające na celu zmniejszenie zapotrzebowania budynków na energię cieplną oraz zmniejszenie emisji gazów cieplarnianych powstających w procesie produkcji energii cieplnej.</w:t>
      </w:r>
      <w:r w:rsidR="00896807" w:rsidRPr="00652ACD">
        <w:rPr>
          <w:color w:val="000000" w:themeColor="text1"/>
          <w:sz w:val="24"/>
        </w:rPr>
        <w:t xml:space="preserve"> W </w:t>
      </w:r>
      <w:r w:rsidR="0091181E" w:rsidRPr="00652ACD">
        <w:rPr>
          <w:color w:val="000000" w:themeColor="text1"/>
          <w:sz w:val="24"/>
        </w:rPr>
        <w:t>tym celu należy prowadzić również wszelkie działania edukacyjne mające na celu zwiększenie świadomości społeczeństwa związaną ze skutkami zanieczyszczenia powietrza emisjami z</w:t>
      </w:r>
      <w:r w:rsidR="00223971" w:rsidRPr="00652ACD">
        <w:rPr>
          <w:color w:val="000000" w:themeColor="text1"/>
          <w:sz w:val="24"/>
        </w:rPr>
        <w:t> </w:t>
      </w:r>
      <w:r w:rsidR="0091181E" w:rsidRPr="00652ACD">
        <w:rPr>
          <w:color w:val="000000" w:themeColor="text1"/>
          <w:sz w:val="24"/>
        </w:rPr>
        <w:t>sektora ciepłowniczego włącznie z budową budynków demonstracyjnych o niskim bądź zerowym zapotrzebowaniu na energię.</w:t>
      </w:r>
    </w:p>
    <w:p w:rsidR="000178B1" w:rsidRPr="00652ACD" w:rsidRDefault="000178B1" w:rsidP="00652ACD">
      <w:pPr>
        <w:spacing w:before="240" w:after="0"/>
        <w:jc w:val="left"/>
        <w:rPr>
          <w:rFonts w:cs="Calibri"/>
          <w:b/>
          <w:color w:val="000000" w:themeColor="text1"/>
          <w:sz w:val="24"/>
        </w:rPr>
      </w:pPr>
      <w:r w:rsidRPr="00652ACD">
        <w:rPr>
          <w:rFonts w:cs="Calibri"/>
          <w:b/>
          <w:color w:val="000000" w:themeColor="text1"/>
          <w:sz w:val="24"/>
        </w:rPr>
        <w:t>Odnawialne źródła energii (OZE)</w:t>
      </w:r>
    </w:p>
    <w:p w:rsidR="000178B1" w:rsidRPr="00652ACD" w:rsidRDefault="000178B1" w:rsidP="00652ACD">
      <w:pPr>
        <w:tabs>
          <w:tab w:val="left" w:pos="2408"/>
        </w:tabs>
        <w:jc w:val="left"/>
        <w:rPr>
          <w:color w:val="000000" w:themeColor="text1"/>
          <w:sz w:val="24"/>
        </w:rPr>
      </w:pPr>
      <w:r w:rsidRPr="00652ACD">
        <w:rPr>
          <w:color w:val="000000" w:themeColor="text1"/>
          <w:sz w:val="24"/>
        </w:rPr>
        <w:t>Wraz z rosnącym zapotrzebowaniem na energię, wzrasta zainteresowanie pozyskiwaniem energii ze źródeł odnawialnych, których stosowanie zapewnia zwiększenie bezpieczeństwa dostaw energii</w:t>
      </w:r>
      <w:r w:rsidRPr="00652ACD">
        <w:rPr>
          <w:rStyle w:val="Odwoanieprzypisudolnego"/>
          <w:color w:val="000000" w:themeColor="text1"/>
          <w:sz w:val="24"/>
        </w:rPr>
        <w:footnoteReference w:id="68"/>
      </w:r>
      <w:r w:rsidRPr="00652ACD">
        <w:rPr>
          <w:color w:val="000000" w:themeColor="text1"/>
          <w:sz w:val="24"/>
        </w:rPr>
        <w:t xml:space="preserve"> dzięki utrzymaniu dywersyfikacji źródeł. Bezpieczeństwo to jest obecnie zagrożone przez wizję wyczerpania się zasobów konwencjonalnych oraz odcięcie od nich wynikające m.in. z konfliktów politycznych. Jedną z głównych korzyści wykorzystania OZE jest brak spalania paliw kopalnych, </w:t>
      </w:r>
      <w:r w:rsidRPr="00652ACD">
        <w:rPr>
          <w:color w:val="000000" w:themeColor="text1"/>
          <w:sz w:val="24"/>
        </w:rPr>
        <w:br/>
        <w:t>co oznacza ograniczenie emisji gazów cieplarnianych do atmosfery i czystsze powietrze. Zgodnie z zapisami Traktatu o funkcjonowaniu Unii Europejskiej (art. 194 ust. 1) wspieranie odnawialnych form energii jest jednym z celów unijnej polityki energetycznej. Zwiększone stosowanie energii ze źródeł odnawialnych stanowi istotny element pakietu środków koniecznych do redukcji emisji gazów cieplarnianych i wypełnienia zobowiązań wskazanych w „Porozumieniach paryskich” (2015 r.), a także realizacji unijnych ram polityki klimatyczno-energetycznej do roku 2030.</w:t>
      </w:r>
    </w:p>
    <w:p w:rsidR="000178B1" w:rsidRPr="00652ACD" w:rsidRDefault="000178B1" w:rsidP="00652ACD">
      <w:pPr>
        <w:tabs>
          <w:tab w:val="left" w:pos="2408"/>
        </w:tabs>
        <w:spacing w:after="0"/>
        <w:jc w:val="left"/>
        <w:rPr>
          <w:color w:val="000000" w:themeColor="text1"/>
          <w:sz w:val="24"/>
        </w:rPr>
      </w:pPr>
      <w:r w:rsidRPr="00652ACD">
        <w:rPr>
          <w:color w:val="000000" w:themeColor="text1"/>
          <w:sz w:val="24"/>
        </w:rPr>
        <w:t>Według danych BDL GUS w 2020 roku na terenie województwa dolnośląskiego wyprodukowano ogółem 8 706,2GWh energii elektrycznej, w tym 885,1GWh</w:t>
      </w:r>
      <w:r w:rsidR="00AB01FC" w:rsidRPr="00652ACD">
        <w:rPr>
          <w:color w:val="000000" w:themeColor="text1"/>
          <w:sz w:val="24"/>
        </w:rPr>
        <w:t xml:space="preserve"> </w:t>
      </w:r>
      <w:r w:rsidRPr="00652ACD">
        <w:rPr>
          <w:color w:val="000000" w:themeColor="text1"/>
          <w:sz w:val="24"/>
        </w:rPr>
        <w:t xml:space="preserve">(czyli 10,2%) z odnawialnych </w:t>
      </w:r>
      <w:r w:rsidR="00E82203" w:rsidRPr="00652ACD">
        <w:rPr>
          <w:color w:val="000000" w:themeColor="text1"/>
          <w:sz w:val="24"/>
        </w:rPr>
        <w:t>źródeł</w:t>
      </w:r>
      <w:r w:rsidR="003B579C" w:rsidRPr="00652ACD">
        <w:rPr>
          <w:color w:val="000000" w:themeColor="text1"/>
          <w:sz w:val="24"/>
        </w:rPr>
        <w:t xml:space="preserve"> </w:t>
      </w:r>
      <w:r w:rsidRPr="00652ACD">
        <w:rPr>
          <w:color w:val="000000" w:themeColor="text1"/>
          <w:sz w:val="24"/>
        </w:rPr>
        <w:t xml:space="preserve">energii. W 2017 roku z odnawialnych nośników energii wyprodukowano 803,5 </w:t>
      </w:r>
      <w:proofErr w:type="spellStart"/>
      <w:r w:rsidRPr="00652ACD">
        <w:rPr>
          <w:color w:val="000000" w:themeColor="text1"/>
          <w:sz w:val="24"/>
        </w:rPr>
        <w:t>GWh</w:t>
      </w:r>
      <w:proofErr w:type="spellEnd"/>
      <w:r w:rsidRPr="00652ACD">
        <w:rPr>
          <w:color w:val="000000" w:themeColor="text1"/>
          <w:sz w:val="24"/>
        </w:rPr>
        <w:t xml:space="preserve"> energii elektrycznej (tj. 7,86% produkcji energii ogółem). Udział poszczególnych rodzajów OZE w ogólnej mocy zainstalowanej na terenie województwa dolnośląskiego w 2020 r. wyglądał następująco: </w:t>
      </w:r>
    </w:p>
    <w:p w:rsidR="000178B1" w:rsidRPr="00652ACD" w:rsidRDefault="000178B1" w:rsidP="00652ACD">
      <w:pPr>
        <w:pStyle w:val="Akapitzlist"/>
        <w:numPr>
          <w:ilvl w:val="0"/>
          <w:numId w:val="19"/>
        </w:numPr>
        <w:tabs>
          <w:tab w:val="left" w:pos="2408"/>
        </w:tabs>
        <w:jc w:val="left"/>
        <w:rPr>
          <w:color w:val="000000" w:themeColor="text1"/>
          <w:sz w:val="24"/>
        </w:rPr>
      </w:pPr>
      <w:r w:rsidRPr="00652ACD">
        <w:rPr>
          <w:color w:val="000000" w:themeColor="text1"/>
          <w:sz w:val="24"/>
        </w:rPr>
        <w:t xml:space="preserve">39,8% elektrownie wiatrowe (WI) – 176,4 MW, </w:t>
      </w:r>
    </w:p>
    <w:p w:rsidR="000178B1" w:rsidRPr="00652ACD" w:rsidRDefault="000178B1" w:rsidP="00652ACD">
      <w:pPr>
        <w:pStyle w:val="Akapitzlist"/>
        <w:numPr>
          <w:ilvl w:val="0"/>
          <w:numId w:val="19"/>
        </w:numPr>
        <w:tabs>
          <w:tab w:val="left" w:pos="2408"/>
        </w:tabs>
        <w:jc w:val="left"/>
        <w:rPr>
          <w:color w:val="000000" w:themeColor="text1"/>
          <w:sz w:val="24"/>
        </w:rPr>
      </w:pPr>
      <w:r w:rsidRPr="00652ACD">
        <w:rPr>
          <w:color w:val="000000" w:themeColor="text1"/>
          <w:sz w:val="24"/>
        </w:rPr>
        <w:t xml:space="preserve">17% elektrownie wodne (WO) – 75,2 MW, </w:t>
      </w:r>
    </w:p>
    <w:p w:rsidR="000178B1" w:rsidRPr="00652ACD" w:rsidRDefault="000178B1" w:rsidP="00652ACD">
      <w:pPr>
        <w:pStyle w:val="Akapitzlist"/>
        <w:numPr>
          <w:ilvl w:val="0"/>
          <w:numId w:val="19"/>
        </w:numPr>
        <w:tabs>
          <w:tab w:val="left" w:pos="2408"/>
        </w:tabs>
        <w:jc w:val="left"/>
        <w:rPr>
          <w:color w:val="000000" w:themeColor="text1"/>
          <w:sz w:val="24"/>
        </w:rPr>
      </w:pPr>
      <w:r w:rsidRPr="00652ACD">
        <w:rPr>
          <w:color w:val="000000" w:themeColor="text1"/>
          <w:sz w:val="24"/>
        </w:rPr>
        <w:t xml:space="preserve">13,4% </w:t>
      </w:r>
      <w:proofErr w:type="spellStart"/>
      <w:r w:rsidRPr="00652ACD">
        <w:rPr>
          <w:color w:val="000000" w:themeColor="text1"/>
          <w:sz w:val="24"/>
        </w:rPr>
        <w:t>fotowoltaika</w:t>
      </w:r>
      <w:proofErr w:type="spellEnd"/>
      <w:r w:rsidRPr="00652ACD">
        <w:rPr>
          <w:color w:val="000000" w:themeColor="text1"/>
          <w:sz w:val="24"/>
        </w:rPr>
        <w:t xml:space="preserve"> (PV) – 59,4 MW, </w:t>
      </w:r>
    </w:p>
    <w:p w:rsidR="000178B1" w:rsidRPr="00652ACD" w:rsidRDefault="000178B1" w:rsidP="00652ACD">
      <w:pPr>
        <w:pStyle w:val="Akapitzlist"/>
        <w:numPr>
          <w:ilvl w:val="0"/>
          <w:numId w:val="19"/>
        </w:numPr>
        <w:tabs>
          <w:tab w:val="left" w:pos="2408"/>
        </w:tabs>
        <w:jc w:val="left"/>
        <w:rPr>
          <w:color w:val="000000" w:themeColor="text1"/>
          <w:sz w:val="24"/>
        </w:rPr>
      </w:pPr>
      <w:r w:rsidRPr="00652ACD">
        <w:rPr>
          <w:color w:val="000000" w:themeColor="text1"/>
          <w:sz w:val="24"/>
        </w:rPr>
        <w:t xml:space="preserve">25,1% elektrownie wykorzystujące biomasę (BM) – 111,25 MW, </w:t>
      </w:r>
    </w:p>
    <w:p w:rsidR="000178B1" w:rsidRPr="00652ACD" w:rsidRDefault="000178B1" w:rsidP="00652ACD">
      <w:pPr>
        <w:pStyle w:val="Akapitzlist"/>
        <w:numPr>
          <w:ilvl w:val="0"/>
          <w:numId w:val="19"/>
        </w:numPr>
        <w:tabs>
          <w:tab w:val="left" w:pos="2408"/>
        </w:tabs>
        <w:jc w:val="left"/>
        <w:rPr>
          <w:color w:val="000000" w:themeColor="text1"/>
          <w:sz w:val="24"/>
        </w:rPr>
      </w:pPr>
      <w:r w:rsidRPr="00652ACD">
        <w:rPr>
          <w:color w:val="000000" w:themeColor="text1"/>
          <w:sz w:val="24"/>
        </w:rPr>
        <w:t xml:space="preserve">4,8% elektrownie wykorzystujące biogaz (BG) – 21,2 MW. </w:t>
      </w:r>
    </w:p>
    <w:p w:rsidR="005472A9" w:rsidRPr="00652ACD" w:rsidRDefault="005472A9" w:rsidP="00652ACD">
      <w:pPr>
        <w:tabs>
          <w:tab w:val="left" w:pos="2408"/>
        </w:tabs>
        <w:jc w:val="left"/>
        <w:rPr>
          <w:color w:val="000000" w:themeColor="text1"/>
          <w:sz w:val="24"/>
        </w:rPr>
      </w:pPr>
      <w:r w:rsidRPr="00652ACD">
        <w:rPr>
          <w:color w:val="000000" w:themeColor="text1"/>
          <w:sz w:val="24"/>
        </w:rPr>
        <w:t>W związku z budową nowej elektrociepłowni gazowo- parowej nastąpi wygaszenie funkcji przemysłowych obecnej elektrocieplni węglowej. Gmina Siechnice oraz ZEW Kogeneracja SA utworzyły spółkę celową do przeprowadzenia procesu rewital</w:t>
      </w:r>
      <w:r w:rsidR="001D1207">
        <w:rPr>
          <w:color w:val="000000" w:themeColor="text1"/>
          <w:sz w:val="24"/>
        </w:rPr>
        <w:t>izacji obecnej elektrocieplni i </w:t>
      </w:r>
      <w:r w:rsidRPr="00652ACD">
        <w:rPr>
          <w:color w:val="000000" w:themeColor="text1"/>
          <w:sz w:val="24"/>
        </w:rPr>
        <w:t xml:space="preserve">nadaniu jej nowych funkcji społecznych i gospodarczych. We współpracy z Politechniką Wrocławską zostało opracowane  Studium możliwości budowy kompleksu nowych technologii energetycznych w obiektach Elektrociepłowni </w:t>
      </w:r>
      <w:proofErr w:type="spellStart"/>
      <w:r w:rsidRPr="00652ACD">
        <w:rPr>
          <w:color w:val="000000" w:themeColor="text1"/>
          <w:sz w:val="24"/>
        </w:rPr>
        <w:t>Czechnica</w:t>
      </w:r>
      <w:proofErr w:type="spellEnd"/>
      <w:r w:rsidRPr="00652ACD">
        <w:rPr>
          <w:color w:val="000000" w:themeColor="text1"/>
          <w:sz w:val="24"/>
        </w:rPr>
        <w:t>. W zaproponowanym rozwiązaniu Centrum Energetyczne będzie samowystarczalnym klastrem energetycznym zasilanym odnawialnymi źródłami energii, integrującymi wiele technologii i rozwiązań, w tym wykorzystującymi wodó</w:t>
      </w:r>
      <w:r w:rsidR="00F258FA" w:rsidRPr="00652ACD">
        <w:rPr>
          <w:color w:val="000000" w:themeColor="text1"/>
          <w:sz w:val="24"/>
        </w:rPr>
        <w:t>r, mającymi  pozytywny wpływ na </w:t>
      </w:r>
      <w:r w:rsidRPr="00652ACD">
        <w:rPr>
          <w:color w:val="000000" w:themeColor="text1"/>
          <w:sz w:val="24"/>
        </w:rPr>
        <w:t>zwiększenie produkcji zielonej energii na obszarze ZIT WrOF.</w:t>
      </w:r>
    </w:p>
    <w:p w:rsidR="000178B1" w:rsidRPr="00652ACD" w:rsidRDefault="000178B1" w:rsidP="00652ACD">
      <w:pPr>
        <w:tabs>
          <w:tab w:val="left" w:pos="2408"/>
        </w:tabs>
        <w:spacing w:after="0"/>
        <w:jc w:val="left"/>
        <w:rPr>
          <w:color w:val="000000" w:themeColor="text1"/>
          <w:sz w:val="24"/>
        </w:rPr>
      </w:pPr>
      <w:r w:rsidRPr="00652ACD">
        <w:rPr>
          <w:color w:val="000000" w:themeColor="text1"/>
          <w:sz w:val="24"/>
        </w:rPr>
        <w:t xml:space="preserve">Na terenie WrOF z odnawialnych </w:t>
      </w:r>
      <w:r w:rsidR="00F723BD" w:rsidRPr="00652ACD">
        <w:rPr>
          <w:color w:val="000000" w:themeColor="text1"/>
          <w:sz w:val="24"/>
        </w:rPr>
        <w:t>źródeł</w:t>
      </w:r>
      <w:r w:rsidRPr="00652ACD">
        <w:rPr>
          <w:color w:val="000000" w:themeColor="text1"/>
          <w:sz w:val="24"/>
        </w:rPr>
        <w:t xml:space="preserve"> energii</w:t>
      </w:r>
      <w:r w:rsidR="00F723BD" w:rsidRPr="00652ACD">
        <w:rPr>
          <w:color w:val="000000" w:themeColor="text1"/>
          <w:sz w:val="24"/>
        </w:rPr>
        <w:t>,</w:t>
      </w:r>
      <w:r w:rsidRPr="00652ACD">
        <w:rPr>
          <w:color w:val="000000" w:themeColor="text1"/>
          <w:sz w:val="24"/>
        </w:rPr>
        <w:t xml:space="preserve"> energia elektryczna wytwarzana jest w elektrowniach wodnych, wiatrowych, słonecznych i innych.</w:t>
      </w:r>
    </w:p>
    <w:p w:rsidR="0091181E" w:rsidRPr="00652ACD" w:rsidRDefault="0091181E" w:rsidP="00652ACD">
      <w:pPr>
        <w:tabs>
          <w:tab w:val="left" w:pos="2408"/>
        </w:tabs>
        <w:spacing w:after="0"/>
        <w:jc w:val="left"/>
        <w:rPr>
          <w:color w:val="000000" w:themeColor="text1"/>
          <w:sz w:val="24"/>
        </w:rPr>
      </w:pPr>
      <w:r w:rsidRPr="00652ACD">
        <w:rPr>
          <w:color w:val="000000" w:themeColor="text1"/>
          <w:sz w:val="24"/>
        </w:rPr>
        <w:t xml:space="preserve">W związku z tym, iż na terenie WrOF występują korzystne warunki do rozwoju wszelkich źródeł </w:t>
      </w:r>
      <w:r w:rsidR="00F723BD" w:rsidRPr="00652ACD">
        <w:rPr>
          <w:color w:val="000000" w:themeColor="text1"/>
          <w:sz w:val="24"/>
        </w:rPr>
        <w:t>OZE</w:t>
      </w:r>
      <w:r w:rsidRPr="00652ACD">
        <w:rPr>
          <w:color w:val="000000" w:themeColor="text1"/>
          <w:sz w:val="24"/>
        </w:rPr>
        <w:t xml:space="preserve"> należy wykorzystać ten potencjał </w:t>
      </w:r>
      <w:r w:rsidR="00F723BD" w:rsidRPr="00652ACD">
        <w:rPr>
          <w:color w:val="000000" w:themeColor="text1"/>
          <w:sz w:val="24"/>
        </w:rPr>
        <w:t>i</w:t>
      </w:r>
      <w:r w:rsidRPr="00652ACD">
        <w:rPr>
          <w:color w:val="000000" w:themeColor="text1"/>
          <w:sz w:val="24"/>
        </w:rPr>
        <w:t xml:space="preserve"> wspierać wszelkie działania mające na celu zwiększenie udziału zielonej energii w lokalnym </w:t>
      </w:r>
      <w:proofErr w:type="spellStart"/>
      <w:r w:rsidRPr="00652ACD">
        <w:rPr>
          <w:color w:val="000000" w:themeColor="text1"/>
          <w:sz w:val="24"/>
        </w:rPr>
        <w:t>miksie</w:t>
      </w:r>
      <w:proofErr w:type="spellEnd"/>
      <w:r w:rsidRPr="00652ACD">
        <w:rPr>
          <w:color w:val="000000" w:themeColor="text1"/>
          <w:sz w:val="24"/>
        </w:rPr>
        <w:t xml:space="preserve"> energetycznym.</w:t>
      </w:r>
    </w:p>
    <w:bookmarkEnd w:id="97"/>
    <w:p w:rsidR="000178B1" w:rsidRPr="00652ACD" w:rsidRDefault="000178B1" w:rsidP="00652ACD">
      <w:pPr>
        <w:spacing w:before="240" w:after="0"/>
        <w:jc w:val="left"/>
        <w:rPr>
          <w:rFonts w:cs="Calibri"/>
          <w:b/>
          <w:color w:val="000000" w:themeColor="text1"/>
          <w:sz w:val="24"/>
        </w:rPr>
      </w:pPr>
      <w:r w:rsidRPr="00652ACD">
        <w:rPr>
          <w:rFonts w:cs="Calibri"/>
          <w:b/>
          <w:color w:val="000000" w:themeColor="text1"/>
          <w:sz w:val="24"/>
        </w:rPr>
        <w:t>Biomasa</w:t>
      </w:r>
    </w:p>
    <w:p w:rsidR="00E82203" w:rsidRPr="00652ACD" w:rsidRDefault="00E82203" w:rsidP="00652ACD">
      <w:pPr>
        <w:pStyle w:val="wyrsynt"/>
        <w:spacing w:before="0" w:after="120"/>
        <w:jc w:val="left"/>
        <w:rPr>
          <w:color w:val="000000" w:themeColor="text1"/>
          <w:sz w:val="24"/>
          <w:lang w:eastAsia="pl-PL"/>
        </w:rPr>
      </w:pPr>
      <w:r w:rsidRPr="00652ACD">
        <w:rPr>
          <w:rFonts w:cs="Times New Roman"/>
          <w:b w:val="0"/>
          <w:color w:val="000000" w:themeColor="text1"/>
          <w:sz w:val="24"/>
        </w:rPr>
        <w:t>Pod pojęciem biomasy rozumieć należy „ulegającą biodegradacji część produktów, odpadów lub pozostałości pochodzenia biologicznego z rolnictwa, w</w:t>
      </w:r>
      <w:r w:rsidR="00D94C7A" w:rsidRPr="00652ACD">
        <w:rPr>
          <w:rFonts w:cs="Times New Roman"/>
          <w:b w:val="0"/>
          <w:color w:val="000000" w:themeColor="text1"/>
          <w:sz w:val="24"/>
        </w:rPr>
        <w:t xml:space="preserve"> </w:t>
      </w:r>
      <w:r w:rsidRPr="00652ACD">
        <w:rPr>
          <w:rFonts w:cs="Times New Roman"/>
          <w:b w:val="0"/>
          <w:color w:val="000000" w:themeColor="text1"/>
          <w:sz w:val="24"/>
        </w:rPr>
        <w:t>tym substancje roślinne i</w:t>
      </w:r>
      <w:r w:rsidR="001D1207">
        <w:rPr>
          <w:rFonts w:cs="Times New Roman"/>
          <w:b w:val="0"/>
          <w:color w:val="000000" w:themeColor="text1"/>
          <w:sz w:val="24"/>
        </w:rPr>
        <w:t> </w:t>
      </w:r>
      <w:r w:rsidRPr="00652ACD">
        <w:rPr>
          <w:rFonts w:cs="Times New Roman"/>
          <w:b w:val="0"/>
          <w:color w:val="000000" w:themeColor="text1"/>
          <w:sz w:val="24"/>
        </w:rPr>
        <w:t>zwierzęce, leśnictwa i</w:t>
      </w:r>
      <w:r w:rsidR="00896807" w:rsidRPr="00652ACD">
        <w:rPr>
          <w:rFonts w:cs="Times New Roman"/>
          <w:b w:val="0"/>
          <w:color w:val="000000" w:themeColor="text1"/>
          <w:sz w:val="24"/>
        </w:rPr>
        <w:t> </w:t>
      </w:r>
      <w:r w:rsidRPr="00652ACD">
        <w:rPr>
          <w:rFonts w:cs="Times New Roman"/>
          <w:b w:val="0"/>
          <w:color w:val="000000" w:themeColor="text1"/>
          <w:sz w:val="24"/>
        </w:rPr>
        <w:t>związanych działów przemysłu, w</w:t>
      </w:r>
      <w:r w:rsidR="00D94C7A" w:rsidRPr="00652ACD">
        <w:rPr>
          <w:rFonts w:cs="Times New Roman"/>
          <w:b w:val="0"/>
          <w:color w:val="000000" w:themeColor="text1"/>
          <w:sz w:val="24"/>
        </w:rPr>
        <w:t xml:space="preserve"> </w:t>
      </w:r>
      <w:r w:rsidRPr="00652ACD">
        <w:rPr>
          <w:rFonts w:cs="Times New Roman"/>
          <w:b w:val="0"/>
          <w:color w:val="000000" w:themeColor="text1"/>
          <w:sz w:val="24"/>
        </w:rPr>
        <w:t>tym rybołówstwa i akwakultury, przetworzoną biomasę, w</w:t>
      </w:r>
      <w:r w:rsidR="00896807" w:rsidRPr="00652ACD">
        <w:rPr>
          <w:rFonts w:cs="Times New Roman"/>
          <w:b w:val="0"/>
          <w:color w:val="000000" w:themeColor="text1"/>
          <w:sz w:val="24"/>
        </w:rPr>
        <w:t> </w:t>
      </w:r>
      <w:r w:rsidRPr="00652ACD">
        <w:rPr>
          <w:rFonts w:cs="Times New Roman"/>
          <w:b w:val="0"/>
          <w:color w:val="000000" w:themeColor="text1"/>
          <w:sz w:val="24"/>
        </w:rPr>
        <w:t>szczególności w</w:t>
      </w:r>
      <w:r w:rsidR="00D94C7A" w:rsidRPr="00652ACD">
        <w:rPr>
          <w:rFonts w:cs="Times New Roman"/>
          <w:b w:val="0"/>
          <w:color w:val="000000" w:themeColor="text1"/>
          <w:sz w:val="24"/>
        </w:rPr>
        <w:t xml:space="preserve"> </w:t>
      </w:r>
      <w:r w:rsidRPr="00652ACD">
        <w:rPr>
          <w:rFonts w:cs="Times New Roman"/>
          <w:b w:val="0"/>
          <w:color w:val="000000" w:themeColor="text1"/>
          <w:sz w:val="24"/>
        </w:rPr>
        <w:t xml:space="preserve">postaci  brykietu, </w:t>
      </w:r>
      <w:proofErr w:type="spellStart"/>
      <w:r w:rsidRPr="00652ACD">
        <w:rPr>
          <w:rFonts w:cs="Times New Roman"/>
          <w:b w:val="0"/>
          <w:color w:val="000000" w:themeColor="text1"/>
          <w:sz w:val="24"/>
        </w:rPr>
        <w:t>peletu</w:t>
      </w:r>
      <w:proofErr w:type="spellEnd"/>
      <w:r w:rsidRPr="00652ACD">
        <w:rPr>
          <w:rFonts w:cs="Times New Roman"/>
          <w:b w:val="0"/>
          <w:color w:val="000000" w:themeColor="text1"/>
          <w:sz w:val="24"/>
        </w:rPr>
        <w:t xml:space="preserve">, </w:t>
      </w:r>
      <w:proofErr w:type="spellStart"/>
      <w:r w:rsidRPr="00652ACD">
        <w:rPr>
          <w:rFonts w:cs="Times New Roman"/>
          <w:b w:val="0"/>
          <w:color w:val="000000" w:themeColor="text1"/>
          <w:sz w:val="24"/>
        </w:rPr>
        <w:t>toryfikatuibiowęgla</w:t>
      </w:r>
      <w:proofErr w:type="spellEnd"/>
      <w:r w:rsidRPr="00652ACD">
        <w:rPr>
          <w:rFonts w:cs="Times New Roman"/>
          <w:b w:val="0"/>
          <w:color w:val="000000" w:themeColor="text1"/>
          <w:sz w:val="24"/>
        </w:rPr>
        <w:t xml:space="preserve">, </w:t>
      </w:r>
      <w:r w:rsidR="00D94C7A" w:rsidRPr="00652ACD">
        <w:rPr>
          <w:rFonts w:cs="Times New Roman"/>
          <w:b w:val="0"/>
          <w:color w:val="000000" w:themeColor="text1"/>
          <w:sz w:val="24"/>
        </w:rPr>
        <w:t xml:space="preserve"> </w:t>
      </w:r>
      <w:r w:rsidRPr="00652ACD">
        <w:rPr>
          <w:rFonts w:cs="Times New Roman"/>
          <w:b w:val="0"/>
          <w:color w:val="000000" w:themeColor="text1"/>
          <w:sz w:val="24"/>
        </w:rPr>
        <w:t>a</w:t>
      </w:r>
      <w:r w:rsidR="001D1207">
        <w:rPr>
          <w:rFonts w:cs="Times New Roman"/>
          <w:b w:val="0"/>
          <w:color w:val="000000" w:themeColor="text1"/>
          <w:sz w:val="24"/>
        </w:rPr>
        <w:t> </w:t>
      </w:r>
      <w:r w:rsidRPr="00652ACD">
        <w:rPr>
          <w:rFonts w:cs="Times New Roman"/>
          <w:b w:val="0"/>
          <w:color w:val="000000" w:themeColor="text1"/>
          <w:sz w:val="24"/>
        </w:rPr>
        <w:t>także ulegającą biodegradacji część odpadów przemysłowych lub komunalnych pochodzenia roślinnego lub zwierzęcego, w</w:t>
      </w:r>
      <w:r w:rsidR="00D94C7A" w:rsidRPr="00652ACD">
        <w:rPr>
          <w:rFonts w:cs="Times New Roman"/>
          <w:b w:val="0"/>
          <w:color w:val="000000" w:themeColor="text1"/>
          <w:sz w:val="24"/>
        </w:rPr>
        <w:t xml:space="preserve"> </w:t>
      </w:r>
      <w:r w:rsidRPr="00652ACD">
        <w:rPr>
          <w:rFonts w:cs="Times New Roman"/>
          <w:b w:val="0"/>
          <w:color w:val="000000" w:themeColor="text1"/>
          <w:sz w:val="24"/>
        </w:rPr>
        <w:t>tym odpadów z</w:t>
      </w:r>
      <w:r w:rsidR="00D94C7A" w:rsidRPr="00652ACD">
        <w:rPr>
          <w:rFonts w:cs="Times New Roman"/>
          <w:b w:val="0"/>
          <w:color w:val="000000" w:themeColor="text1"/>
          <w:sz w:val="24"/>
        </w:rPr>
        <w:t xml:space="preserve"> </w:t>
      </w:r>
      <w:r w:rsidRPr="00652ACD">
        <w:rPr>
          <w:rFonts w:cs="Times New Roman"/>
          <w:b w:val="0"/>
          <w:color w:val="000000" w:themeColor="text1"/>
          <w:sz w:val="24"/>
        </w:rPr>
        <w:t xml:space="preserve">instalacji do przetwarzania odpadów oraz odpadów </w:t>
      </w:r>
      <w:r w:rsidR="000F5700" w:rsidRPr="00652ACD">
        <w:rPr>
          <w:rFonts w:cs="Times New Roman"/>
          <w:b w:val="0"/>
          <w:color w:val="000000" w:themeColor="text1"/>
          <w:sz w:val="24"/>
        </w:rPr>
        <w:t>uzdatniania</w:t>
      </w:r>
      <w:r w:rsidRPr="00652ACD">
        <w:rPr>
          <w:rFonts w:cs="Times New Roman"/>
          <w:b w:val="0"/>
          <w:color w:val="000000" w:themeColor="text1"/>
          <w:sz w:val="24"/>
        </w:rPr>
        <w:t xml:space="preserve"> wody i</w:t>
      </w:r>
      <w:r w:rsidR="00D94C7A" w:rsidRPr="00652ACD">
        <w:rPr>
          <w:rFonts w:cs="Times New Roman"/>
          <w:b w:val="0"/>
          <w:color w:val="000000" w:themeColor="text1"/>
          <w:sz w:val="24"/>
        </w:rPr>
        <w:t xml:space="preserve"> oczyszczania ścieków, </w:t>
      </w:r>
      <w:r w:rsidR="00896807" w:rsidRPr="00652ACD">
        <w:rPr>
          <w:rFonts w:cs="Times New Roman"/>
          <w:b w:val="0"/>
          <w:color w:val="000000" w:themeColor="text1"/>
          <w:sz w:val="24"/>
        </w:rPr>
        <w:t>w </w:t>
      </w:r>
      <w:r w:rsidRPr="00652ACD">
        <w:rPr>
          <w:rFonts w:cs="Times New Roman"/>
          <w:b w:val="0"/>
          <w:color w:val="000000" w:themeColor="text1"/>
          <w:sz w:val="24"/>
        </w:rPr>
        <w:t>szczególności osadów ściekowych, zgodnie z</w:t>
      </w:r>
      <w:r w:rsidR="000F5700" w:rsidRPr="00652ACD">
        <w:rPr>
          <w:rFonts w:cs="Times New Roman"/>
          <w:b w:val="0"/>
          <w:color w:val="000000" w:themeColor="text1"/>
          <w:sz w:val="24"/>
        </w:rPr>
        <w:t xml:space="preserve"> przepisami o</w:t>
      </w:r>
      <w:r w:rsidRPr="00652ACD">
        <w:rPr>
          <w:rFonts w:cs="Times New Roman"/>
          <w:b w:val="0"/>
          <w:color w:val="000000" w:themeColor="text1"/>
          <w:sz w:val="24"/>
        </w:rPr>
        <w:t>dpadach w</w:t>
      </w:r>
      <w:r w:rsidR="00D94C7A" w:rsidRPr="00652ACD">
        <w:rPr>
          <w:rFonts w:cs="Times New Roman"/>
          <w:b w:val="0"/>
          <w:color w:val="000000" w:themeColor="text1"/>
          <w:sz w:val="24"/>
        </w:rPr>
        <w:t xml:space="preserve"> </w:t>
      </w:r>
      <w:r w:rsidRPr="00652ACD">
        <w:rPr>
          <w:rFonts w:cs="Times New Roman"/>
          <w:b w:val="0"/>
          <w:color w:val="000000" w:themeColor="text1"/>
          <w:sz w:val="24"/>
        </w:rPr>
        <w:t>zakresie kwalifikowania części energii odzyskanej z</w:t>
      </w:r>
      <w:r w:rsidR="00D94C7A" w:rsidRPr="00652ACD">
        <w:rPr>
          <w:rFonts w:cs="Times New Roman"/>
          <w:b w:val="0"/>
          <w:color w:val="000000" w:themeColor="text1"/>
          <w:sz w:val="24"/>
        </w:rPr>
        <w:t xml:space="preserve"> </w:t>
      </w:r>
      <w:r w:rsidRPr="00652ACD">
        <w:rPr>
          <w:rFonts w:cs="Times New Roman"/>
          <w:b w:val="0"/>
          <w:color w:val="000000" w:themeColor="text1"/>
          <w:sz w:val="24"/>
        </w:rPr>
        <w:t>termicznego przekształcania odpadów”</w:t>
      </w:r>
      <w:r w:rsidRPr="00652ACD">
        <w:rPr>
          <w:rStyle w:val="Odwoanieprzypisudolnego"/>
          <w:rFonts w:cs="Times New Roman"/>
          <w:b w:val="0"/>
          <w:color w:val="000000" w:themeColor="text1"/>
          <w:sz w:val="24"/>
        </w:rPr>
        <w:footnoteReference w:id="69"/>
      </w:r>
      <w:r w:rsidRPr="00652ACD">
        <w:rPr>
          <w:rFonts w:cs="Times New Roman"/>
          <w:b w:val="0"/>
          <w:color w:val="000000" w:themeColor="text1"/>
          <w:sz w:val="24"/>
        </w:rPr>
        <w:t>. Biomasę stosuje się w celach energetycznych na różne sposoby, może to być: bezpośrednie spalanie biomasy, przetwarzanie biomasy na paliwa ciekłe lub przetwarzanie biomasy na paliwa gazowe. Spalenie biomasy jest dużo bardziej korzystne dla środowiska niż stosowanie innych paliw kopalnianych. Biomasa zawiera mniej dwutlenku węgla, który wnika do atmosfery, dzięki czemu spada ryzyko powstawania globalnego ocieplenia. Eksploatacja biomasy pozwala także zagospodarować nieużytki oraz spożytkować odpady.</w:t>
      </w:r>
    </w:p>
    <w:p w:rsidR="000178B1" w:rsidRPr="00652ACD" w:rsidRDefault="000178B1" w:rsidP="00652ACD">
      <w:pPr>
        <w:tabs>
          <w:tab w:val="left" w:pos="2408"/>
        </w:tabs>
        <w:spacing w:after="120"/>
        <w:jc w:val="left"/>
        <w:rPr>
          <w:color w:val="000000" w:themeColor="text1"/>
          <w:sz w:val="24"/>
        </w:rPr>
      </w:pPr>
      <w:r w:rsidRPr="00652ACD">
        <w:rPr>
          <w:color w:val="000000" w:themeColor="text1"/>
          <w:sz w:val="24"/>
        </w:rPr>
        <w:t xml:space="preserve">We Wrocławiu największe instalacje i urządzenia związane z wykorzystywaniem biomasy do produkcji energii znajdują się na terenie ZEW „Kogeneracja” S.A. w EC </w:t>
      </w:r>
      <w:proofErr w:type="spellStart"/>
      <w:r w:rsidRPr="00652ACD">
        <w:rPr>
          <w:color w:val="000000" w:themeColor="text1"/>
          <w:sz w:val="24"/>
        </w:rPr>
        <w:t>Czechnica</w:t>
      </w:r>
      <w:proofErr w:type="spellEnd"/>
      <w:r w:rsidRPr="00652ACD">
        <w:rPr>
          <w:color w:val="000000" w:themeColor="text1"/>
          <w:sz w:val="24"/>
        </w:rPr>
        <w:t xml:space="preserve">, gdzie odbywa się współspalanie węgla i biomasy. Ponadto biomasa w postaci </w:t>
      </w:r>
      <w:proofErr w:type="spellStart"/>
      <w:r w:rsidRPr="00652ACD">
        <w:rPr>
          <w:color w:val="000000" w:themeColor="text1"/>
          <w:sz w:val="24"/>
        </w:rPr>
        <w:t>peletu</w:t>
      </w:r>
      <w:proofErr w:type="spellEnd"/>
      <w:r w:rsidRPr="00652ACD">
        <w:rPr>
          <w:color w:val="000000" w:themeColor="text1"/>
          <w:sz w:val="24"/>
        </w:rPr>
        <w:t xml:space="preserve"> stanowi źródło ciepła w budynkach mieszkalnych.</w:t>
      </w:r>
    </w:p>
    <w:p w:rsidR="00E82203" w:rsidRPr="00652ACD" w:rsidRDefault="00E82203" w:rsidP="00652ACD">
      <w:pPr>
        <w:spacing w:before="240" w:after="0"/>
        <w:jc w:val="left"/>
        <w:rPr>
          <w:rFonts w:cs="Calibri"/>
          <w:b/>
          <w:color w:val="000000" w:themeColor="text1"/>
          <w:sz w:val="24"/>
        </w:rPr>
      </w:pPr>
      <w:r w:rsidRPr="00652ACD">
        <w:rPr>
          <w:rFonts w:cs="Calibri"/>
          <w:b/>
          <w:color w:val="000000" w:themeColor="text1"/>
          <w:sz w:val="24"/>
        </w:rPr>
        <w:t>Biogaz</w:t>
      </w:r>
    </w:p>
    <w:p w:rsidR="00D94C7A" w:rsidRPr="00652ACD" w:rsidRDefault="00E82203" w:rsidP="00652ACD">
      <w:pPr>
        <w:spacing w:after="120"/>
        <w:jc w:val="left"/>
        <w:rPr>
          <w:color w:val="000000" w:themeColor="text1"/>
          <w:sz w:val="24"/>
        </w:rPr>
      </w:pPr>
      <w:r w:rsidRPr="00652ACD">
        <w:rPr>
          <w:color w:val="000000" w:themeColor="text1"/>
          <w:sz w:val="24"/>
        </w:rPr>
        <w:t>Biogaz jest paliwem odnawialnym, który powstaje w procesie rozkładu materii organicznych takich jak odchody zwierzęce, odpady komunalne, materiał roślinny, odpady s</w:t>
      </w:r>
      <w:r w:rsidR="001D1207">
        <w:rPr>
          <w:color w:val="000000" w:themeColor="text1"/>
          <w:sz w:val="24"/>
        </w:rPr>
        <w:t>pożywcze i </w:t>
      </w:r>
      <w:r w:rsidR="00896807" w:rsidRPr="00652ACD">
        <w:rPr>
          <w:color w:val="000000" w:themeColor="text1"/>
          <w:sz w:val="24"/>
        </w:rPr>
        <w:t>ścieki oraz odpady z </w:t>
      </w:r>
      <w:r w:rsidRPr="00652ACD">
        <w:rPr>
          <w:color w:val="000000" w:themeColor="text1"/>
          <w:sz w:val="24"/>
        </w:rPr>
        <w:t>usług gastronomicznych (restauracje i stołówki szkolne). Wpływ biogazu na środowisko nie jest zerowy, jednakże jest on w odróżnieniu od bezpośredniego spalania biomasy neutralny pod względem emisji dwutlenku węgla.</w:t>
      </w:r>
      <w:r w:rsidR="00D94C7A" w:rsidRPr="00652ACD">
        <w:rPr>
          <w:color w:val="000000" w:themeColor="text1"/>
          <w:sz w:val="24"/>
        </w:rPr>
        <w:t xml:space="preserve"> </w:t>
      </w:r>
      <w:r w:rsidRPr="00652ACD">
        <w:rPr>
          <w:color w:val="000000" w:themeColor="text1"/>
          <w:sz w:val="24"/>
        </w:rPr>
        <w:t>Biogaz może być wykorzystywany do wielu różnych celów: do produkcji energii elektrycznej i cieplnej oraz produkcji biopaliw do pojazdów. Biog</w:t>
      </w:r>
      <w:r w:rsidR="00896807" w:rsidRPr="00652ACD">
        <w:rPr>
          <w:color w:val="000000" w:themeColor="text1"/>
          <w:sz w:val="24"/>
        </w:rPr>
        <w:t>az jest najbardziej stabilnym z </w:t>
      </w:r>
      <w:r w:rsidRPr="00652ACD">
        <w:rPr>
          <w:color w:val="000000" w:themeColor="text1"/>
          <w:sz w:val="24"/>
        </w:rPr>
        <w:t xml:space="preserve">odnawialnych źródeł energii, ponieważ produkcja odbywa się niezależnie od warunków atmosferycznych. </w:t>
      </w:r>
    </w:p>
    <w:p w:rsidR="00E82203" w:rsidRPr="00652ACD" w:rsidRDefault="00E82203" w:rsidP="00652ACD">
      <w:pPr>
        <w:spacing w:after="0"/>
        <w:jc w:val="left"/>
        <w:rPr>
          <w:color w:val="000000" w:themeColor="text1"/>
          <w:sz w:val="24"/>
        </w:rPr>
      </w:pPr>
      <w:r w:rsidRPr="00652ACD">
        <w:rPr>
          <w:color w:val="000000" w:themeColor="text1"/>
          <w:sz w:val="24"/>
        </w:rPr>
        <w:t xml:space="preserve">Na terenie WrOF </w:t>
      </w:r>
      <w:proofErr w:type="spellStart"/>
      <w:r w:rsidRPr="00652ACD">
        <w:rPr>
          <w:color w:val="000000" w:themeColor="text1"/>
          <w:sz w:val="24"/>
        </w:rPr>
        <w:t>biogazownia</w:t>
      </w:r>
      <w:proofErr w:type="spellEnd"/>
      <w:r w:rsidRPr="00652ACD">
        <w:rPr>
          <w:color w:val="000000" w:themeColor="text1"/>
          <w:sz w:val="24"/>
        </w:rPr>
        <w:t xml:space="preserve"> funkcjonuje w Żernikach Wielkich w gminie Żórawina. Głównym substratem do produkcji biogazu jest tu obornik i gnojowica pochodząca z fermy</w:t>
      </w:r>
      <w:r w:rsidR="00D94C7A" w:rsidRPr="00652ACD">
        <w:rPr>
          <w:color w:val="000000" w:themeColor="text1"/>
          <w:sz w:val="24"/>
        </w:rPr>
        <w:t xml:space="preserve"> </w:t>
      </w:r>
      <w:r w:rsidRPr="00652ACD">
        <w:rPr>
          <w:color w:val="000000" w:themeColor="text1"/>
          <w:sz w:val="24"/>
        </w:rPr>
        <w:t>trzody chlewnej</w:t>
      </w:r>
      <w:r w:rsidRPr="00652ACD">
        <w:rPr>
          <w:rStyle w:val="Odwoanieprzypisudolnego"/>
          <w:color w:val="000000" w:themeColor="text1"/>
          <w:sz w:val="24"/>
        </w:rPr>
        <w:footnoteReference w:id="70"/>
      </w:r>
      <w:r w:rsidR="00F258FA" w:rsidRPr="00652ACD">
        <w:rPr>
          <w:color w:val="000000" w:themeColor="text1"/>
          <w:sz w:val="24"/>
        </w:rPr>
        <w:t>. Na </w:t>
      </w:r>
      <w:r w:rsidRPr="00652ACD">
        <w:rPr>
          <w:color w:val="000000" w:themeColor="text1"/>
          <w:sz w:val="24"/>
        </w:rPr>
        <w:t xml:space="preserve">terenie gminy Kobierzyce, w miejscowości Bielany Wrocławskie funkcjonuje </w:t>
      </w:r>
      <w:proofErr w:type="spellStart"/>
      <w:r w:rsidRPr="00652ACD">
        <w:rPr>
          <w:color w:val="000000" w:themeColor="text1"/>
          <w:sz w:val="24"/>
        </w:rPr>
        <w:t>biogazownia</w:t>
      </w:r>
      <w:proofErr w:type="spellEnd"/>
      <w:r w:rsidRPr="00652ACD">
        <w:rPr>
          <w:color w:val="000000" w:themeColor="text1"/>
          <w:sz w:val="24"/>
        </w:rPr>
        <w:t xml:space="preserve"> rolnicza o mocy elektrycznej: 0,526 MW i mocy cieplnej: 0,581 MW</w:t>
      </w:r>
      <w:r w:rsidRPr="00652ACD">
        <w:rPr>
          <w:color w:val="000000" w:themeColor="text1"/>
          <w:sz w:val="24"/>
          <w:vertAlign w:val="superscript"/>
        </w:rPr>
        <w:footnoteReference w:id="71"/>
      </w:r>
      <w:r w:rsidRPr="00652ACD">
        <w:rPr>
          <w:color w:val="000000" w:themeColor="text1"/>
          <w:sz w:val="24"/>
        </w:rPr>
        <w:t xml:space="preserve">. Zlokalizowana jest ona na terenie zakładu produkcyjnego firmy </w:t>
      </w:r>
      <w:proofErr w:type="spellStart"/>
      <w:r w:rsidRPr="00652ACD">
        <w:rPr>
          <w:color w:val="000000" w:themeColor="text1"/>
          <w:sz w:val="24"/>
        </w:rPr>
        <w:t>Cargill</w:t>
      </w:r>
      <w:proofErr w:type="spellEnd"/>
      <w:r w:rsidRPr="00652ACD">
        <w:rPr>
          <w:rStyle w:val="Odwoanieprzypisudolnego"/>
          <w:color w:val="000000" w:themeColor="text1"/>
          <w:sz w:val="24"/>
        </w:rPr>
        <w:footnoteReference w:id="72"/>
      </w:r>
      <w:r w:rsidRPr="00652ACD">
        <w:rPr>
          <w:color w:val="000000" w:themeColor="text1"/>
          <w:sz w:val="24"/>
        </w:rPr>
        <w:t xml:space="preserve">. Instalacja wytwarzająca energię elektryczną z biogazu znajduje się także </w:t>
      </w:r>
      <w:r w:rsidR="00D94C7A" w:rsidRPr="00652ACD">
        <w:rPr>
          <w:color w:val="000000" w:themeColor="text1"/>
          <w:sz w:val="24"/>
        </w:rPr>
        <w:t>na Praczach Odrzańskich</w:t>
      </w:r>
      <w:r w:rsidR="001D1207">
        <w:rPr>
          <w:color w:val="000000" w:themeColor="text1"/>
          <w:sz w:val="24"/>
        </w:rPr>
        <w:t xml:space="preserve"> w </w:t>
      </w:r>
      <w:proofErr w:type="spellStart"/>
      <w:r w:rsidRPr="00652ACD">
        <w:rPr>
          <w:color w:val="000000" w:themeColor="text1"/>
          <w:sz w:val="24"/>
        </w:rPr>
        <w:t>MPWiK</w:t>
      </w:r>
      <w:proofErr w:type="spellEnd"/>
      <w:r w:rsidRPr="00652ACD">
        <w:rPr>
          <w:color w:val="000000" w:themeColor="text1"/>
          <w:sz w:val="24"/>
        </w:rPr>
        <w:t xml:space="preserve"> – Wrocławska Oczyszczalnia Ścieków Komunalnych przy ul. Janowskiej. Obecnie oczyszczalnia posiada trzy jednostki </w:t>
      </w:r>
      <w:proofErr w:type="spellStart"/>
      <w:r w:rsidRPr="00652ACD">
        <w:rPr>
          <w:color w:val="000000" w:themeColor="text1"/>
          <w:sz w:val="24"/>
        </w:rPr>
        <w:t>kogeneracyjne</w:t>
      </w:r>
      <w:proofErr w:type="spellEnd"/>
      <w:r w:rsidRPr="00652ACD">
        <w:rPr>
          <w:color w:val="000000" w:themeColor="text1"/>
          <w:sz w:val="24"/>
        </w:rPr>
        <w:t xml:space="preserve"> o łącznej mocy 0,69 MW. Na terenie WrOF potencjał do wykorzystania biogazu generowany jest głównie przez liczne gospodarstwa rolne zajmujące się chowem bydła, trzody chlewnej i drobiu,  produkcją roślinną oraz oczyszczalni</w:t>
      </w:r>
      <w:r w:rsidR="00D94C7A" w:rsidRPr="00652ACD">
        <w:rPr>
          <w:color w:val="000000" w:themeColor="text1"/>
          <w:sz w:val="24"/>
        </w:rPr>
        <w:t>e</w:t>
      </w:r>
      <w:r w:rsidRPr="00652ACD">
        <w:rPr>
          <w:color w:val="000000" w:themeColor="text1"/>
          <w:sz w:val="24"/>
        </w:rPr>
        <w:t xml:space="preserve"> ścieków i liczne zakłady prz</w:t>
      </w:r>
      <w:r w:rsidR="001D1207">
        <w:rPr>
          <w:color w:val="000000" w:themeColor="text1"/>
          <w:sz w:val="24"/>
        </w:rPr>
        <w:t>etwórstwa rolno-spożywczego. Na </w:t>
      </w:r>
      <w:r w:rsidRPr="00652ACD">
        <w:rPr>
          <w:color w:val="000000" w:themeColor="text1"/>
          <w:sz w:val="24"/>
        </w:rPr>
        <w:t>obszarze województwa dolnośląsk</w:t>
      </w:r>
      <w:r w:rsidR="000F5700" w:rsidRPr="00652ACD">
        <w:rPr>
          <w:color w:val="000000" w:themeColor="text1"/>
          <w:sz w:val="24"/>
        </w:rPr>
        <w:t xml:space="preserve">iego w 2020 roku funkcjonowały </w:t>
      </w:r>
      <w:r w:rsidRPr="00652ACD">
        <w:rPr>
          <w:color w:val="000000" w:themeColor="text1"/>
          <w:sz w:val="24"/>
        </w:rPr>
        <w:t>23 czynne składowiska odpadów z instalacją odgazowywania, które mogą być potencjalnym źródłem biogazu. Teren WrOF w przewarzającej części jest obszarem rolniczym i leśnym</w:t>
      </w:r>
      <w:r w:rsidR="00D94C7A" w:rsidRPr="00652ACD">
        <w:rPr>
          <w:color w:val="000000" w:themeColor="text1"/>
          <w:sz w:val="24"/>
        </w:rPr>
        <w:t>,</w:t>
      </w:r>
      <w:r w:rsidRPr="00652ACD">
        <w:rPr>
          <w:color w:val="000000" w:themeColor="text1"/>
          <w:sz w:val="24"/>
        </w:rPr>
        <w:t xml:space="preserve"> dlatego też  charakteryzuje się dużym potencjałem do pozyskania biomasy, która może być wykorzystana w celach energetycznych na wiele sposobów. </w:t>
      </w:r>
      <w:r w:rsidR="0091181E" w:rsidRPr="00652ACD">
        <w:rPr>
          <w:color w:val="000000" w:themeColor="text1"/>
          <w:sz w:val="24"/>
        </w:rPr>
        <w:t xml:space="preserve">Dlatego też należy wspierać inwestycje związane z budową </w:t>
      </w:r>
      <w:proofErr w:type="spellStart"/>
      <w:r w:rsidR="0091181E" w:rsidRPr="00652ACD">
        <w:rPr>
          <w:color w:val="000000" w:themeColor="text1"/>
          <w:sz w:val="24"/>
        </w:rPr>
        <w:t>biogazowni</w:t>
      </w:r>
      <w:proofErr w:type="spellEnd"/>
      <w:r w:rsidR="0091181E" w:rsidRPr="00652ACD">
        <w:rPr>
          <w:color w:val="000000" w:themeColor="text1"/>
          <w:sz w:val="24"/>
        </w:rPr>
        <w:t xml:space="preserve"> wraz z magazynami biogazu </w:t>
      </w:r>
      <w:r w:rsidR="00C5387A" w:rsidRPr="00652ACD">
        <w:rPr>
          <w:color w:val="000000" w:themeColor="text1"/>
          <w:sz w:val="24"/>
        </w:rPr>
        <w:t>oraz</w:t>
      </w:r>
      <w:r w:rsidR="0091181E" w:rsidRPr="00652ACD">
        <w:rPr>
          <w:color w:val="000000" w:themeColor="text1"/>
          <w:sz w:val="24"/>
        </w:rPr>
        <w:t xml:space="preserve"> niezbędną infrastrukturą</w:t>
      </w:r>
      <w:r w:rsidR="00D94C7A" w:rsidRPr="00652ACD">
        <w:rPr>
          <w:color w:val="000000" w:themeColor="text1"/>
          <w:sz w:val="24"/>
        </w:rPr>
        <w:t>,</w:t>
      </w:r>
      <w:r w:rsidR="001D1207">
        <w:rPr>
          <w:color w:val="000000" w:themeColor="text1"/>
          <w:sz w:val="24"/>
        </w:rPr>
        <w:t xml:space="preserve"> w </w:t>
      </w:r>
      <w:r w:rsidR="0091181E" w:rsidRPr="00652ACD">
        <w:rPr>
          <w:color w:val="000000" w:themeColor="text1"/>
          <w:sz w:val="24"/>
        </w:rPr>
        <w:t xml:space="preserve">tym sieci energetyczne i cieplne. </w:t>
      </w:r>
    </w:p>
    <w:p w:rsidR="000178B1" w:rsidRPr="00652ACD" w:rsidRDefault="000178B1" w:rsidP="00652ACD">
      <w:pPr>
        <w:spacing w:before="240" w:after="0"/>
        <w:jc w:val="left"/>
        <w:rPr>
          <w:rFonts w:cs="Calibri"/>
          <w:b/>
          <w:color w:val="000000" w:themeColor="text1"/>
          <w:sz w:val="24"/>
        </w:rPr>
      </w:pPr>
      <w:r w:rsidRPr="00652ACD">
        <w:rPr>
          <w:rFonts w:cs="Calibri"/>
          <w:b/>
          <w:color w:val="000000" w:themeColor="text1"/>
          <w:sz w:val="24"/>
        </w:rPr>
        <w:t>Energia wiatru</w:t>
      </w:r>
    </w:p>
    <w:p w:rsidR="000178B1" w:rsidRPr="00652ACD" w:rsidRDefault="000178B1" w:rsidP="00652ACD">
      <w:pPr>
        <w:jc w:val="left"/>
        <w:rPr>
          <w:rFonts w:cs="Arial"/>
          <w:color w:val="000000" w:themeColor="text1"/>
          <w:sz w:val="24"/>
          <w:lang w:eastAsia="pl-PL"/>
        </w:rPr>
      </w:pPr>
      <w:r w:rsidRPr="00652ACD">
        <w:rPr>
          <w:rFonts w:cs="Arial"/>
          <w:color w:val="000000" w:themeColor="text1"/>
          <w:sz w:val="24"/>
          <w:lang w:eastAsia="pl-PL"/>
        </w:rPr>
        <w:t>Energię wiatru stanowi energia kinetyczna przemieszczających się mas powietrza wykorzystywana do produkcji energii elektrycznej w </w:t>
      </w:r>
      <w:r w:rsidR="001D1207">
        <w:rPr>
          <w:rFonts w:cs="Arial"/>
          <w:color w:val="000000" w:themeColor="text1"/>
          <w:sz w:val="24"/>
          <w:lang w:eastAsia="pl-PL"/>
        </w:rPr>
        <w:t>turbinach wiatrowych. Zgodnie z </w:t>
      </w:r>
      <w:r w:rsidRPr="00652ACD">
        <w:rPr>
          <w:rFonts w:cs="Arial"/>
          <w:color w:val="000000" w:themeColor="text1"/>
          <w:sz w:val="24"/>
          <w:lang w:eastAsia="pl-PL"/>
        </w:rPr>
        <w:t>podziałem wprowadzonym przez Ośrodek Meteo</w:t>
      </w:r>
      <w:r w:rsidR="001D1207">
        <w:rPr>
          <w:rFonts w:cs="Arial"/>
          <w:color w:val="000000" w:themeColor="text1"/>
          <w:sz w:val="24"/>
          <w:lang w:eastAsia="pl-PL"/>
        </w:rPr>
        <w:t>rologii IMGW, teren WrOF leży w </w:t>
      </w:r>
      <w:r w:rsidRPr="00652ACD">
        <w:rPr>
          <w:rFonts w:cs="Arial"/>
          <w:color w:val="000000" w:themeColor="text1"/>
          <w:sz w:val="24"/>
          <w:lang w:eastAsia="pl-PL"/>
        </w:rPr>
        <w:t>korzystnej strefie energetycznej warunków wiatrowych.</w:t>
      </w:r>
    </w:p>
    <w:p w:rsidR="000178B1" w:rsidRPr="00652ACD" w:rsidRDefault="000178B1" w:rsidP="00652ACD">
      <w:pPr>
        <w:tabs>
          <w:tab w:val="left" w:pos="2408"/>
        </w:tabs>
        <w:jc w:val="left"/>
        <w:rPr>
          <w:color w:val="000000" w:themeColor="text1"/>
          <w:sz w:val="24"/>
        </w:rPr>
      </w:pPr>
      <w:r w:rsidRPr="00652ACD">
        <w:rPr>
          <w:color w:val="000000" w:themeColor="text1"/>
          <w:sz w:val="24"/>
        </w:rPr>
        <w:t>Na terenie miasta Wrocławia istnieją prywatne wiatraki o wysokości poniżej 30 m, które nie stanowią istotnego źródła zaopatrzenia w energię dla mieszkańców miasta, brak jednak farm wiatrowych, których funkcjonowanie wymagałaby uzyskania decyzji o środowiskowych uwarunkowaniach realizacji przedsięwzięcia. Ograniczeniem rozwoju energii wiatrowej jest gęsta zabudowa miasta – farmy mogą powstać w ściśle określonej odległości od zabudowań, stąd w miastach ich lokalizacja jest niemożliwa</w:t>
      </w:r>
      <w:r w:rsidRPr="00652ACD">
        <w:rPr>
          <w:rStyle w:val="Odwoanieprzypisudolnego"/>
          <w:color w:val="000000" w:themeColor="text1"/>
          <w:sz w:val="24"/>
        </w:rPr>
        <w:footnoteReference w:id="73"/>
      </w:r>
      <w:r w:rsidRPr="00652ACD">
        <w:rPr>
          <w:color w:val="000000" w:themeColor="text1"/>
          <w:sz w:val="24"/>
        </w:rPr>
        <w:t xml:space="preserve">. </w:t>
      </w:r>
    </w:p>
    <w:p w:rsidR="000178B1" w:rsidRPr="00652ACD" w:rsidRDefault="000178B1" w:rsidP="00652ACD">
      <w:pPr>
        <w:tabs>
          <w:tab w:val="left" w:pos="2408"/>
        </w:tabs>
        <w:jc w:val="left"/>
        <w:rPr>
          <w:color w:val="000000" w:themeColor="text1"/>
          <w:sz w:val="24"/>
        </w:rPr>
      </w:pPr>
      <w:r w:rsidRPr="00652ACD">
        <w:rPr>
          <w:color w:val="000000" w:themeColor="text1"/>
          <w:sz w:val="24"/>
        </w:rPr>
        <w:t xml:space="preserve">Na terenie Oławy (gmina wiejska) od 2012 roku funkcjonuje Energetyczny Klaster Oławski Eko. W ramach </w:t>
      </w:r>
      <w:r w:rsidR="00E82203" w:rsidRPr="00652ACD">
        <w:rPr>
          <w:color w:val="000000" w:themeColor="text1"/>
          <w:sz w:val="24"/>
        </w:rPr>
        <w:t xml:space="preserve">działalności </w:t>
      </w:r>
      <w:r w:rsidRPr="00652ACD">
        <w:rPr>
          <w:color w:val="000000" w:themeColor="text1"/>
          <w:sz w:val="24"/>
        </w:rPr>
        <w:t xml:space="preserve">Klastra zlokalizowanych jest 10 turbin wiatrowych o łącznej mocy zainstalowanej przekraczającej 25 MW. W trakcie realizacji jest inwestycja w system AHE (Agro Hydro </w:t>
      </w:r>
      <w:proofErr w:type="spellStart"/>
      <w:r w:rsidRPr="00652ACD">
        <w:rPr>
          <w:color w:val="000000" w:themeColor="text1"/>
          <w:sz w:val="24"/>
        </w:rPr>
        <w:t>Energy</w:t>
      </w:r>
      <w:proofErr w:type="spellEnd"/>
      <w:r w:rsidRPr="00652ACD">
        <w:rPr>
          <w:color w:val="000000" w:themeColor="text1"/>
          <w:sz w:val="24"/>
        </w:rPr>
        <w:t xml:space="preserve">) o mocy 6 MW. </w:t>
      </w:r>
      <w:r w:rsidR="00E82203" w:rsidRPr="00652ACD">
        <w:rPr>
          <w:color w:val="000000" w:themeColor="text1"/>
          <w:sz w:val="24"/>
        </w:rPr>
        <w:t>Energetyczny Klaster Oławski Eko</w:t>
      </w:r>
      <w:r w:rsidR="00D94C7A" w:rsidRPr="00652ACD">
        <w:rPr>
          <w:color w:val="000000" w:themeColor="text1"/>
          <w:sz w:val="24"/>
        </w:rPr>
        <w:t xml:space="preserve"> </w:t>
      </w:r>
      <w:r w:rsidRPr="00652ACD">
        <w:rPr>
          <w:color w:val="000000" w:themeColor="text1"/>
          <w:sz w:val="24"/>
        </w:rPr>
        <w:t>zrealizował także pierwszą w Polsce komercyjną inwestycję w wielkoskalowe bateryjne magazyny energii. Zainstalowa</w:t>
      </w:r>
      <w:r w:rsidR="00E82203" w:rsidRPr="00652ACD">
        <w:rPr>
          <w:color w:val="000000" w:themeColor="text1"/>
          <w:sz w:val="24"/>
        </w:rPr>
        <w:t>no tam</w:t>
      </w:r>
      <w:r w:rsidRPr="00652ACD">
        <w:rPr>
          <w:color w:val="000000" w:themeColor="text1"/>
          <w:sz w:val="24"/>
        </w:rPr>
        <w:t xml:space="preserve">4 magazyny </w:t>
      </w:r>
      <w:proofErr w:type="spellStart"/>
      <w:r w:rsidRPr="00652ACD">
        <w:rPr>
          <w:color w:val="000000" w:themeColor="text1"/>
          <w:sz w:val="24"/>
        </w:rPr>
        <w:t>litowo</w:t>
      </w:r>
      <w:proofErr w:type="spellEnd"/>
      <w:r w:rsidRPr="00652ACD">
        <w:rPr>
          <w:color w:val="000000" w:themeColor="text1"/>
          <w:sz w:val="24"/>
        </w:rPr>
        <w:t xml:space="preserve">-jonowe, każdy o mocy 1,5 MW i pojemności 3 </w:t>
      </w:r>
      <w:proofErr w:type="spellStart"/>
      <w:r w:rsidRPr="00652ACD">
        <w:rPr>
          <w:color w:val="000000" w:themeColor="text1"/>
          <w:sz w:val="24"/>
        </w:rPr>
        <w:t>MWh</w:t>
      </w:r>
      <w:proofErr w:type="spellEnd"/>
      <w:r w:rsidRPr="00652ACD">
        <w:rPr>
          <w:rStyle w:val="Odwoanieprzypisudolnego"/>
          <w:color w:val="000000" w:themeColor="text1"/>
          <w:sz w:val="24"/>
        </w:rPr>
        <w:footnoteReference w:id="74"/>
      </w:r>
      <w:r w:rsidRPr="00652ACD">
        <w:rPr>
          <w:color w:val="000000" w:themeColor="text1"/>
          <w:sz w:val="24"/>
        </w:rPr>
        <w:t>.</w:t>
      </w:r>
    </w:p>
    <w:p w:rsidR="005472A9" w:rsidRPr="00652ACD" w:rsidRDefault="005472A9" w:rsidP="00652ACD">
      <w:pPr>
        <w:tabs>
          <w:tab w:val="left" w:pos="2408"/>
        </w:tabs>
        <w:jc w:val="left"/>
        <w:rPr>
          <w:color w:val="000000" w:themeColor="text1"/>
          <w:sz w:val="24"/>
        </w:rPr>
      </w:pPr>
      <w:r w:rsidRPr="00652ACD">
        <w:rPr>
          <w:color w:val="000000" w:themeColor="text1"/>
          <w:sz w:val="24"/>
        </w:rPr>
        <w:t>W roku 2018 Spółki Grupy ESV we współpracy z Gminą Siechnice oraz jej spółkami komunalnymi powołały do życia Klaster Energii Siechnice, który ma w oparciu o sieci energetyczne ESV realizować projekty w obszarze rozbudowy OZE.</w:t>
      </w:r>
    </w:p>
    <w:p w:rsidR="000178B1" w:rsidRPr="00652ACD" w:rsidRDefault="000178B1" w:rsidP="00652ACD">
      <w:pPr>
        <w:tabs>
          <w:tab w:val="left" w:pos="2408"/>
        </w:tabs>
        <w:jc w:val="left"/>
        <w:rPr>
          <w:color w:val="000000" w:themeColor="text1"/>
          <w:sz w:val="24"/>
        </w:rPr>
      </w:pPr>
      <w:r w:rsidRPr="00652ACD">
        <w:rPr>
          <w:color w:val="000000" w:themeColor="text1"/>
          <w:sz w:val="24"/>
        </w:rPr>
        <w:t>Kluczowe ograniczenia w rozwoju klastrów energii dotyczą aktualnie zagadnień formalno-prawnych i finansowych, w szczególności ograniczeń w obowiązujących przepisach i braku odpowiednich regulacji, a także narzędzi finansowych służących wsparciu inicjatyw podejmowanych przez klastry. Rekomendacje dla rozwoju klastrów energii dotyczą zarówno zmian w obowiązujących aktach legislacyjnych, jak i wdrożenia spójnego oraz efektywnego systemu wsparcia finansowego, które skutecznie pobudziłyby rozwój inicjatyw klastrowych. Większość rekomendacji skierowana jest do organów na poziomie krajowym, odpowiedzia</w:t>
      </w:r>
      <w:r w:rsidR="007136C6" w:rsidRPr="00652ACD">
        <w:rPr>
          <w:color w:val="000000" w:themeColor="text1"/>
          <w:sz w:val="24"/>
        </w:rPr>
        <w:t>l</w:t>
      </w:r>
      <w:r w:rsidRPr="00652ACD">
        <w:rPr>
          <w:color w:val="000000" w:themeColor="text1"/>
          <w:sz w:val="24"/>
        </w:rPr>
        <w:t>nych za formułowanie aktów prawnych</w:t>
      </w:r>
      <w:r w:rsidRPr="00652ACD">
        <w:rPr>
          <w:rStyle w:val="Odwoanieprzypisudolnego"/>
          <w:color w:val="000000" w:themeColor="text1"/>
          <w:sz w:val="24"/>
        </w:rPr>
        <w:footnoteReference w:id="75"/>
      </w:r>
      <w:r w:rsidRPr="00652ACD">
        <w:rPr>
          <w:color w:val="000000" w:themeColor="text1"/>
          <w:sz w:val="24"/>
        </w:rPr>
        <w:t xml:space="preserve">. </w:t>
      </w:r>
    </w:p>
    <w:p w:rsidR="000178B1" w:rsidRPr="00652ACD" w:rsidRDefault="000178B1" w:rsidP="00652ACD">
      <w:pPr>
        <w:tabs>
          <w:tab w:val="left" w:pos="2408"/>
        </w:tabs>
        <w:jc w:val="left"/>
        <w:rPr>
          <w:color w:val="000000" w:themeColor="text1"/>
          <w:sz w:val="24"/>
        </w:rPr>
      </w:pPr>
      <w:r w:rsidRPr="00652ACD">
        <w:rPr>
          <w:color w:val="000000" w:themeColor="text1"/>
          <w:sz w:val="24"/>
          <w:lang w:eastAsia="pl-PL"/>
        </w:rPr>
        <w:t xml:space="preserve">Zauważa się iż na terenie WrOF brak jest obszarów pod lokalizację elektrowni wiatrowych zgodnie z </w:t>
      </w:r>
      <w:r w:rsidR="005D6669" w:rsidRPr="00652ACD">
        <w:rPr>
          <w:color w:val="000000" w:themeColor="text1"/>
          <w:sz w:val="24"/>
          <w:lang w:eastAsia="pl-PL"/>
        </w:rPr>
        <w:t xml:space="preserve">obowiązującą obecnie </w:t>
      </w:r>
      <w:r w:rsidRPr="00652ACD">
        <w:rPr>
          <w:color w:val="000000" w:themeColor="text1"/>
          <w:sz w:val="24"/>
          <w:lang w:eastAsia="pl-PL"/>
        </w:rPr>
        <w:t>ustawową zasadą 10H, przy uwzględnieniu odległości 2 000 m od zabudowy oraz obszarów chronionych. Natomiast, licznie występują obszary pod lokalizację elektrowni wiatrowych przy uwzględnieniu</w:t>
      </w:r>
      <w:r w:rsidR="001D1207">
        <w:rPr>
          <w:color w:val="000000" w:themeColor="text1"/>
          <w:sz w:val="24"/>
          <w:lang w:eastAsia="pl-PL"/>
        </w:rPr>
        <w:t xml:space="preserve"> odległości 500 m od zabudowy i </w:t>
      </w:r>
      <w:r w:rsidRPr="00652ACD">
        <w:rPr>
          <w:color w:val="000000" w:themeColor="text1"/>
          <w:sz w:val="24"/>
          <w:lang w:eastAsia="pl-PL"/>
        </w:rPr>
        <w:t>przyrodniczych obszarów chronionych. Oznacza to, że na tych obszarach możliwe jest zastosowanie turbin wiatrowych o maksymalnej wysokości 50 m.</w:t>
      </w:r>
      <w:r w:rsidR="00D94C7A" w:rsidRPr="00652ACD">
        <w:rPr>
          <w:color w:val="000000" w:themeColor="text1"/>
          <w:sz w:val="24"/>
          <w:lang w:eastAsia="pl-PL"/>
        </w:rPr>
        <w:t xml:space="preserve"> </w:t>
      </w:r>
      <w:r w:rsidR="008F742B" w:rsidRPr="00652ACD">
        <w:rPr>
          <w:color w:val="000000" w:themeColor="text1"/>
          <w:sz w:val="24"/>
          <w:lang w:eastAsia="pl-PL"/>
        </w:rPr>
        <w:t>R</w:t>
      </w:r>
      <w:r w:rsidR="0091181E" w:rsidRPr="00652ACD">
        <w:rPr>
          <w:color w:val="000000" w:themeColor="text1"/>
          <w:sz w:val="24"/>
          <w:lang w:eastAsia="pl-PL"/>
        </w:rPr>
        <w:t>ealizacj</w:t>
      </w:r>
      <w:r w:rsidR="008F742B" w:rsidRPr="00652ACD">
        <w:rPr>
          <w:color w:val="000000" w:themeColor="text1"/>
          <w:sz w:val="24"/>
          <w:lang w:eastAsia="pl-PL"/>
        </w:rPr>
        <w:t>a</w:t>
      </w:r>
      <w:r w:rsidR="0091181E" w:rsidRPr="00652ACD">
        <w:rPr>
          <w:color w:val="000000" w:themeColor="text1"/>
          <w:sz w:val="24"/>
          <w:lang w:eastAsia="pl-PL"/>
        </w:rPr>
        <w:t xml:space="preserve"> projektów związanych z </w:t>
      </w:r>
      <w:r w:rsidR="00D94C7A" w:rsidRPr="00652ACD">
        <w:rPr>
          <w:color w:val="000000" w:themeColor="text1"/>
          <w:sz w:val="24"/>
          <w:lang w:eastAsia="pl-PL"/>
        </w:rPr>
        <w:t>budową elektrowni siłowych na </w:t>
      </w:r>
      <w:r w:rsidR="008F742B" w:rsidRPr="00652ACD">
        <w:rPr>
          <w:color w:val="000000" w:themeColor="text1"/>
          <w:sz w:val="24"/>
          <w:lang w:eastAsia="pl-PL"/>
        </w:rPr>
        <w:t xml:space="preserve">obszarze WrOF jest </w:t>
      </w:r>
      <w:r w:rsidR="003F098B" w:rsidRPr="00652ACD">
        <w:rPr>
          <w:color w:val="000000" w:themeColor="text1"/>
          <w:sz w:val="24"/>
          <w:lang w:eastAsia="pl-PL"/>
        </w:rPr>
        <w:t>wskazana jednakże ze względu na obecnie obowiązujące uwarunkowania prawne niemożliwa. Z chwilą wprowadzenia zmian należy kontynuować rozwój energetyki wiatrowej.</w:t>
      </w:r>
    </w:p>
    <w:p w:rsidR="00652ACD" w:rsidRDefault="00652ACD" w:rsidP="00652ACD">
      <w:pPr>
        <w:spacing w:before="240" w:after="0"/>
        <w:jc w:val="left"/>
        <w:rPr>
          <w:rFonts w:cstheme="minorHAnsi"/>
          <w:b/>
          <w:color w:val="000000" w:themeColor="text1"/>
          <w:sz w:val="24"/>
        </w:rPr>
      </w:pPr>
      <w:r>
        <w:rPr>
          <w:rFonts w:cstheme="minorHAnsi"/>
          <w:b/>
          <w:color w:val="000000" w:themeColor="text1"/>
          <w:sz w:val="24"/>
        </w:rPr>
        <w:br w:type="page"/>
      </w:r>
    </w:p>
    <w:p w:rsidR="000178B1" w:rsidRPr="00652ACD" w:rsidRDefault="000178B1" w:rsidP="00652ACD">
      <w:pPr>
        <w:spacing w:before="240" w:after="0"/>
        <w:jc w:val="left"/>
        <w:rPr>
          <w:rFonts w:cstheme="minorHAnsi"/>
          <w:b/>
          <w:color w:val="000000" w:themeColor="text1"/>
          <w:sz w:val="24"/>
        </w:rPr>
      </w:pPr>
      <w:r w:rsidRPr="00652ACD">
        <w:rPr>
          <w:rFonts w:cstheme="minorHAnsi"/>
          <w:b/>
          <w:color w:val="000000" w:themeColor="text1"/>
          <w:sz w:val="24"/>
        </w:rPr>
        <w:t>Energia geotermalna</w:t>
      </w:r>
    </w:p>
    <w:p w:rsidR="000178B1" w:rsidRPr="00652ACD" w:rsidRDefault="000178B1" w:rsidP="00652ACD">
      <w:pPr>
        <w:jc w:val="left"/>
        <w:rPr>
          <w:rFonts w:cs="Arial"/>
          <w:color w:val="000000" w:themeColor="text1"/>
          <w:sz w:val="24"/>
          <w:lang w:eastAsia="pl-PL"/>
        </w:rPr>
      </w:pPr>
      <w:r w:rsidRPr="00652ACD">
        <w:rPr>
          <w:rFonts w:cs="Arial"/>
          <w:color w:val="000000" w:themeColor="text1"/>
          <w:sz w:val="24"/>
          <w:lang w:eastAsia="pl-PL"/>
        </w:rPr>
        <w:t>Energia geotermalna to energia cieplna pozyskiwana z głębi ziemi i stosowana głównie w celach grzewczych. Powszechność występowania, odnawialność oraz brak zależności od zmieniających się warunków klimatycznych są jej niewątpliwymi zaletami.</w:t>
      </w:r>
    </w:p>
    <w:p w:rsidR="000178B1" w:rsidRPr="00652ACD" w:rsidRDefault="000178B1" w:rsidP="00652ACD">
      <w:pPr>
        <w:jc w:val="left"/>
        <w:rPr>
          <w:rFonts w:cs="Arial"/>
          <w:color w:val="000000" w:themeColor="text1"/>
          <w:sz w:val="24"/>
          <w:lang w:eastAsia="pl-PL"/>
        </w:rPr>
      </w:pPr>
      <w:r w:rsidRPr="00652ACD">
        <w:rPr>
          <w:rFonts w:cs="Arial"/>
          <w:color w:val="000000" w:themeColor="text1"/>
          <w:sz w:val="24"/>
          <w:lang w:eastAsia="pl-PL"/>
        </w:rPr>
        <w:t>Średnie temperatury gruntu 2 000 m </w:t>
      </w:r>
      <w:r w:rsidR="00362096" w:rsidRPr="00652ACD">
        <w:rPr>
          <w:rFonts w:cs="Arial"/>
          <w:color w:val="000000" w:themeColor="text1"/>
          <w:sz w:val="24"/>
          <w:lang w:eastAsia="pl-PL"/>
        </w:rPr>
        <w:t>p</w:t>
      </w:r>
      <w:r w:rsidRPr="00652ACD">
        <w:rPr>
          <w:rFonts w:cs="Arial"/>
          <w:color w:val="000000" w:themeColor="text1"/>
          <w:sz w:val="24"/>
          <w:lang w:eastAsia="pl-PL"/>
        </w:rPr>
        <w:t>p.t. w rejonie WrOF kształtują się na poziomie 60-80</w:t>
      </w:r>
      <w:r w:rsidRPr="00652ACD">
        <w:rPr>
          <w:rFonts w:cs="Arial"/>
          <w:color w:val="000000" w:themeColor="text1"/>
          <w:sz w:val="24"/>
          <w:vertAlign w:val="superscript"/>
          <w:lang w:eastAsia="pl-PL"/>
        </w:rPr>
        <w:t>o</w:t>
      </w:r>
      <w:r w:rsidRPr="00652ACD">
        <w:rPr>
          <w:rFonts w:cs="Arial"/>
          <w:color w:val="000000" w:themeColor="text1"/>
          <w:sz w:val="24"/>
          <w:lang w:eastAsia="pl-PL"/>
        </w:rPr>
        <w:t>C. Wartości takie są perspektywiczne pod względem wykorzystania do ogrzewania niskotemperaturowego, rekreacji i balneoterapii. Temperatury rosną w kierunku północnym, w stronę rejonów Poznania, Turka oraz Koła i Konina. Ponadto w ramach programu priorytetowego „Udostępnianie wód termalnych w Pols</w:t>
      </w:r>
      <w:r w:rsidR="001D1207">
        <w:rPr>
          <w:rFonts w:cs="Arial"/>
          <w:color w:val="000000" w:themeColor="text1"/>
          <w:sz w:val="24"/>
          <w:lang w:eastAsia="pl-PL"/>
        </w:rPr>
        <w:t xml:space="preserve">ce” </w:t>
      </w:r>
      <w:proofErr w:type="spellStart"/>
      <w:r w:rsidR="001D1207">
        <w:rPr>
          <w:rFonts w:cs="Arial"/>
          <w:color w:val="000000" w:themeColor="text1"/>
          <w:sz w:val="24"/>
          <w:lang w:eastAsia="pl-PL"/>
        </w:rPr>
        <w:t>NFOŚiGW</w:t>
      </w:r>
      <w:proofErr w:type="spellEnd"/>
      <w:r w:rsidR="001D1207">
        <w:rPr>
          <w:rFonts w:cs="Arial"/>
          <w:color w:val="000000" w:themeColor="text1"/>
          <w:sz w:val="24"/>
          <w:lang w:eastAsia="pl-PL"/>
        </w:rPr>
        <w:t xml:space="preserve"> udzielił dotacji na </w:t>
      </w:r>
      <w:r w:rsidRPr="00652ACD">
        <w:rPr>
          <w:rFonts w:cs="Arial"/>
          <w:color w:val="000000" w:themeColor="text1"/>
          <w:sz w:val="24"/>
          <w:lang w:eastAsia="pl-PL"/>
        </w:rPr>
        <w:t>poszukiwanie i rozpoznanie złóż wód geotermalnych na terenie Oławy (miasto) oraz gminy Trzebnica. W ramach realizacji zadania ma</w:t>
      </w:r>
      <w:r w:rsidR="005D6669" w:rsidRPr="00652ACD">
        <w:rPr>
          <w:rFonts w:cs="Arial"/>
          <w:color w:val="000000" w:themeColor="text1"/>
          <w:sz w:val="24"/>
          <w:lang w:eastAsia="pl-PL"/>
        </w:rPr>
        <w:t>ją</w:t>
      </w:r>
      <w:r w:rsidRPr="00652ACD">
        <w:rPr>
          <w:rFonts w:cs="Arial"/>
          <w:color w:val="000000" w:themeColor="text1"/>
          <w:sz w:val="24"/>
          <w:lang w:eastAsia="pl-PL"/>
        </w:rPr>
        <w:t xml:space="preserve"> zostać </w:t>
      </w:r>
      <w:r w:rsidR="005D6669" w:rsidRPr="00652ACD">
        <w:rPr>
          <w:rFonts w:cs="Arial"/>
          <w:color w:val="000000" w:themeColor="text1"/>
          <w:sz w:val="24"/>
          <w:lang w:eastAsia="pl-PL"/>
        </w:rPr>
        <w:t xml:space="preserve">wykonane </w:t>
      </w:r>
      <w:r w:rsidRPr="00652ACD">
        <w:rPr>
          <w:rFonts w:cs="Arial"/>
          <w:color w:val="000000" w:themeColor="text1"/>
          <w:sz w:val="24"/>
          <w:lang w:eastAsia="pl-PL"/>
        </w:rPr>
        <w:t>odwiert</w:t>
      </w:r>
      <w:r w:rsidR="005D6669" w:rsidRPr="00652ACD">
        <w:rPr>
          <w:rFonts w:cs="Arial"/>
          <w:color w:val="000000" w:themeColor="text1"/>
          <w:sz w:val="24"/>
          <w:lang w:eastAsia="pl-PL"/>
        </w:rPr>
        <w:t>y</w:t>
      </w:r>
      <w:r w:rsidRPr="00652ACD">
        <w:rPr>
          <w:rFonts w:cs="Arial"/>
          <w:color w:val="000000" w:themeColor="text1"/>
          <w:sz w:val="24"/>
          <w:lang w:eastAsia="pl-PL"/>
        </w:rPr>
        <w:t xml:space="preserve"> badawczo-eksploatacyjn</w:t>
      </w:r>
      <w:r w:rsidR="00D41A57" w:rsidRPr="00652ACD">
        <w:rPr>
          <w:rFonts w:cs="Arial"/>
          <w:color w:val="000000" w:themeColor="text1"/>
          <w:sz w:val="24"/>
          <w:lang w:eastAsia="pl-PL"/>
        </w:rPr>
        <w:t>e</w:t>
      </w:r>
      <w:r w:rsidRPr="00652ACD">
        <w:rPr>
          <w:rFonts w:cs="Arial"/>
          <w:color w:val="000000" w:themeColor="text1"/>
          <w:sz w:val="24"/>
          <w:lang w:eastAsia="pl-PL"/>
        </w:rPr>
        <w:t xml:space="preserve"> z możliwością przekształcenia </w:t>
      </w:r>
      <w:r w:rsidR="005D6669" w:rsidRPr="00652ACD">
        <w:rPr>
          <w:rFonts w:cs="Arial"/>
          <w:color w:val="000000" w:themeColor="text1"/>
          <w:sz w:val="24"/>
          <w:lang w:eastAsia="pl-PL"/>
        </w:rPr>
        <w:t>ich</w:t>
      </w:r>
      <w:r w:rsidRPr="00652ACD">
        <w:rPr>
          <w:rFonts w:cs="Arial"/>
          <w:color w:val="000000" w:themeColor="text1"/>
          <w:sz w:val="24"/>
          <w:lang w:eastAsia="pl-PL"/>
        </w:rPr>
        <w:t xml:space="preserve"> w</w:t>
      </w:r>
      <w:r w:rsidR="00362096" w:rsidRPr="00652ACD">
        <w:rPr>
          <w:rFonts w:cs="Arial"/>
          <w:color w:val="000000" w:themeColor="text1"/>
          <w:sz w:val="24"/>
          <w:lang w:eastAsia="pl-PL"/>
        </w:rPr>
        <w:t> </w:t>
      </w:r>
      <w:r w:rsidRPr="00652ACD">
        <w:rPr>
          <w:rFonts w:cs="Arial"/>
          <w:color w:val="000000" w:themeColor="text1"/>
          <w:sz w:val="24"/>
          <w:lang w:eastAsia="pl-PL"/>
        </w:rPr>
        <w:t>otw</w:t>
      </w:r>
      <w:r w:rsidR="005D6669" w:rsidRPr="00652ACD">
        <w:rPr>
          <w:rFonts w:cs="Arial"/>
          <w:color w:val="000000" w:themeColor="text1"/>
          <w:sz w:val="24"/>
          <w:lang w:eastAsia="pl-PL"/>
        </w:rPr>
        <w:t>ory</w:t>
      </w:r>
      <w:r w:rsidR="00D94C7A" w:rsidRPr="00652ACD">
        <w:rPr>
          <w:rFonts w:cs="Arial"/>
          <w:color w:val="000000" w:themeColor="text1"/>
          <w:sz w:val="24"/>
          <w:lang w:eastAsia="pl-PL"/>
        </w:rPr>
        <w:t xml:space="preserve"> </w:t>
      </w:r>
      <w:r w:rsidRPr="00652ACD">
        <w:rPr>
          <w:rFonts w:cs="Arial"/>
          <w:color w:val="000000" w:themeColor="text1"/>
          <w:sz w:val="24"/>
          <w:lang w:eastAsia="pl-PL"/>
        </w:rPr>
        <w:t>eksploatacyjn</w:t>
      </w:r>
      <w:r w:rsidR="005D6669" w:rsidRPr="00652ACD">
        <w:rPr>
          <w:rFonts w:cs="Arial"/>
          <w:color w:val="000000" w:themeColor="text1"/>
          <w:sz w:val="24"/>
          <w:lang w:eastAsia="pl-PL"/>
        </w:rPr>
        <w:t>e</w:t>
      </w:r>
      <w:r w:rsidRPr="00652ACD">
        <w:rPr>
          <w:rFonts w:cs="Arial"/>
          <w:color w:val="000000" w:themeColor="text1"/>
          <w:sz w:val="24"/>
          <w:lang w:eastAsia="pl-PL"/>
        </w:rPr>
        <w:t xml:space="preserve"> w przypadku pozytywnej oceny zasobów wód geotermalnych o parametrach umożliwiających ich energetyczne wykorzystanie. </w:t>
      </w:r>
    </w:p>
    <w:p w:rsidR="000178B1" w:rsidRDefault="000178B1" w:rsidP="00652ACD">
      <w:pPr>
        <w:jc w:val="left"/>
        <w:rPr>
          <w:rFonts w:cs="Arial"/>
          <w:lang w:eastAsia="pl-PL"/>
        </w:rPr>
      </w:pPr>
      <w:r w:rsidRPr="00652ACD">
        <w:rPr>
          <w:rFonts w:cs="Arial"/>
          <w:color w:val="000000" w:themeColor="text1"/>
          <w:sz w:val="24"/>
          <w:lang w:eastAsia="pl-PL"/>
        </w:rPr>
        <w:t>Na terenie WrOF</w:t>
      </w:r>
      <w:r w:rsidR="00D94C7A" w:rsidRPr="00652ACD">
        <w:rPr>
          <w:rFonts w:cs="Arial"/>
          <w:color w:val="000000" w:themeColor="text1"/>
          <w:sz w:val="24"/>
          <w:lang w:eastAsia="pl-PL"/>
        </w:rPr>
        <w:t xml:space="preserve"> </w:t>
      </w:r>
      <w:r w:rsidRPr="00652ACD">
        <w:rPr>
          <w:color w:val="000000" w:themeColor="text1"/>
          <w:sz w:val="24"/>
        </w:rPr>
        <w:t>istnieje potencjał wykorzystania ciepła zawartego we wnętrzu Ziemi</w:t>
      </w:r>
      <w:r w:rsidR="001D1207">
        <w:rPr>
          <w:rFonts w:cs="Arial"/>
          <w:color w:val="000000" w:themeColor="text1"/>
          <w:sz w:val="24"/>
          <w:lang w:eastAsia="pl-PL"/>
        </w:rPr>
        <w:t>. Na  </w:t>
      </w:r>
      <w:r w:rsidRPr="00652ACD">
        <w:rPr>
          <w:rFonts w:cs="Arial"/>
          <w:color w:val="000000" w:themeColor="text1"/>
          <w:sz w:val="24"/>
          <w:lang w:eastAsia="pl-PL"/>
        </w:rPr>
        <w:t>chwilę obecną wykorzystywany jest przez pompy ciepła dzięki wymiennikom gruntowym w obiektach użyteczności publicznej oraz w budynkach mieszkalnych.</w:t>
      </w:r>
      <w:r w:rsidR="008F742B" w:rsidRPr="00652ACD">
        <w:rPr>
          <w:rFonts w:cs="Arial"/>
          <w:color w:val="000000" w:themeColor="text1"/>
          <w:sz w:val="24"/>
          <w:lang w:eastAsia="pl-PL"/>
        </w:rPr>
        <w:t xml:space="preserve"> Należy prowadzić dalsze prace zmierzające do zwiększenia wykorzystania energii geotermalnej.</w:t>
      </w:r>
    </w:p>
    <w:p w:rsidR="000178B1" w:rsidRPr="00652ACD" w:rsidRDefault="000178B1" w:rsidP="00652ACD">
      <w:pPr>
        <w:spacing w:before="240" w:after="0"/>
        <w:jc w:val="left"/>
        <w:rPr>
          <w:rFonts w:cstheme="minorHAnsi"/>
          <w:b/>
          <w:color w:val="000000" w:themeColor="text1"/>
          <w:sz w:val="24"/>
        </w:rPr>
      </w:pPr>
      <w:r w:rsidRPr="00652ACD">
        <w:rPr>
          <w:rFonts w:cstheme="minorHAnsi"/>
          <w:b/>
          <w:color w:val="000000" w:themeColor="text1"/>
          <w:sz w:val="24"/>
        </w:rPr>
        <w:t>Energia słoneczna</w:t>
      </w:r>
    </w:p>
    <w:p w:rsidR="000178B1" w:rsidRPr="00652ACD" w:rsidRDefault="000178B1" w:rsidP="00652ACD">
      <w:pPr>
        <w:tabs>
          <w:tab w:val="left" w:pos="2408"/>
        </w:tabs>
        <w:jc w:val="left"/>
        <w:rPr>
          <w:rFonts w:cs="Arial"/>
          <w:color w:val="000000" w:themeColor="text1"/>
          <w:sz w:val="24"/>
          <w:lang w:eastAsia="pl-PL"/>
        </w:rPr>
      </w:pPr>
      <w:r w:rsidRPr="00652ACD">
        <w:rPr>
          <w:rFonts w:cs="Arial"/>
          <w:color w:val="000000" w:themeColor="text1"/>
          <w:sz w:val="24"/>
          <w:lang w:eastAsia="pl-PL"/>
        </w:rPr>
        <w:t>Energia promieniowania słonecznego wykorzystywana jest w dwojaki sposób: do produkcji energii elektrycznej bądź ciepła.</w:t>
      </w:r>
    </w:p>
    <w:p w:rsidR="000178B1" w:rsidRPr="00652ACD" w:rsidRDefault="000178B1" w:rsidP="00652ACD">
      <w:pPr>
        <w:jc w:val="left"/>
        <w:rPr>
          <w:color w:val="000000" w:themeColor="text1"/>
          <w:sz w:val="24"/>
          <w:lang w:eastAsia="pl-PL"/>
        </w:rPr>
      </w:pPr>
      <w:r w:rsidRPr="00652ACD">
        <w:rPr>
          <w:color w:val="000000" w:themeColor="text1"/>
          <w:sz w:val="24"/>
          <w:lang w:eastAsia="pl-PL"/>
        </w:rPr>
        <w:t>Zgodnie z mapą potencjału fotowoltaicznego zamieszczoną w Strategii Energetycznej Dolnego Śląska teren WrOF ma bardzo dobry potencjał do wykorzystania tego rodzaju OZE. Jedyne wyłączenia stanowią obszary cenne przyrodniczo, obszary chronionego krajobrazu oraz tereny wyłączone w ramach Planu zagospodarowania przestrzennego województwa dolnośląskiego.</w:t>
      </w:r>
    </w:p>
    <w:p w:rsidR="000178B1" w:rsidRPr="00652ACD" w:rsidRDefault="000178B1" w:rsidP="00652ACD">
      <w:pPr>
        <w:tabs>
          <w:tab w:val="left" w:pos="2408"/>
        </w:tabs>
        <w:jc w:val="left"/>
        <w:rPr>
          <w:color w:val="000000" w:themeColor="text1"/>
          <w:sz w:val="24"/>
        </w:rPr>
      </w:pPr>
      <w:r w:rsidRPr="00652ACD">
        <w:rPr>
          <w:rFonts w:cs="Arial"/>
          <w:color w:val="000000" w:themeColor="text1"/>
          <w:sz w:val="24"/>
          <w:lang w:eastAsia="pl-PL"/>
        </w:rPr>
        <w:t>Na terenie WrOF energia słońca wykorzystywana</w:t>
      </w:r>
      <w:r w:rsidR="00E07789" w:rsidRPr="00652ACD">
        <w:rPr>
          <w:rFonts w:cs="Arial"/>
          <w:color w:val="000000" w:themeColor="text1"/>
          <w:sz w:val="24"/>
          <w:lang w:eastAsia="pl-PL"/>
        </w:rPr>
        <w:t xml:space="preserve"> jest głównie przez mieszkańców </w:t>
      </w:r>
      <w:r w:rsidRPr="00652ACD">
        <w:rPr>
          <w:rFonts w:cs="Arial"/>
          <w:color w:val="000000" w:themeColor="text1"/>
          <w:sz w:val="24"/>
          <w:lang w:eastAsia="pl-PL"/>
        </w:rPr>
        <w:t>w </w:t>
      </w:r>
      <w:proofErr w:type="spellStart"/>
      <w:r w:rsidRPr="00652ACD">
        <w:rPr>
          <w:rFonts w:cs="Arial"/>
          <w:color w:val="000000" w:themeColor="text1"/>
          <w:sz w:val="24"/>
          <w:lang w:eastAsia="pl-PL"/>
        </w:rPr>
        <w:t>mikroinstalacjach</w:t>
      </w:r>
      <w:proofErr w:type="spellEnd"/>
      <w:r w:rsidRPr="00652ACD">
        <w:rPr>
          <w:rFonts w:cs="Arial"/>
          <w:color w:val="000000" w:themeColor="text1"/>
          <w:sz w:val="24"/>
          <w:lang w:eastAsia="pl-PL"/>
        </w:rPr>
        <w:t xml:space="preserve">. </w:t>
      </w:r>
      <w:r w:rsidRPr="00652ACD">
        <w:rPr>
          <w:color w:val="000000" w:themeColor="text1"/>
          <w:sz w:val="24"/>
        </w:rPr>
        <w:t xml:space="preserve">Przykładem jest działająca od 2018 roku elektrownia słoneczna Spółdzielni Mieszkaniowej Wrocław-Południe. Funkcjonuje tu 2 771 paneli na 35 budynkach, osiągających łączną moc ponad 700 </w:t>
      </w:r>
      <w:proofErr w:type="spellStart"/>
      <w:r w:rsidRPr="00652ACD">
        <w:rPr>
          <w:color w:val="000000" w:themeColor="text1"/>
          <w:sz w:val="24"/>
        </w:rPr>
        <w:t>kWp</w:t>
      </w:r>
      <w:proofErr w:type="spellEnd"/>
      <w:r w:rsidRPr="00652ACD">
        <w:rPr>
          <w:rStyle w:val="Odwoanieprzypisudolnego"/>
          <w:color w:val="000000" w:themeColor="text1"/>
          <w:sz w:val="24"/>
        </w:rPr>
        <w:footnoteReference w:id="76"/>
      </w:r>
      <w:r w:rsidRPr="00652ACD">
        <w:rPr>
          <w:color w:val="000000" w:themeColor="text1"/>
          <w:sz w:val="24"/>
        </w:rPr>
        <w:t>.</w:t>
      </w:r>
      <w:r w:rsidR="00896807" w:rsidRPr="00652ACD">
        <w:rPr>
          <w:color w:val="000000" w:themeColor="text1"/>
          <w:sz w:val="24"/>
        </w:rPr>
        <w:t xml:space="preserve"> W </w:t>
      </w:r>
      <w:r w:rsidR="008F742B" w:rsidRPr="00652ACD">
        <w:rPr>
          <w:color w:val="000000" w:themeColor="text1"/>
          <w:sz w:val="24"/>
        </w:rPr>
        <w:t xml:space="preserve">dalszym ciągu zasadne jest wspierania inwestycji związanych z pozyskanie energii słonecznej zarówno przez gospodarstwa </w:t>
      </w:r>
      <w:r w:rsidR="008067BB" w:rsidRPr="00652ACD">
        <w:rPr>
          <w:color w:val="000000" w:themeColor="text1"/>
          <w:sz w:val="24"/>
        </w:rPr>
        <w:t>indywidualne jak i przedsiębior</w:t>
      </w:r>
      <w:r w:rsidR="008F742B" w:rsidRPr="00652ACD">
        <w:rPr>
          <w:color w:val="000000" w:themeColor="text1"/>
          <w:sz w:val="24"/>
        </w:rPr>
        <w:t>stwa.</w:t>
      </w:r>
    </w:p>
    <w:p w:rsidR="000178B1" w:rsidRPr="00652ACD" w:rsidRDefault="000178B1" w:rsidP="00652ACD">
      <w:pPr>
        <w:spacing w:before="240" w:after="0"/>
        <w:jc w:val="left"/>
        <w:rPr>
          <w:rFonts w:cstheme="minorHAnsi"/>
          <w:b/>
          <w:color w:val="000000" w:themeColor="text1"/>
          <w:sz w:val="24"/>
        </w:rPr>
      </w:pPr>
      <w:r w:rsidRPr="00652ACD">
        <w:rPr>
          <w:rFonts w:cstheme="minorHAnsi"/>
          <w:b/>
          <w:color w:val="000000" w:themeColor="text1"/>
          <w:sz w:val="24"/>
        </w:rPr>
        <w:t>Energia cieków wód powierzchniowych</w:t>
      </w:r>
    </w:p>
    <w:p w:rsidR="000178B1" w:rsidRPr="00652ACD" w:rsidRDefault="000178B1" w:rsidP="00652ACD">
      <w:pPr>
        <w:tabs>
          <w:tab w:val="left" w:pos="2408"/>
        </w:tabs>
        <w:jc w:val="left"/>
        <w:rPr>
          <w:rFonts w:cs="Calibri"/>
          <w:color w:val="000000" w:themeColor="text1"/>
          <w:sz w:val="24"/>
        </w:rPr>
      </w:pPr>
      <w:r w:rsidRPr="00652ACD">
        <w:rPr>
          <w:rFonts w:cs="Calibri"/>
          <w:color w:val="000000" w:themeColor="text1"/>
          <w:sz w:val="24"/>
        </w:rPr>
        <w:t xml:space="preserve">Potencjalna i kinetyczna energia cieków wód powierzchniowych wykorzystywana jest do wytwarzania energii w elektrowniach wodnych. Według danych z BDL GUS, w 2020 roku elektrownie wodne </w:t>
      </w:r>
      <w:r w:rsidRPr="00652ACD">
        <w:rPr>
          <w:rFonts w:cs="Calibri"/>
          <w:color w:val="000000" w:themeColor="text1"/>
          <w:sz w:val="24"/>
        </w:rPr>
        <w:br/>
        <w:t xml:space="preserve">na terenie województwa dolnośląskiego wyprodukowały 200,3 </w:t>
      </w:r>
      <w:proofErr w:type="spellStart"/>
      <w:r w:rsidRPr="00652ACD">
        <w:rPr>
          <w:rFonts w:cs="Calibri"/>
          <w:color w:val="000000" w:themeColor="text1"/>
          <w:sz w:val="24"/>
        </w:rPr>
        <w:t>GWh</w:t>
      </w:r>
      <w:proofErr w:type="spellEnd"/>
      <w:r w:rsidRPr="00652ACD">
        <w:rPr>
          <w:rFonts w:cs="Calibri"/>
          <w:color w:val="000000" w:themeColor="text1"/>
          <w:sz w:val="24"/>
        </w:rPr>
        <w:t>.</w:t>
      </w:r>
    </w:p>
    <w:p w:rsidR="00EA6270" w:rsidRPr="00652ACD" w:rsidRDefault="000178B1" w:rsidP="00652ACD">
      <w:pPr>
        <w:spacing w:afterLines="120" w:after="288"/>
        <w:jc w:val="left"/>
        <w:rPr>
          <w:rFonts w:cs="Calibri"/>
          <w:color w:val="000000" w:themeColor="text1"/>
          <w:sz w:val="24"/>
        </w:rPr>
      </w:pPr>
      <w:r w:rsidRPr="00652ACD">
        <w:rPr>
          <w:rFonts w:cs="Calibri"/>
          <w:color w:val="000000" w:themeColor="text1"/>
          <w:sz w:val="24"/>
        </w:rPr>
        <w:t xml:space="preserve">Potencjał energii wodnej zależy od ukształtowania terenu, ilości opadów oraz przepuszczalności gruntów. Opracowania dotyczące potencjału energetyki wodnej w rejonie Polski południowo-zachodniej sprowadzają się do przedstawienia obecnie funkcjonujących urządzeń. Potencjał Dolnego Śląska w zakresie energii wodnej szacowny jest na 8 </w:t>
      </w:r>
      <w:proofErr w:type="spellStart"/>
      <w:r w:rsidRPr="00652ACD">
        <w:rPr>
          <w:rFonts w:cs="Calibri"/>
          <w:color w:val="000000" w:themeColor="text1"/>
          <w:sz w:val="24"/>
        </w:rPr>
        <w:t>TWh</w:t>
      </w:r>
      <w:proofErr w:type="spellEnd"/>
      <w:r w:rsidRPr="00652ACD">
        <w:rPr>
          <w:rFonts w:cs="Calibri"/>
          <w:color w:val="000000" w:themeColor="text1"/>
          <w:sz w:val="24"/>
        </w:rPr>
        <w:t>/rok</w:t>
      </w:r>
      <w:r w:rsidRPr="00652ACD">
        <w:rPr>
          <w:rStyle w:val="Odwoanieprzypisudolnego"/>
          <w:rFonts w:cs="Calibri"/>
          <w:color w:val="000000" w:themeColor="text1"/>
          <w:sz w:val="24"/>
        </w:rPr>
        <w:footnoteReference w:id="77"/>
      </w:r>
      <w:r w:rsidRPr="00652ACD">
        <w:rPr>
          <w:rFonts w:cs="Calibri"/>
          <w:color w:val="000000" w:themeColor="text1"/>
          <w:sz w:val="24"/>
        </w:rPr>
        <w:t xml:space="preserve">. </w:t>
      </w:r>
    </w:p>
    <w:p w:rsidR="000178B1" w:rsidRPr="00652ACD" w:rsidRDefault="000178B1" w:rsidP="00652ACD">
      <w:pPr>
        <w:jc w:val="left"/>
        <w:rPr>
          <w:rFonts w:cs="Calibri"/>
          <w:color w:val="000000" w:themeColor="text1"/>
          <w:sz w:val="24"/>
        </w:rPr>
      </w:pPr>
      <w:r w:rsidRPr="00652ACD">
        <w:rPr>
          <w:rFonts w:cs="Calibri"/>
          <w:color w:val="000000" w:themeColor="text1"/>
          <w:sz w:val="24"/>
        </w:rPr>
        <w:t>Olbrzymi potencjał energetyczny posiada rzeka Odra, która w okresie całego roku generuje znaczne przepływy wody. Na terenie Wrocławia działa</w:t>
      </w:r>
      <w:r w:rsidR="005D6669" w:rsidRPr="00652ACD">
        <w:rPr>
          <w:rFonts w:cs="Calibri"/>
          <w:color w:val="000000" w:themeColor="text1"/>
          <w:sz w:val="24"/>
        </w:rPr>
        <w:t xml:space="preserve">ją </w:t>
      </w:r>
      <w:r w:rsidRPr="00652ACD">
        <w:rPr>
          <w:rFonts w:cs="Calibri"/>
          <w:color w:val="000000" w:themeColor="text1"/>
          <w:sz w:val="24"/>
        </w:rPr>
        <w:t>3 elektrowni</w:t>
      </w:r>
      <w:r w:rsidR="005D6669" w:rsidRPr="00652ACD">
        <w:rPr>
          <w:rFonts w:cs="Calibri"/>
          <w:color w:val="000000" w:themeColor="text1"/>
          <w:sz w:val="24"/>
        </w:rPr>
        <w:t>e</w:t>
      </w:r>
      <w:r w:rsidRPr="00652ACD">
        <w:rPr>
          <w:rFonts w:cs="Calibri"/>
          <w:color w:val="000000" w:themeColor="text1"/>
          <w:sz w:val="24"/>
        </w:rPr>
        <w:t xml:space="preserve"> wodn</w:t>
      </w:r>
      <w:r w:rsidR="005D6669" w:rsidRPr="00652ACD">
        <w:rPr>
          <w:rFonts w:cs="Calibri"/>
          <w:color w:val="000000" w:themeColor="text1"/>
          <w:sz w:val="24"/>
        </w:rPr>
        <w:t>e</w:t>
      </w:r>
      <w:r w:rsidRPr="00652ACD">
        <w:rPr>
          <w:rFonts w:cs="Calibri"/>
          <w:color w:val="000000" w:themeColor="text1"/>
          <w:sz w:val="24"/>
        </w:rPr>
        <w:t xml:space="preserve">. W śródmieściu zlokalizowane są dwie elektrownie na rzece Odrze: Wrocław I </w:t>
      </w:r>
      <w:proofErr w:type="spellStart"/>
      <w:r w:rsidRPr="00652ACD">
        <w:rPr>
          <w:rFonts w:cs="Calibri"/>
          <w:color w:val="000000" w:themeColor="text1"/>
          <w:sz w:val="24"/>
        </w:rPr>
        <w:t>i</w:t>
      </w:r>
      <w:proofErr w:type="spellEnd"/>
      <w:r w:rsidRPr="00652ACD">
        <w:rPr>
          <w:rFonts w:cs="Calibri"/>
          <w:color w:val="000000" w:themeColor="text1"/>
          <w:sz w:val="24"/>
        </w:rPr>
        <w:t xml:space="preserve"> Wrocław II</w:t>
      </w:r>
      <w:r w:rsidR="00E07789" w:rsidRPr="00652ACD">
        <w:rPr>
          <w:rFonts w:cs="Calibri"/>
          <w:color w:val="000000" w:themeColor="text1"/>
          <w:sz w:val="24"/>
        </w:rPr>
        <w:t xml:space="preserve"> </w:t>
      </w:r>
      <w:r w:rsidR="005D6669" w:rsidRPr="00652ACD">
        <w:rPr>
          <w:rFonts w:cs="Calibri"/>
          <w:color w:val="000000" w:themeColor="text1"/>
          <w:sz w:val="24"/>
        </w:rPr>
        <w:t>oraz</w:t>
      </w:r>
      <w:r w:rsidR="00E07789" w:rsidRPr="00652ACD">
        <w:rPr>
          <w:rFonts w:cs="Calibri"/>
          <w:color w:val="000000" w:themeColor="text1"/>
          <w:sz w:val="24"/>
        </w:rPr>
        <w:t xml:space="preserve"> </w:t>
      </w:r>
      <w:r w:rsidR="005D6669" w:rsidRPr="00652ACD">
        <w:rPr>
          <w:rFonts w:cs="Calibri"/>
          <w:color w:val="000000" w:themeColor="text1"/>
          <w:sz w:val="24"/>
        </w:rPr>
        <w:t>n</w:t>
      </w:r>
      <w:r w:rsidRPr="00652ACD">
        <w:rPr>
          <w:rFonts w:cs="Calibri"/>
          <w:color w:val="000000" w:themeColor="text1"/>
          <w:sz w:val="24"/>
        </w:rPr>
        <w:t>a rzece Bystrzyca elektrownia wodna Marszowice. Łączna ich moc to ponad 18 MW</w:t>
      </w:r>
      <w:r w:rsidRPr="00652ACD">
        <w:rPr>
          <w:rStyle w:val="Odwoanieprzypisudolnego"/>
          <w:rFonts w:cs="Calibri"/>
          <w:color w:val="000000" w:themeColor="text1"/>
          <w:sz w:val="24"/>
        </w:rPr>
        <w:footnoteReference w:id="78"/>
      </w:r>
      <w:r w:rsidRPr="00652ACD">
        <w:rPr>
          <w:rFonts w:cs="Calibri"/>
          <w:color w:val="000000" w:themeColor="text1"/>
          <w:sz w:val="24"/>
        </w:rPr>
        <w:t>. W mieście Oława na Odrze, znajduje się Mała Elektrownia Wodna Oława II, należąca do spółki Elektrownia Wodna we Włocławku</w:t>
      </w:r>
      <w:r w:rsidRPr="00652ACD">
        <w:rPr>
          <w:rStyle w:val="Odwoanieprzypisudolnego"/>
          <w:rFonts w:cs="Calibri"/>
          <w:color w:val="000000" w:themeColor="text1"/>
          <w:sz w:val="24"/>
        </w:rPr>
        <w:footnoteReference w:id="79"/>
      </w:r>
      <w:r w:rsidRPr="00652ACD">
        <w:rPr>
          <w:rFonts w:cs="Calibri"/>
          <w:color w:val="000000" w:themeColor="text1"/>
          <w:sz w:val="24"/>
        </w:rPr>
        <w:t>. Ponadto w</w:t>
      </w:r>
      <w:r w:rsidR="00896807" w:rsidRPr="00652ACD">
        <w:rPr>
          <w:rFonts w:cs="Calibri"/>
          <w:color w:val="000000" w:themeColor="text1"/>
          <w:sz w:val="24"/>
        </w:rPr>
        <w:t> </w:t>
      </w:r>
      <w:r w:rsidRPr="00652ACD">
        <w:rPr>
          <w:rFonts w:cs="Calibri"/>
          <w:color w:val="000000" w:themeColor="text1"/>
          <w:sz w:val="24"/>
        </w:rPr>
        <w:t>gminie Czernica zlokalizowana jest Elektrownia Wodna „Janowice”. Z energii wód korzystają również prywatni inwestorzy poprzez małe elektrownie wodne. Obiekt taki, o mocy 75 kW, znajduje się w miejscowości Skałka, na terenie Parku Krajobrazowego "Dolina Bystrzycy". Podobny obiekt zlokalizowany jest w miejscowości Sadowice na rzece Bystrzyca</w:t>
      </w:r>
      <w:r w:rsidRPr="00652ACD">
        <w:rPr>
          <w:rStyle w:val="Odwoanieprzypisudolnego"/>
          <w:rFonts w:cs="Calibri"/>
          <w:color w:val="000000" w:themeColor="text1"/>
          <w:sz w:val="24"/>
        </w:rPr>
        <w:footnoteReference w:id="80"/>
      </w:r>
      <w:r w:rsidRPr="00652ACD">
        <w:rPr>
          <w:rFonts w:cs="Calibri"/>
          <w:color w:val="000000" w:themeColor="text1"/>
          <w:sz w:val="24"/>
        </w:rPr>
        <w:t>.</w:t>
      </w:r>
    </w:p>
    <w:p w:rsidR="001D1207" w:rsidRDefault="001D1207" w:rsidP="00652ACD">
      <w:pPr>
        <w:spacing w:before="120" w:after="0"/>
        <w:jc w:val="left"/>
        <w:rPr>
          <w:rFonts w:cstheme="minorHAnsi"/>
          <w:b/>
          <w:color w:val="000000" w:themeColor="text1"/>
          <w:sz w:val="24"/>
        </w:rPr>
      </w:pPr>
      <w:r>
        <w:rPr>
          <w:rFonts w:cstheme="minorHAnsi"/>
          <w:b/>
          <w:color w:val="000000" w:themeColor="text1"/>
          <w:sz w:val="24"/>
        </w:rPr>
        <w:br w:type="page"/>
      </w:r>
    </w:p>
    <w:p w:rsidR="000F5700" w:rsidRPr="00652ACD" w:rsidRDefault="000178B1" w:rsidP="00652ACD">
      <w:pPr>
        <w:spacing w:before="120" w:after="0"/>
        <w:jc w:val="left"/>
        <w:rPr>
          <w:rFonts w:cstheme="minorHAnsi"/>
          <w:b/>
          <w:color w:val="000000" w:themeColor="text1"/>
          <w:sz w:val="24"/>
        </w:rPr>
      </w:pPr>
      <w:r w:rsidRPr="00652ACD">
        <w:rPr>
          <w:rFonts w:cstheme="minorHAnsi"/>
          <w:b/>
          <w:color w:val="000000" w:themeColor="text1"/>
          <w:sz w:val="24"/>
        </w:rPr>
        <w:t>Energia pochodząca z wodoru</w:t>
      </w:r>
      <w:r w:rsidRPr="00652ACD">
        <w:rPr>
          <w:rStyle w:val="Odwoanieprzypisudolnego"/>
          <w:rFonts w:cs="Calibri"/>
          <w:color w:val="000000" w:themeColor="text1"/>
          <w:sz w:val="24"/>
        </w:rPr>
        <w:footnoteReference w:id="81"/>
      </w:r>
    </w:p>
    <w:p w:rsidR="000178B1" w:rsidRPr="00652ACD" w:rsidRDefault="000178B1" w:rsidP="00652ACD">
      <w:pPr>
        <w:spacing w:after="120"/>
        <w:jc w:val="left"/>
        <w:rPr>
          <w:rFonts w:cs="Calibri"/>
          <w:color w:val="000000" w:themeColor="text1"/>
          <w:sz w:val="24"/>
        </w:rPr>
      </w:pPr>
      <w:r w:rsidRPr="00652ACD">
        <w:rPr>
          <w:rFonts w:cs="Calibri"/>
          <w:color w:val="000000" w:themeColor="text1"/>
          <w:sz w:val="24"/>
        </w:rPr>
        <w:t>Wodór odpowiada obecnie za mniej niż 2% produkcji energii elektrycznej w Europie</w:t>
      </w:r>
      <w:r w:rsidRPr="00652ACD">
        <w:rPr>
          <w:rStyle w:val="Odwoanieprzypisudolnego"/>
          <w:rFonts w:cs="Calibri"/>
          <w:color w:val="000000" w:themeColor="text1"/>
          <w:sz w:val="24"/>
        </w:rPr>
        <w:footnoteReference w:id="82"/>
      </w:r>
      <w:r w:rsidRPr="00652ACD">
        <w:rPr>
          <w:rFonts w:cs="Calibri"/>
          <w:color w:val="000000" w:themeColor="text1"/>
          <w:sz w:val="24"/>
        </w:rPr>
        <w:t>, natomiast w przyszłości może być jedną z alternatyw dla paliw kopalnych. W lutym 2022 r. została powołana Dolnośląska Dolina Wodorowa z siedzibą we Wrocławiu, której celem jest wspieranie rozwoju gospodarki wodorowej, ze szczególnym uwzględnieniem obszaru województwa dolnośląskiego oraz województw sąsiadujących.</w:t>
      </w:r>
    </w:p>
    <w:p w:rsidR="000178B1" w:rsidRPr="00652ACD" w:rsidRDefault="000178B1" w:rsidP="00652ACD">
      <w:pPr>
        <w:spacing w:after="0"/>
        <w:jc w:val="left"/>
        <w:rPr>
          <w:rFonts w:cs="Calibri"/>
          <w:color w:val="000000" w:themeColor="text1"/>
          <w:sz w:val="24"/>
        </w:rPr>
      </w:pPr>
      <w:r w:rsidRPr="00652ACD">
        <w:rPr>
          <w:rFonts w:cs="Calibri"/>
          <w:color w:val="000000" w:themeColor="text1"/>
          <w:sz w:val="24"/>
        </w:rPr>
        <w:t>W celu utworzenia polskiej gałęzi gospodarki wodorowej oraz jej rozwoju na rzecz osiągnięcia neutralności klimatycznej przy równoczesnym utrzymaniu konkurencyjności polskiej gospodarki, opracowana została „Polska St</w:t>
      </w:r>
      <w:r w:rsidR="001D1207">
        <w:rPr>
          <w:rFonts w:cs="Calibri"/>
          <w:color w:val="000000" w:themeColor="text1"/>
          <w:sz w:val="24"/>
        </w:rPr>
        <w:t>rategia Wodorowa do roku 2030 z </w:t>
      </w:r>
      <w:r w:rsidRPr="00652ACD">
        <w:rPr>
          <w:rFonts w:cs="Calibri"/>
          <w:color w:val="000000" w:themeColor="text1"/>
          <w:sz w:val="24"/>
        </w:rPr>
        <w:t xml:space="preserve">perspektywą do 2040 r.” (PSW). </w:t>
      </w:r>
    </w:p>
    <w:p w:rsidR="000178B1" w:rsidRPr="00652ACD" w:rsidRDefault="000178B1" w:rsidP="00652ACD">
      <w:pPr>
        <w:spacing w:after="0"/>
        <w:jc w:val="left"/>
        <w:rPr>
          <w:rFonts w:cs="Calibri"/>
          <w:color w:val="000000" w:themeColor="text1"/>
          <w:sz w:val="24"/>
        </w:rPr>
      </w:pPr>
      <w:r w:rsidRPr="00652ACD">
        <w:rPr>
          <w:rFonts w:cs="Calibri"/>
          <w:color w:val="000000" w:themeColor="text1"/>
          <w:sz w:val="24"/>
        </w:rPr>
        <w:t>W ramach PSW wyznaczono 6 celów szczegółowych i są to:</w:t>
      </w:r>
    </w:p>
    <w:p w:rsidR="000178B1" w:rsidRPr="00652ACD" w:rsidRDefault="000178B1" w:rsidP="00652ACD">
      <w:pPr>
        <w:numPr>
          <w:ilvl w:val="0"/>
          <w:numId w:val="20"/>
        </w:numPr>
        <w:suppressAutoHyphens/>
        <w:spacing w:after="0"/>
        <w:jc w:val="left"/>
        <w:rPr>
          <w:rFonts w:cs="Calibri"/>
          <w:color w:val="000000" w:themeColor="text1"/>
          <w:sz w:val="24"/>
        </w:rPr>
      </w:pPr>
      <w:r w:rsidRPr="00652ACD">
        <w:rPr>
          <w:rFonts w:cs="Calibri"/>
          <w:color w:val="000000" w:themeColor="text1"/>
          <w:sz w:val="24"/>
        </w:rPr>
        <w:t>Cel 1 - wdrożenie technologii wodorowych w energetyce i ciepłownictwie,</w:t>
      </w:r>
    </w:p>
    <w:p w:rsidR="000178B1" w:rsidRPr="00652ACD" w:rsidRDefault="000178B1" w:rsidP="00652ACD">
      <w:pPr>
        <w:numPr>
          <w:ilvl w:val="0"/>
          <w:numId w:val="20"/>
        </w:numPr>
        <w:suppressAutoHyphens/>
        <w:spacing w:after="0"/>
        <w:jc w:val="left"/>
        <w:rPr>
          <w:rFonts w:cs="Calibri"/>
          <w:color w:val="000000" w:themeColor="text1"/>
          <w:sz w:val="24"/>
        </w:rPr>
      </w:pPr>
      <w:r w:rsidRPr="00652ACD">
        <w:rPr>
          <w:rFonts w:cs="Calibri"/>
          <w:color w:val="000000" w:themeColor="text1"/>
          <w:sz w:val="24"/>
        </w:rPr>
        <w:t>Cel 2 - wykorzystanie wodoru jako paliwa alternatywnego w transporcie,</w:t>
      </w:r>
    </w:p>
    <w:p w:rsidR="000178B1" w:rsidRPr="00652ACD" w:rsidRDefault="000178B1" w:rsidP="00652ACD">
      <w:pPr>
        <w:numPr>
          <w:ilvl w:val="0"/>
          <w:numId w:val="20"/>
        </w:numPr>
        <w:suppressAutoHyphens/>
        <w:spacing w:after="0"/>
        <w:jc w:val="left"/>
        <w:rPr>
          <w:rFonts w:cs="Calibri"/>
          <w:color w:val="000000" w:themeColor="text1"/>
          <w:sz w:val="24"/>
        </w:rPr>
      </w:pPr>
      <w:r w:rsidRPr="00652ACD">
        <w:rPr>
          <w:rFonts w:cs="Calibri"/>
          <w:color w:val="000000" w:themeColor="text1"/>
          <w:sz w:val="24"/>
        </w:rPr>
        <w:t>Cel 3 - wsparcie dekarbonizacji przemysłu,</w:t>
      </w:r>
    </w:p>
    <w:p w:rsidR="000178B1" w:rsidRPr="00652ACD" w:rsidRDefault="000178B1" w:rsidP="00652ACD">
      <w:pPr>
        <w:numPr>
          <w:ilvl w:val="0"/>
          <w:numId w:val="20"/>
        </w:numPr>
        <w:suppressAutoHyphens/>
        <w:spacing w:after="0"/>
        <w:jc w:val="left"/>
        <w:rPr>
          <w:rFonts w:cs="Calibri"/>
          <w:color w:val="000000" w:themeColor="text1"/>
          <w:sz w:val="24"/>
        </w:rPr>
      </w:pPr>
      <w:r w:rsidRPr="00652ACD">
        <w:rPr>
          <w:rFonts w:cs="Calibri"/>
          <w:color w:val="000000" w:themeColor="text1"/>
          <w:sz w:val="24"/>
        </w:rPr>
        <w:t>Cel 4 - produkcja wodoru w nowych instalacjach,</w:t>
      </w:r>
    </w:p>
    <w:p w:rsidR="000178B1" w:rsidRPr="00652ACD" w:rsidRDefault="000178B1" w:rsidP="00652ACD">
      <w:pPr>
        <w:numPr>
          <w:ilvl w:val="0"/>
          <w:numId w:val="20"/>
        </w:numPr>
        <w:suppressAutoHyphens/>
        <w:spacing w:after="0"/>
        <w:jc w:val="left"/>
        <w:rPr>
          <w:rFonts w:cs="Calibri"/>
          <w:color w:val="000000" w:themeColor="text1"/>
          <w:sz w:val="24"/>
        </w:rPr>
      </w:pPr>
      <w:r w:rsidRPr="00652ACD">
        <w:rPr>
          <w:rFonts w:cs="Calibri"/>
          <w:color w:val="000000" w:themeColor="text1"/>
          <w:sz w:val="24"/>
        </w:rPr>
        <w:t xml:space="preserve">Cel 5 - sprawny i bezpieczny </w:t>
      </w:r>
      <w:proofErr w:type="spellStart"/>
      <w:r w:rsidRPr="00652ACD">
        <w:rPr>
          <w:rFonts w:cs="Calibri"/>
          <w:color w:val="000000" w:themeColor="text1"/>
          <w:sz w:val="24"/>
        </w:rPr>
        <w:t>przesył</w:t>
      </w:r>
      <w:proofErr w:type="spellEnd"/>
      <w:r w:rsidRPr="00652ACD">
        <w:rPr>
          <w:rFonts w:cs="Calibri"/>
          <w:color w:val="000000" w:themeColor="text1"/>
          <w:sz w:val="24"/>
        </w:rPr>
        <w:t>, dystrybucja i magazynowanie wodoru,</w:t>
      </w:r>
    </w:p>
    <w:p w:rsidR="000178B1" w:rsidRPr="00652ACD" w:rsidRDefault="000178B1" w:rsidP="00652ACD">
      <w:pPr>
        <w:numPr>
          <w:ilvl w:val="0"/>
          <w:numId w:val="20"/>
        </w:numPr>
        <w:suppressAutoHyphens/>
        <w:spacing w:after="120"/>
        <w:ind w:left="714" w:hanging="357"/>
        <w:jc w:val="left"/>
        <w:rPr>
          <w:rFonts w:cs="Calibri"/>
          <w:color w:val="000000" w:themeColor="text1"/>
          <w:sz w:val="24"/>
        </w:rPr>
      </w:pPr>
      <w:r w:rsidRPr="00652ACD">
        <w:rPr>
          <w:rFonts w:cs="Calibri"/>
          <w:color w:val="000000" w:themeColor="text1"/>
          <w:sz w:val="24"/>
        </w:rPr>
        <w:t>Cel 6 - stworzenie stabilnego otoczenia regulacyjnego.</w:t>
      </w:r>
    </w:p>
    <w:p w:rsidR="000178B1" w:rsidRPr="00652ACD" w:rsidRDefault="000178B1" w:rsidP="00652ACD">
      <w:pPr>
        <w:jc w:val="left"/>
        <w:rPr>
          <w:rFonts w:cs="Calibri"/>
          <w:color w:val="000000" w:themeColor="text1"/>
          <w:sz w:val="24"/>
        </w:rPr>
      </w:pPr>
      <w:r w:rsidRPr="00652ACD">
        <w:rPr>
          <w:rFonts w:cs="Calibri"/>
          <w:color w:val="000000" w:themeColor="text1"/>
          <w:sz w:val="24"/>
        </w:rPr>
        <w:t>Zgodnie ze „Strategią Wodorową UE”, która została przyjęta do realizacji w 2020 roku, polskie doliny wodorowe mają być elementem Europej</w:t>
      </w:r>
      <w:r w:rsidR="001D1207">
        <w:rPr>
          <w:rFonts w:cs="Calibri"/>
          <w:color w:val="000000" w:themeColor="text1"/>
          <w:sz w:val="24"/>
        </w:rPr>
        <w:t>skiego Ekosystemu Wodorowego, a </w:t>
      </w:r>
      <w:r w:rsidRPr="00652ACD">
        <w:rPr>
          <w:rFonts w:cs="Calibri"/>
          <w:color w:val="000000" w:themeColor="text1"/>
          <w:sz w:val="24"/>
        </w:rPr>
        <w:t>Polski Ekosystem Innowacji Dolin Wodorowych ma obejmować innowacyjne przedsięwzięcia przemysłowe i długoterminowe projekty inwestycyjne o szeroko zakrojonej skali</w:t>
      </w:r>
      <w:r w:rsidRPr="00652ACD">
        <w:rPr>
          <w:rFonts w:cs="Calibri"/>
          <w:color w:val="000000" w:themeColor="text1"/>
          <w:sz w:val="24"/>
          <w:vertAlign w:val="superscript"/>
        </w:rPr>
        <w:footnoteReference w:id="83"/>
      </w:r>
      <w:r w:rsidRPr="00652ACD">
        <w:rPr>
          <w:rFonts w:cs="Calibri"/>
          <w:color w:val="000000" w:themeColor="text1"/>
          <w:sz w:val="24"/>
        </w:rPr>
        <w:t>. Na terenie Polski funkcjonuje obecnie 6 dolin wodorowych</w:t>
      </w:r>
      <w:r w:rsidRPr="00652ACD">
        <w:rPr>
          <w:rFonts w:cs="Calibri"/>
          <w:color w:val="000000" w:themeColor="text1"/>
          <w:sz w:val="24"/>
          <w:vertAlign w:val="superscript"/>
        </w:rPr>
        <w:footnoteReference w:id="84"/>
      </w:r>
      <w:r w:rsidRPr="00652ACD">
        <w:rPr>
          <w:rFonts w:cs="Calibri"/>
          <w:color w:val="000000" w:themeColor="text1"/>
          <w:sz w:val="24"/>
        </w:rPr>
        <w:t>.</w:t>
      </w:r>
    </w:p>
    <w:p w:rsidR="005472A9" w:rsidRPr="00652ACD" w:rsidRDefault="005472A9" w:rsidP="00652ACD">
      <w:pPr>
        <w:jc w:val="left"/>
        <w:rPr>
          <w:rFonts w:cs="Calibri"/>
          <w:color w:val="000000" w:themeColor="text1"/>
          <w:sz w:val="24"/>
        </w:rPr>
      </w:pPr>
      <w:r w:rsidRPr="00652ACD">
        <w:rPr>
          <w:rFonts w:cs="Calibri"/>
          <w:color w:val="000000" w:themeColor="text1"/>
          <w:sz w:val="24"/>
        </w:rPr>
        <w:t>Na obszarze gminy Siechnice zaplanowano realizację projektu</w:t>
      </w:r>
      <w:r w:rsidR="00E07789" w:rsidRPr="00652ACD">
        <w:rPr>
          <w:rFonts w:cs="Calibri"/>
          <w:color w:val="000000" w:themeColor="text1"/>
          <w:sz w:val="24"/>
        </w:rPr>
        <w:t>,</w:t>
      </w:r>
      <w:r w:rsidRPr="00652ACD">
        <w:rPr>
          <w:rFonts w:cs="Calibri"/>
          <w:color w:val="000000" w:themeColor="text1"/>
          <w:sz w:val="24"/>
        </w:rPr>
        <w:t xml:space="preserve"> którego celem jest produkcja energii pochodzącej z wodoru. Może to być najnowocześni</w:t>
      </w:r>
      <w:r w:rsidR="00E07789" w:rsidRPr="00652ACD">
        <w:rPr>
          <w:rFonts w:cs="Calibri"/>
          <w:color w:val="000000" w:themeColor="text1"/>
          <w:sz w:val="24"/>
        </w:rPr>
        <w:t>ejszy w Polsce kompleks parowo-gazowej EC </w:t>
      </w:r>
      <w:proofErr w:type="spellStart"/>
      <w:r w:rsidRPr="00652ACD">
        <w:rPr>
          <w:rFonts w:cs="Calibri"/>
          <w:color w:val="000000" w:themeColor="text1"/>
          <w:sz w:val="24"/>
        </w:rPr>
        <w:t>Czechnica</w:t>
      </w:r>
      <w:proofErr w:type="spellEnd"/>
      <w:r w:rsidRPr="00652ACD">
        <w:rPr>
          <w:rFonts w:cs="Calibri"/>
          <w:color w:val="000000" w:themeColor="text1"/>
          <w:sz w:val="24"/>
        </w:rPr>
        <w:t xml:space="preserve">, przystosowany do częściowego wykorzystywania wodoru do produkcji energii elektrycznej i cieplnej, połączony z projektowanym Centrum Energetycznym na obszarze rewitalizowanych terenów EC węglowej zakładających </w:t>
      </w:r>
      <w:r w:rsidR="003B579C" w:rsidRPr="00652ACD">
        <w:rPr>
          <w:rFonts w:cs="Calibri"/>
          <w:color w:val="000000" w:themeColor="text1"/>
          <w:sz w:val="24"/>
        </w:rPr>
        <w:t xml:space="preserve">powstanie instalacji </w:t>
      </w:r>
      <w:r w:rsidRPr="00652ACD">
        <w:rPr>
          <w:rFonts w:cs="Calibri"/>
          <w:color w:val="000000" w:themeColor="text1"/>
          <w:sz w:val="24"/>
        </w:rPr>
        <w:t>do produkcji półprzemysłowej wodoru.</w:t>
      </w:r>
    </w:p>
    <w:p w:rsidR="008F742B" w:rsidRPr="00652ACD" w:rsidRDefault="008F742B" w:rsidP="00652ACD">
      <w:pPr>
        <w:jc w:val="left"/>
        <w:rPr>
          <w:rFonts w:cs="Calibri"/>
          <w:color w:val="000000" w:themeColor="text1"/>
          <w:sz w:val="24"/>
        </w:rPr>
      </w:pPr>
      <w:r w:rsidRPr="00652ACD">
        <w:rPr>
          <w:rFonts w:cs="Calibri"/>
          <w:color w:val="000000" w:themeColor="text1"/>
          <w:sz w:val="24"/>
        </w:rPr>
        <w:t>W związku z powyższym zasadnym wydaje się wsparcie w</w:t>
      </w:r>
      <w:r w:rsidR="00E07789" w:rsidRPr="00652ACD">
        <w:rPr>
          <w:rFonts w:cs="Calibri"/>
          <w:color w:val="000000" w:themeColor="text1"/>
          <w:sz w:val="24"/>
        </w:rPr>
        <w:t>szelkich prac, również badawczo</w:t>
      </w:r>
      <w:r w:rsidR="00E07789" w:rsidRPr="00652ACD">
        <w:rPr>
          <w:rFonts w:cs="Calibri"/>
          <w:color w:val="000000" w:themeColor="text1"/>
          <w:sz w:val="24"/>
        </w:rPr>
        <w:br/>
        <w:t>-</w:t>
      </w:r>
      <w:r w:rsidRPr="00652ACD">
        <w:rPr>
          <w:rFonts w:cs="Calibri"/>
          <w:color w:val="000000" w:themeColor="text1"/>
          <w:sz w:val="24"/>
        </w:rPr>
        <w:t>rozwojowych zmierzających do produkcji  wodoru na szeroką skalę oraz wsparcie nowych technologii wykorzystania wodoru w energetyce.</w:t>
      </w:r>
    </w:p>
    <w:p w:rsidR="000178B1" w:rsidRPr="00652ACD" w:rsidRDefault="000178B1" w:rsidP="00652ACD">
      <w:pPr>
        <w:spacing w:after="0"/>
        <w:jc w:val="left"/>
        <w:rPr>
          <w:color w:val="000000" w:themeColor="text1"/>
          <w:sz w:val="24"/>
        </w:rPr>
      </w:pPr>
      <w:r w:rsidRPr="00652ACD">
        <w:rPr>
          <w:rFonts w:cstheme="minorHAnsi"/>
          <w:b/>
          <w:color w:val="000000" w:themeColor="text1"/>
          <w:sz w:val="24"/>
        </w:rPr>
        <w:t>Gospodarka odpadami</w:t>
      </w:r>
    </w:p>
    <w:p w:rsidR="00BA4062" w:rsidRPr="00652ACD" w:rsidRDefault="00BA4062" w:rsidP="00652ACD">
      <w:pPr>
        <w:jc w:val="left"/>
        <w:rPr>
          <w:color w:val="000000" w:themeColor="text1"/>
          <w:sz w:val="24"/>
        </w:rPr>
      </w:pPr>
      <w:r w:rsidRPr="00652ACD">
        <w:rPr>
          <w:color w:val="000000" w:themeColor="text1"/>
          <w:sz w:val="24"/>
        </w:rPr>
        <w:t>Prawidłowa gospodarka odpadami jest jednym z priorytetów w dz</w:t>
      </w:r>
      <w:r w:rsidR="00896807" w:rsidRPr="00652ACD">
        <w:rPr>
          <w:color w:val="000000" w:themeColor="text1"/>
          <w:sz w:val="24"/>
        </w:rPr>
        <w:t>iedzinie ochrony środowiska, ze </w:t>
      </w:r>
      <w:r w:rsidRPr="00652ACD">
        <w:rPr>
          <w:color w:val="000000" w:themeColor="text1"/>
          <w:sz w:val="24"/>
        </w:rPr>
        <w:t>względu na problem zwiększającej się ilości generowanych odpadów.</w:t>
      </w:r>
    </w:p>
    <w:p w:rsidR="00C40322" w:rsidRDefault="00C40322" w:rsidP="00750A76">
      <w:pPr>
        <w:pStyle w:val="nadWrOF"/>
      </w:pPr>
      <w:bookmarkStart w:id="99" w:name="_Toc125959891"/>
      <w:bookmarkStart w:id="100" w:name="_Toc143606982"/>
      <w:r>
        <w:t xml:space="preserve">Wykres </w:t>
      </w:r>
      <w:r w:rsidR="00C73793">
        <w:rPr>
          <w:noProof/>
        </w:rPr>
        <w:fldChar w:fldCharType="begin"/>
      </w:r>
      <w:r>
        <w:rPr>
          <w:noProof/>
        </w:rPr>
        <w:instrText xml:space="preserve"> SEQ Wykres \* ARABIC </w:instrText>
      </w:r>
      <w:r w:rsidR="00C73793">
        <w:rPr>
          <w:noProof/>
        </w:rPr>
        <w:fldChar w:fldCharType="separate"/>
      </w:r>
      <w:r w:rsidR="00C96A96">
        <w:rPr>
          <w:noProof/>
        </w:rPr>
        <w:t>1</w:t>
      </w:r>
      <w:r w:rsidR="00C73793">
        <w:rPr>
          <w:noProof/>
        </w:rPr>
        <w:fldChar w:fldCharType="end"/>
      </w:r>
      <w:r w:rsidR="00E07789">
        <w:rPr>
          <w:noProof/>
        </w:rPr>
        <w:t xml:space="preserve"> </w:t>
      </w:r>
      <w:r>
        <w:t xml:space="preserve">Odpady </w:t>
      </w:r>
      <w:r w:rsidRPr="00750A76">
        <w:t>zebrane</w:t>
      </w:r>
      <w:r>
        <w:t xml:space="preserve"> w ciągu roku [t] na terenie WrOF w latach 2017-2021</w:t>
      </w:r>
      <w:bookmarkEnd w:id="99"/>
      <w:bookmarkEnd w:id="100"/>
    </w:p>
    <w:p w:rsidR="00C40322" w:rsidRDefault="00405DA1" w:rsidP="00C40322">
      <w:pPr>
        <w:spacing w:after="0"/>
        <w:rPr>
          <w:i/>
          <w:iCs/>
          <w:sz w:val="20"/>
          <w:szCs w:val="20"/>
        </w:rPr>
      </w:pPr>
      <w:r w:rsidRPr="00652ACD">
        <w:rPr>
          <w:noProof/>
          <w:color w:val="FFFFFF" w:themeColor="background1"/>
          <w:lang w:eastAsia="pl-PL"/>
        </w:rPr>
        <w:drawing>
          <wp:inline distT="0" distB="0" distL="0" distR="0" wp14:anchorId="42231AC1" wp14:editId="57C630C2">
            <wp:extent cx="5749290" cy="1979875"/>
            <wp:effectExtent l="0" t="0" r="3810" b="1905"/>
            <wp:docPr id="47" name="Wykres 39" descr="Odpady zebrane w ciągu roku [t] na terenie WrOF w latach 2017-2021" title="Odpady zebrane w ciągu roku [t] na terenie WrOF w latach 2017-20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D07F9" w:rsidRDefault="00C40322" w:rsidP="00D74575">
      <w:pPr>
        <w:pStyle w:val="PODWrof"/>
      </w:pPr>
      <w:r w:rsidRPr="002A1134">
        <w:t>Źródło: opracowanie własne na podstawie danych BDL GUS</w:t>
      </w:r>
      <w:r>
        <w:t xml:space="preserve"> [Stan na: 31.12.2021]</w:t>
      </w:r>
    </w:p>
    <w:p w:rsidR="000178B1" w:rsidRPr="00652ACD" w:rsidRDefault="000178B1" w:rsidP="00652ACD">
      <w:pPr>
        <w:spacing w:after="120"/>
        <w:jc w:val="left"/>
        <w:rPr>
          <w:rFonts w:cs="Calibri"/>
          <w:color w:val="000000"/>
          <w:sz w:val="24"/>
        </w:rPr>
      </w:pPr>
      <w:r w:rsidRPr="00652ACD">
        <w:rPr>
          <w:sz w:val="24"/>
        </w:rPr>
        <w:t xml:space="preserve">W 2021 r. na terenie WrOF zebrano 542 191,17 ton odpadów (co stanowi wzrost o 103 579,36 ton w stosunku do roku 2017), z czego </w:t>
      </w:r>
      <w:r w:rsidRPr="00652ACD">
        <w:rPr>
          <w:rFonts w:cs="Calibri"/>
          <w:color w:val="000000"/>
          <w:sz w:val="24"/>
        </w:rPr>
        <w:t xml:space="preserve">339 061,3 ton stanowiły odpady zmieszane (60,7%). Udział </w:t>
      </w:r>
      <w:r w:rsidRPr="00652ACD">
        <w:rPr>
          <w:rFonts w:cs="Calibri"/>
          <w:color w:val="000000"/>
          <w:spacing w:val="-2"/>
          <w:sz w:val="24"/>
        </w:rPr>
        <w:t>odpadów zebranych selektywnie w stosunku do zebranych ogółem we</w:t>
      </w:r>
      <w:r w:rsidR="00E07789" w:rsidRPr="00652ACD">
        <w:rPr>
          <w:rFonts w:cs="Calibri"/>
          <w:color w:val="000000"/>
          <w:spacing w:val="-2"/>
          <w:sz w:val="24"/>
        </w:rPr>
        <w:t xml:space="preserve"> </w:t>
      </w:r>
      <w:r w:rsidRPr="00652ACD">
        <w:rPr>
          <w:rFonts w:cs="Calibri"/>
          <w:color w:val="000000"/>
          <w:spacing w:val="-2"/>
          <w:sz w:val="24"/>
        </w:rPr>
        <w:t>WrOF (39,3%) jest wyższy niż w województwie</w:t>
      </w:r>
      <w:r w:rsidRPr="00652ACD">
        <w:rPr>
          <w:rFonts w:cs="Calibri"/>
          <w:color w:val="000000"/>
          <w:sz w:val="24"/>
        </w:rPr>
        <w:t xml:space="preserve"> dolnośląskim (38,0%).</w:t>
      </w:r>
    </w:p>
    <w:p w:rsidR="000178B1" w:rsidRPr="00652ACD" w:rsidRDefault="000178B1" w:rsidP="00652ACD">
      <w:pPr>
        <w:jc w:val="left"/>
        <w:rPr>
          <w:sz w:val="24"/>
        </w:rPr>
      </w:pPr>
      <w:r w:rsidRPr="00652ACD">
        <w:rPr>
          <w:sz w:val="24"/>
        </w:rPr>
        <w:t>Ilość odpadów wytwarzanych w gminach WrOF</w:t>
      </w:r>
      <w:r w:rsidR="00FE1AC5" w:rsidRPr="00652ACD">
        <w:rPr>
          <w:sz w:val="24"/>
        </w:rPr>
        <w:t xml:space="preserve"> </w:t>
      </w:r>
      <w:r w:rsidRPr="00652ACD">
        <w:rPr>
          <w:sz w:val="24"/>
        </w:rPr>
        <w:t>sukcesywnie</w:t>
      </w:r>
      <w:r w:rsidR="00FE1AC5" w:rsidRPr="00652ACD">
        <w:rPr>
          <w:sz w:val="24"/>
        </w:rPr>
        <w:t xml:space="preserve"> </w:t>
      </w:r>
      <w:r w:rsidRPr="00652ACD">
        <w:rPr>
          <w:sz w:val="24"/>
        </w:rPr>
        <w:t>wzrasta</w:t>
      </w:r>
      <w:r w:rsidR="00FE1AC5" w:rsidRPr="00652ACD">
        <w:rPr>
          <w:sz w:val="24"/>
        </w:rPr>
        <w:t xml:space="preserve">, </w:t>
      </w:r>
      <w:r w:rsidR="00500F09" w:rsidRPr="00652ACD">
        <w:rPr>
          <w:sz w:val="24"/>
        </w:rPr>
        <w:t>nieznaczny</w:t>
      </w:r>
      <w:r w:rsidR="00C40322" w:rsidRPr="00652ACD">
        <w:rPr>
          <w:sz w:val="24"/>
        </w:rPr>
        <w:t xml:space="preserve"> spadek odnotowano w roku 2020</w:t>
      </w:r>
      <w:r w:rsidR="00572C12" w:rsidRPr="00652ACD">
        <w:rPr>
          <w:sz w:val="24"/>
        </w:rPr>
        <w:t xml:space="preserve"> na co wpływ miał </w:t>
      </w:r>
      <w:r w:rsidR="00C40322" w:rsidRPr="00652ACD">
        <w:rPr>
          <w:sz w:val="24"/>
        </w:rPr>
        <w:t>wybuch pandemii Covid-19</w:t>
      </w:r>
      <w:r w:rsidR="00572C12" w:rsidRPr="00652ACD">
        <w:rPr>
          <w:sz w:val="24"/>
        </w:rPr>
        <w:t>,</w:t>
      </w:r>
      <w:r w:rsidR="00C40322" w:rsidRPr="00652ACD">
        <w:rPr>
          <w:sz w:val="24"/>
        </w:rPr>
        <w:t xml:space="preserve"> podczas której </w:t>
      </w:r>
      <w:r w:rsidR="007C7F8C" w:rsidRPr="00652ACD">
        <w:rPr>
          <w:sz w:val="24"/>
        </w:rPr>
        <w:t xml:space="preserve">np. studenci powrócili </w:t>
      </w:r>
      <w:r w:rsidR="00500F09" w:rsidRPr="00652ACD">
        <w:rPr>
          <w:sz w:val="24"/>
        </w:rPr>
        <w:t xml:space="preserve">tymczasowo </w:t>
      </w:r>
      <w:r w:rsidR="007C7F8C" w:rsidRPr="00652ACD">
        <w:rPr>
          <w:sz w:val="24"/>
        </w:rPr>
        <w:t xml:space="preserve">do domów, </w:t>
      </w:r>
      <w:r w:rsidR="00572C12" w:rsidRPr="00652ACD">
        <w:rPr>
          <w:sz w:val="24"/>
        </w:rPr>
        <w:t xml:space="preserve">a co za tym idzie </w:t>
      </w:r>
      <w:r w:rsidR="00411131" w:rsidRPr="00652ACD">
        <w:rPr>
          <w:sz w:val="24"/>
        </w:rPr>
        <w:t>zmniejszyła się ilość wytworzonych odpadów.</w:t>
      </w:r>
    </w:p>
    <w:p w:rsidR="000178B1" w:rsidRDefault="000178B1" w:rsidP="003F1C12">
      <w:pPr>
        <w:pStyle w:val="nadWrOF"/>
      </w:pPr>
      <w:bookmarkStart w:id="101" w:name="_Toc125100968"/>
      <w:bookmarkStart w:id="102" w:name="_Toc143606983"/>
      <w:r>
        <w:t xml:space="preserve">Wykres </w:t>
      </w:r>
      <w:r w:rsidR="00C73793">
        <w:rPr>
          <w:noProof/>
        </w:rPr>
        <w:fldChar w:fldCharType="begin"/>
      </w:r>
      <w:r>
        <w:rPr>
          <w:noProof/>
        </w:rPr>
        <w:instrText xml:space="preserve"> SEQ Wykres \* ARABIC </w:instrText>
      </w:r>
      <w:r w:rsidR="00C73793">
        <w:rPr>
          <w:noProof/>
        </w:rPr>
        <w:fldChar w:fldCharType="separate"/>
      </w:r>
      <w:r w:rsidR="00C96A96">
        <w:rPr>
          <w:noProof/>
        </w:rPr>
        <w:t>2</w:t>
      </w:r>
      <w:r w:rsidR="00C73793">
        <w:rPr>
          <w:noProof/>
        </w:rPr>
        <w:fldChar w:fldCharType="end"/>
      </w:r>
      <w:r w:rsidR="00E07789">
        <w:rPr>
          <w:noProof/>
        </w:rPr>
        <w:t xml:space="preserve"> </w:t>
      </w:r>
      <w:r w:rsidRPr="003C0842">
        <w:t xml:space="preserve">Masa </w:t>
      </w:r>
      <w:r w:rsidRPr="001A7D58">
        <w:t>wytworzonych</w:t>
      </w:r>
      <w:r w:rsidRPr="003C0842">
        <w:t xml:space="preserve"> odpadów </w:t>
      </w:r>
      <w:r w:rsidRPr="000530A7">
        <w:t>komunalnych</w:t>
      </w:r>
      <w:r w:rsidRPr="003C0842">
        <w:t xml:space="preserve"> przez jednego mieszkańca</w:t>
      </w:r>
      <w:r w:rsidR="001D1207">
        <w:t xml:space="preserve"> w  gminach WrOF w </w:t>
      </w:r>
      <w:r>
        <w:t>2021 r.</w:t>
      </w:r>
      <w:bookmarkEnd w:id="101"/>
      <w:bookmarkEnd w:id="102"/>
    </w:p>
    <w:p w:rsidR="00652ACD" w:rsidRDefault="00652ACD" w:rsidP="003F1C12">
      <w:pPr>
        <w:pStyle w:val="nadWrOF"/>
      </w:pPr>
      <w:r>
        <w:rPr>
          <w:noProof/>
          <w:lang w:eastAsia="pl-PL"/>
        </w:rPr>
        <w:drawing>
          <wp:inline distT="0" distB="0" distL="0" distR="0" wp14:anchorId="694969BA" wp14:editId="4069E9F3">
            <wp:extent cx="5760720" cy="3799840"/>
            <wp:effectExtent l="0" t="0" r="11430" b="10160"/>
            <wp:docPr id="6" name="Wykres 6" descr="Masa wytworzonych odpadów komunalnych przez jednego mieszkańca w  gminach WrOF w 2021 r." title="Masa wytworzonych odpadów komunalnych przez jednego mieszkańca w  gminach WrOF w 2021 r.">
              <a:extLst xmlns:a="http://schemas.openxmlformats.org/drawingml/2006/main">
                <a:ext uri="{C183D7F6-B498-43B3-948B-1728B52AA6E4}">
                  <adec:decorative xmlns:arto="http://schemas.microsoft.com/office/word/2006/arto"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178B1" w:rsidRPr="008B715F" w:rsidRDefault="000178B1" w:rsidP="003B579C">
      <w:pPr>
        <w:pStyle w:val="PODWrof"/>
      </w:pPr>
      <w:r w:rsidRPr="002A1134">
        <w:t xml:space="preserve">Źródło: opracowanie własne na podstawie danych BDL </w:t>
      </w:r>
      <w:r w:rsidRPr="000530A7">
        <w:t>GUS</w:t>
      </w:r>
      <w:r>
        <w:t xml:space="preserve"> [</w:t>
      </w:r>
      <w:r w:rsidRPr="003B579C">
        <w:t>Stan</w:t>
      </w:r>
      <w:r>
        <w:t xml:space="preserve"> na: 31.12.2021].</w:t>
      </w:r>
    </w:p>
    <w:p w:rsidR="000178B1" w:rsidRPr="00652ACD" w:rsidRDefault="000178B1" w:rsidP="00652ACD">
      <w:pPr>
        <w:jc w:val="left"/>
        <w:rPr>
          <w:rFonts w:cs="Calibri"/>
          <w:b/>
          <w:sz w:val="24"/>
        </w:rPr>
      </w:pPr>
      <w:r w:rsidRPr="00652ACD">
        <w:rPr>
          <w:sz w:val="24"/>
        </w:rPr>
        <w:t xml:space="preserve">Masa wytworzonych odpadów komunalnych </w:t>
      </w:r>
      <w:r w:rsidR="007211A6" w:rsidRPr="00652ACD">
        <w:rPr>
          <w:sz w:val="24"/>
        </w:rPr>
        <w:t xml:space="preserve">przypadająca </w:t>
      </w:r>
      <w:r w:rsidRPr="00652ACD">
        <w:rPr>
          <w:sz w:val="24"/>
        </w:rPr>
        <w:t>na jednego mieszkańca obszaru WrOF</w:t>
      </w:r>
      <w:r w:rsidR="007211A6" w:rsidRPr="00652ACD">
        <w:rPr>
          <w:sz w:val="24"/>
        </w:rPr>
        <w:t xml:space="preserve"> </w:t>
      </w:r>
      <w:r w:rsidR="00E07789" w:rsidRPr="00652ACD">
        <w:rPr>
          <w:sz w:val="24"/>
        </w:rPr>
        <w:t>w </w:t>
      </w:r>
      <w:r w:rsidRPr="00652ACD">
        <w:rPr>
          <w:sz w:val="24"/>
        </w:rPr>
        <w:t>badanym okresie wzrastała w każdej gminie, z w</w:t>
      </w:r>
      <w:r w:rsidR="001D1207">
        <w:rPr>
          <w:sz w:val="24"/>
        </w:rPr>
        <w:t>yjątkiem Siechnic. Jak wynika z </w:t>
      </w:r>
      <w:r w:rsidRPr="00652ACD">
        <w:rPr>
          <w:sz w:val="24"/>
        </w:rPr>
        <w:t>powyższego wykresu, największą ilość odpadów wytwarza się w</w:t>
      </w:r>
      <w:r w:rsidR="00687A4D" w:rsidRPr="00652ACD">
        <w:rPr>
          <w:sz w:val="24"/>
        </w:rPr>
        <w:t xml:space="preserve"> gminach</w:t>
      </w:r>
      <w:r w:rsidRPr="00652ACD">
        <w:rPr>
          <w:sz w:val="24"/>
        </w:rPr>
        <w:t>: Kąt</w:t>
      </w:r>
      <w:r w:rsidR="00687A4D" w:rsidRPr="00652ACD">
        <w:rPr>
          <w:sz w:val="24"/>
        </w:rPr>
        <w:t>y</w:t>
      </w:r>
      <w:r w:rsidRPr="00652ACD">
        <w:rPr>
          <w:sz w:val="24"/>
        </w:rPr>
        <w:t xml:space="preserve"> Wrocławski</w:t>
      </w:r>
      <w:r w:rsidR="00687A4D" w:rsidRPr="00652ACD">
        <w:rPr>
          <w:sz w:val="24"/>
        </w:rPr>
        <w:t>e</w:t>
      </w:r>
      <w:r w:rsidRPr="00652ACD">
        <w:rPr>
          <w:sz w:val="24"/>
        </w:rPr>
        <w:t>, Obornik</w:t>
      </w:r>
      <w:r w:rsidR="00687A4D" w:rsidRPr="00652ACD">
        <w:rPr>
          <w:sz w:val="24"/>
        </w:rPr>
        <w:t>i</w:t>
      </w:r>
      <w:r w:rsidRPr="00652ACD">
        <w:rPr>
          <w:sz w:val="24"/>
        </w:rPr>
        <w:t xml:space="preserve"> Śląski</w:t>
      </w:r>
      <w:r w:rsidR="00687A4D" w:rsidRPr="00652ACD">
        <w:rPr>
          <w:sz w:val="24"/>
        </w:rPr>
        <w:t>e oraz</w:t>
      </w:r>
      <w:r w:rsidRPr="00652ACD">
        <w:rPr>
          <w:sz w:val="24"/>
        </w:rPr>
        <w:t xml:space="preserve"> Długołęce, </w:t>
      </w:r>
      <w:r w:rsidRPr="00652ACD">
        <w:rPr>
          <w:spacing w:val="-2"/>
          <w:sz w:val="24"/>
        </w:rPr>
        <w:t xml:space="preserve">czyli </w:t>
      </w:r>
      <w:r w:rsidR="00687A4D" w:rsidRPr="00652ACD">
        <w:rPr>
          <w:spacing w:val="-2"/>
          <w:sz w:val="24"/>
        </w:rPr>
        <w:t xml:space="preserve">w </w:t>
      </w:r>
      <w:r w:rsidRPr="00652ACD">
        <w:rPr>
          <w:spacing w:val="-2"/>
          <w:sz w:val="24"/>
        </w:rPr>
        <w:t>gminach graniczących</w:t>
      </w:r>
      <w:r w:rsidR="00687A4D" w:rsidRPr="00652ACD">
        <w:rPr>
          <w:spacing w:val="-2"/>
          <w:sz w:val="24"/>
        </w:rPr>
        <w:t xml:space="preserve"> bezpośrednio </w:t>
      </w:r>
      <w:r w:rsidR="001D1207">
        <w:rPr>
          <w:spacing w:val="-2"/>
          <w:sz w:val="24"/>
        </w:rPr>
        <w:t>z </w:t>
      </w:r>
      <w:r w:rsidRPr="00652ACD">
        <w:rPr>
          <w:spacing w:val="-2"/>
          <w:sz w:val="24"/>
        </w:rPr>
        <w:t>Wrocławiem. W gminie Zawonia</w:t>
      </w:r>
      <w:r w:rsidR="007B5692" w:rsidRPr="00652ACD">
        <w:rPr>
          <w:spacing w:val="-2"/>
          <w:sz w:val="24"/>
        </w:rPr>
        <w:t xml:space="preserve"> </w:t>
      </w:r>
      <w:r w:rsidRPr="00652ACD">
        <w:rPr>
          <w:spacing w:val="-2"/>
          <w:sz w:val="24"/>
        </w:rPr>
        <w:t xml:space="preserve">wskaźnik ten był najniższy spośród gmin WrOF i </w:t>
      </w:r>
      <w:r w:rsidR="00F77B69" w:rsidRPr="00652ACD">
        <w:rPr>
          <w:spacing w:val="-2"/>
          <w:sz w:val="24"/>
        </w:rPr>
        <w:t>wynosił</w:t>
      </w:r>
      <w:r w:rsidR="007B5692" w:rsidRPr="00652ACD">
        <w:rPr>
          <w:spacing w:val="-2"/>
          <w:sz w:val="24"/>
        </w:rPr>
        <w:t xml:space="preserve"> </w:t>
      </w:r>
      <w:r w:rsidR="00B76684" w:rsidRPr="00652ACD">
        <w:rPr>
          <w:spacing w:val="-2"/>
          <w:sz w:val="24"/>
        </w:rPr>
        <w:t>290 kg/os. na rok.</w:t>
      </w:r>
      <w:r w:rsidRPr="00652ACD">
        <w:rPr>
          <w:spacing w:val="-2"/>
          <w:sz w:val="24"/>
        </w:rPr>
        <w:t xml:space="preserve"> W 2021 r. w całym WrOF wytworzono średnio </w:t>
      </w:r>
      <w:r w:rsidR="00F77B69" w:rsidRPr="00652ACD">
        <w:rPr>
          <w:spacing w:val="-2"/>
          <w:sz w:val="24"/>
        </w:rPr>
        <w:t>513</w:t>
      </w:r>
      <w:r w:rsidRPr="00652ACD">
        <w:rPr>
          <w:spacing w:val="-2"/>
          <w:sz w:val="24"/>
        </w:rPr>
        <w:t>,</w:t>
      </w:r>
      <w:r w:rsidR="00F77B69" w:rsidRPr="00652ACD">
        <w:rPr>
          <w:spacing w:val="-2"/>
          <w:sz w:val="24"/>
        </w:rPr>
        <w:t xml:space="preserve">4 </w:t>
      </w:r>
      <w:r w:rsidR="00E07789" w:rsidRPr="00652ACD">
        <w:rPr>
          <w:spacing w:val="-2"/>
          <w:sz w:val="24"/>
        </w:rPr>
        <w:t>kg/os.</w:t>
      </w:r>
      <w:r w:rsidRPr="00652ACD">
        <w:rPr>
          <w:spacing w:val="-2"/>
          <w:sz w:val="24"/>
        </w:rPr>
        <w:t>, co</w:t>
      </w:r>
      <w:r w:rsidR="007B5692" w:rsidRPr="00652ACD">
        <w:rPr>
          <w:spacing w:val="-2"/>
          <w:sz w:val="24"/>
        </w:rPr>
        <w:t xml:space="preserve"> </w:t>
      </w:r>
      <w:r w:rsidRPr="00652ACD">
        <w:rPr>
          <w:spacing w:val="-2"/>
          <w:sz w:val="24"/>
        </w:rPr>
        <w:t xml:space="preserve">jest wynikiem wyższym niż w województwie </w:t>
      </w:r>
      <w:r w:rsidR="00B76684" w:rsidRPr="00652ACD">
        <w:rPr>
          <w:spacing w:val="-2"/>
          <w:sz w:val="24"/>
        </w:rPr>
        <w:t xml:space="preserve">(435 </w:t>
      </w:r>
      <w:r w:rsidR="00E07789" w:rsidRPr="00652ACD">
        <w:rPr>
          <w:spacing w:val="-2"/>
          <w:sz w:val="24"/>
        </w:rPr>
        <w:t>kg/os</w:t>
      </w:r>
      <w:r w:rsidR="00B76684" w:rsidRPr="00652ACD">
        <w:rPr>
          <w:spacing w:val="-2"/>
          <w:sz w:val="24"/>
        </w:rPr>
        <w:t>) i w kraju (360 kg</w:t>
      </w:r>
      <w:r w:rsidR="00E07789" w:rsidRPr="00652ACD">
        <w:rPr>
          <w:spacing w:val="-2"/>
          <w:sz w:val="24"/>
        </w:rPr>
        <w:t xml:space="preserve"> kg/os</w:t>
      </w:r>
      <w:r w:rsidR="00B76684" w:rsidRPr="00652ACD">
        <w:rPr>
          <w:spacing w:val="-2"/>
          <w:sz w:val="24"/>
        </w:rPr>
        <w:t>).</w:t>
      </w:r>
      <w:r w:rsidR="007B5692" w:rsidRPr="00652ACD">
        <w:rPr>
          <w:spacing w:val="-2"/>
          <w:sz w:val="24"/>
        </w:rPr>
        <w:t xml:space="preserve"> </w:t>
      </w:r>
      <w:r w:rsidR="001D1207">
        <w:rPr>
          <w:spacing w:val="-2"/>
          <w:sz w:val="24"/>
        </w:rPr>
        <w:t>Powyższe świadczy o </w:t>
      </w:r>
      <w:r w:rsidRPr="00652ACD">
        <w:rPr>
          <w:spacing w:val="-2"/>
          <w:sz w:val="24"/>
        </w:rPr>
        <w:t>konieczności podjęcia kroków w celu zmniejszenia ilości wytwarzanych odpadów na terenie WrOF.</w:t>
      </w:r>
    </w:p>
    <w:p w:rsidR="009A5CE6" w:rsidRPr="00652ACD" w:rsidRDefault="000178B1" w:rsidP="00652ACD">
      <w:pPr>
        <w:jc w:val="left"/>
        <w:rPr>
          <w:sz w:val="24"/>
        </w:rPr>
      </w:pPr>
      <w:r w:rsidRPr="00652ACD">
        <w:rPr>
          <w:sz w:val="24"/>
        </w:rPr>
        <w:t>Na terenie WrOF w latach 2017-2021 średnio 80-90%</w:t>
      </w:r>
      <w:r w:rsidR="003B579C" w:rsidRPr="00652ACD">
        <w:rPr>
          <w:sz w:val="24"/>
        </w:rPr>
        <w:t xml:space="preserve"> odpadów komunalnych pochodziło </w:t>
      </w:r>
      <w:r w:rsidRPr="00652ACD">
        <w:rPr>
          <w:sz w:val="24"/>
        </w:rPr>
        <w:t>z gospodarstw domowych. Pozostałe 10-20% pochodziło z sektora usługowe</w:t>
      </w:r>
      <w:r w:rsidR="00E07789" w:rsidRPr="00652ACD">
        <w:rPr>
          <w:sz w:val="24"/>
        </w:rPr>
        <w:t>go, publicznego i </w:t>
      </w:r>
      <w:r w:rsidRPr="00652ACD">
        <w:rPr>
          <w:sz w:val="24"/>
        </w:rPr>
        <w:t>przemysłowego. Udział odpadów pochodzących z innych źródeł wynika z funkcjonowania na terenie gminy m.in. zakładów przemysłowych, stref ekonomicznych, a także usług komunalnych, handlu, małego biznesu, biur i instytucji.</w:t>
      </w:r>
    </w:p>
    <w:p w:rsidR="009A5CE6" w:rsidRPr="00265AAF" w:rsidRDefault="009A5CE6" w:rsidP="009A5CE6">
      <w:pPr>
        <w:pStyle w:val="nadWrOF"/>
      </w:pPr>
      <w:bookmarkStart w:id="103" w:name="_Toc125959972"/>
      <w:bookmarkStart w:id="104" w:name="_Toc130466221"/>
      <w:bookmarkStart w:id="105" w:name="_Toc143607004"/>
      <w:r>
        <w:t xml:space="preserve">Mapa </w:t>
      </w:r>
      <w:r w:rsidR="00C73793">
        <w:rPr>
          <w:noProof/>
        </w:rPr>
        <w:fldChar w:fldCharType="begin"/>
      </w:r>
      <w:r>
        <w:rPr>
          <w:noProof/>
        </w:rPr>
        <w:instrText xml:space="preserve"> SEQ Mapa \* ARABIC </w:instrText>
      </w:r>
      <w:r w:rsidR="00C73793">
        <w:rPr>
          <w:noProof/>
        </w:rPr>
        <w:fldChar w:fldCharType="separate"/>
      </w:r>
      <w:r w:rsidR="00C96A96">
        <w:rPr>
          <w:noProof/>
        </w:rPr>
        <w:t>15</w:t>
      </w:r>
      <w:r w:rsidR="00C73793">
        <w:rPr>
          <w:noProof/>
        </w:rPr>
        <w:fldChar w:fldCharType="end"/>
      </w:r>
      <w:r w:rsidR="00E07789">
        <w:rPr>
          <w:noProof/>
        </w:rPr>
        <w:t xml:space="preserve"> </w:t>
      </w:r>
      <w:r w:rsidRPr="00265AAF">
        <w:t xml:space="preserve">Odpady zebrane selektywnie z gospodarstw domowych </w:t>
      </w:r>
      <w:r>
        <w:t xml:space="preserve">w 2021 r. </w:t>
      </w:r>
      <w:r w:rsidRPr="00265AAF">
        <w:t>w relacji do ogółu odpadów zebranych na terenie WrOF [%] wraz z dynamiką zmian w latach 2017-2021</w:t>
      </w:r>
      <w:bookmarkEnd w:id="103"/>
      <w:bookmarkEnd w:id="104"/>
      <w:bookmarkEnd w:id="105"/>
    </w:p>
    <w:p w:rsidR="009A5CE6" w:rsidRDefault="00405DA1" w:rsidP="009A5CE6">
      <w:pPr>
        <w:pStyle w:val="PODWrof"/>
        <w:spacing w:after="0"/>
        <w:rPr>
          <w:noProof/>
          <w:lang w:eastAsia="pl-PL"/>
        </w:rPr>
      </w:pPr>
      <w:r w:rsidRPr="00D74575">
        <w:rPr>
          <w:noProof/>
          <w:lang w:eastAsia="pl-PL"/>
        </w:rPr>
        <w:drawing>
          <wp:inline distT="0" distB="0" distL="0" distR="0" wp14:anchorId="3A40DFE7" wp14:editId="65DA657A">
            <wp:extent cx="5762625" cy="3571875"/>
            <wp:effectExtent l="0" t="0" r="9525" b="9525"/>
            <wp:docPr id="50" name="Obraz 364" descr="Odpady zebrane selektywnie z gospodarstw domowych w 2021 r. w relacji do ogółu odpadów zebranych na terenie WrOF [%] wraz z dynamiką zmian w latach 2017-2021" title="Odpady zebrane selektywnie z gospodarstw domowych w 2021 r. w relacji do ogółu odpadów zebranych na terenie WrOF [%] wraz z dynamiką zmian w latach 2017-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4"/>
                    <pic:cNvPicPr>
                      <a:picLocks noChangeAspect="1" noChangeArrowheads="1"/>
                    </pic:cNvPicPr>
                  </pic:nvPicPr>
                  <pic:blipFill>
                    <a:blip r:embed="rId32" cstate="print"/>
                    <a:srcRect b="2597"/>
                    <a:stretch>
                      <a:fillRect/>
                    </a:stretch>
                  </pic:blipFill>
                  <pic:spPr bwMode="auto">
                    <a:xfrm>
                      <a:off x="0" y="0"/>
                      <a:ext cx="5762625" cy="3571875"/>
                    </a:xfrm>
                    <a:prstGeom prst="rect">
                      <a:avLst/>
                    </a:prstGeom>
                    <a:noFill/>
                    <a:ln w="9525">
                      <a:noFill/>
                      <a:miter lim="800000"/>
                      <a:headEnd/>
                      <a:tailEnd/>
                    </a:ln>
                  </pic:spPr>
                </pic:pic>
              </a:graphicData>
            </a:graphic>
          </wp:inline>
        </w:drawing>
      </w:r>
    </w:p>
    <w:p w:rsidR="009A5CE6" w:rsidRPr="009928B0" w:rsidRDefault="009A5CE6" w:rsidP="009A5CE6">
      <w:pPr>
        <w:pStyle w:val="PODWrof"/>
      </w:pPr>
      <w:r w:rsidRPr="00D77988">
        <w:rPr>
          <w:rStyle w:val="PODWrofZnak"/>
          <w:i/>
        </w:rPr>
        <w:t xml:space="preserve">Źródło: opracowanie własne na podstawie danych BDL GUS </w:t>
      </w:r>
      <w:r w:rsidRPr="00D77988">
        <w:t>[Stan na: 31.12.2021]</w:t>
      </w:r>
      <w:r>
        <w:t>.</w:t>
      </w:r>
    </w:p>
    <w:p w:rsidR="000178B1" w:rsidRPr="00652ACD" w:rsidRDefault="000178B1" w:rsidP="00652ACD">
      <w:pPr>
        <w:jc w:val="left"/>
        <w:rPr>
          <w:sz w:val="24"/>
        </w:rPr>
      </w:pPr>
      <w:r w:rsidRPr="00652ACD">
        <w:rPr>
          <w:sz w:val="24"/>
        </w:rPr>
        <w:t xml:space="preserve">Niemal we wszystkich gminach WrOF w latach 2017-2021 wzrosła ilość odpadów zebranych selektywnie z gospodarstw domowych w relacji do ogólnej masy zebranych odpadów. Taki stan może mieć związek ze wzrostem świadomości ekologicznej mieszkańców WrOF. </w:t>
      </w:r>
    </w:p>
    <w:p w:rsidR="006F761A" w:rsidRPr="00652ACD" w:rsidRDefault="006F761A" w:rsidP="00652ACD">
      <w:pPr>
        <w:spacing w:after="120"/>
        <w:jc w:val="left"/>
        <w:rPr>
          <w:rFonts w:cs="Times New Roman"/>
          <w:sz w:val="24"/>
        </w:rPr>
      </w:pPr>
      <w:r w:rsidRPr="00652ACD">
        <w:rPr>
          <w:sz w:val="24"/>
        </w:rPr>
        <w:t>Zgodnie z ustawą o utrzymaniu czystości i porządku w gminach</w:t>
      </w:r>
      <w:r w:rsidRPr="00652ACD">
        <w:rPr>
          <w:rStyle w:val="Odwoanieprzypisudolnego"/>
          <w:rFonts w:cs="Times New Roman"/>
          <w:sz w:val="24"/>
        </w:rPr>
        <w:footnoteReference w:id="85"/>
      </w:r>
      <w:r w:rsidR="00E07789" w:rsidRPr="00652ACD">
        <w:rPr>
          <w:sz w:val="24"/>
        </w:rPr>
        <w:t xml:space="preserve"> </w:t>
      </w:r>
      <w:r w:rsidRPr="00652ACD">
        <w:rPr>
          <w:rFonts w:cs="Times New Roman"/>
          <w:sz w:val="24"/>
        </w:rPr>
        <w:t>samorządy</w:t>
      </w:r>
      <w:r w:rsidR="00E07789" w:rsidRPr="00652ACD">
        <w:rPr>
          <w:rFonts w:cs="Times New Roman"/>
          <w:sz w:val="24"/>
        </w:rPr>
        <w:t xml:space="preserve"> </w:t>
      </w:r>
      <w:r w:rsidRPr="00652ACD">
        <w:rPr>
          <w:sz w:val="24"/>
        </w:rPr>
        <w:t>do 2020 r. zobowiązane były do osiągnięcia poziomów recyklingu określonych w załączniku do Rozporządzenia Ministra Środowiska z dnia 14 grudnia 2016 r. w sprawie poziomów recyklingu, przygotowania do ponownego użycia i odzysku innymi metodami niektórych frakcji odpadów komunalnych (</w:t>
      </w:r>
      <w:proofErr w:type="spellStart"/>
      <w:r w:rsidRPr="00652ACD">
        <w:rPr>
          <w:sz w:val="24"/>
        </w:rPr>
        <w:t>Dz.U</w:t>
      </w:r>
      <w:proofErr w:type="spellEnd"/>
      <w:r w:rsidRPr="00652ACD">
        <w:rPr>
          <w:sz w:val="24"/>
        </w:rPr>
        <w:t>. 2016 r. poz. 2167</w:t>
      </w:r>
      <w:r w:rsidRPr="00652ACD">
        <w:rPr>
          <w:rFonts w:cs="Arial"/>
          <w:bCs/>
          <w:sz w:val="24"/>
          <w:shd w:val="clear" w:color="auto" w:fill="FFFFFF"/>
        </w:rPr>
        <w:t xml:space="preserve"> z </w:t>
      </w:r>
      <w:proofErr w:type="spellStart"/>
      <w:r w:rsidRPr="00652ACD">
        <w:rPr>
          <w:rFonts w:cs="Arial"/>
          <w:bCs/>
          <w:sz w:val="24"/>
          <w:shd w:val="clear" w:color="auto" w:fill="FFFFFF"/>
        </w:rPr>
        <w:t>późn</w:t>
      </w:r>
      <w:proofErr w:type="spellEnd"/>
      <w:r w:rsidRPr="00652ACD">
        <w:rPr>
          <w:rFonts w:cs="Arial"/>
          <w:bCs/>
          <w:sz w:val="24"/>
          <w:shd w:val="clear" w:color="auto" w:fill="FFFFFF"/>
        </w:rPr>
        <w:t>. zm.</w:t>
      </w:r>
      <w:r w:rsidRPr="00652ACD">
        <w:rPr>
          <w:rFonts w:eastAsia="Times New Roman" w:cs="Arial"/>
          <w:sz w:val="24"/>
          <w:lang w:eastAsia="pl-PL"/>
        </w:rPr>
        <w:t>)</w:t>
      </w:r>
      <w:r w:rsidRPr="00652ACD">
        <w:rPr>
          <w:rStyle w:val="Odwoanieprzypisudolnego"/>
          <w:rFonts w:cs="Times New Roman"/>
          <w:sz w:val="24"/>
        </w:rPr>
        <w:footnoteReference w:id="86"/>
      </w:r>
      <w:r w:rsidRPr="00652ACD">
        <w:rPr>
          <w:rFonts w:cs="Times New Roman"/>
          <w:sz w:val="24"/>
        </w:rPr>
        <w:t xml:space="preserve"> Gminy WrOF w latach 2017-2021</w:t>
      </w:r>
      <w:r w:rsidR="007B5692" w:rsidRPr="00652ACD">
        <w:rPr>
          <w:rFonts w:cs="Times New Roman"/>
          <w:sz w:val="24"/>
        </w:rPr>
        <w:t xml:space="preserve"> </w:t>
      </w:r>
      <w:r w:rsidRPr="00652ACD">
        <w:rPr>
          <w:rFonts w:cs="Times New Roman"/>
          <w:sz w:val="24"/>
        </w:rPr>
        <w:t xml:space="preserve">w większości osiągały wskazane w rozporządzeniu poziomy (wymagane do osiągnięcia do roku 2020). </w:t>
      </w:r>
    </w:p>
    <w:p w:rsidR="007D07F9" w:rsidRPr="00652ACD" w:rsidRDefault="006F761A" w:rsidP="00652ACD">
      <w:pPr>
        <w:jc w:val="left"/>
        <w:rPr>
          <w:color w:val="000000" w:themeColor="text1"/>
          <w:sz w:val="24"/>
        </w:rPr>
      </w:pPr>
      <w:r w:rsidRPr="00652ACD">
        <w:rPr>
          <w:color w:val="000000" w:themeColor="text1"/>
          <w:sz w:val="24"/>
        </w:rPr>
        <w:t>Niezbędna jest zatem kontynuacja działań gmin WrOF, bąd</w:t>
      </w:r>
      <w:r w:rsidR="000C4D3F" w:rsidRPr="00652ACD">
        <w:rPr>
          <w:color w:val="000000" w:themeColor="text1"/>
          <w:sz w:val="24"/>
        </w:rPr>
        <w:t>ź realizacja nowych inicjatyw w </w:t>
      </w:r>
      <w:r w:rsidRPr="00652ACD">
        <w:rPr>
          <w:color w:val="000000" w:themeColor="text1"/>
          <w:sz w:val="24"/>
        </w:rPr>
        <w:t>zakresie zagospodarowania odpad</w:t>
      </w:r>
      <w:r w:rsidR="007B5692" w:rsidRPr="00652ACD">
        <w:rPr>
          <w:color w:val="000000" w:themeColor="text1"/>
          <w:sz w:val="24"/>
        </w:rPr>
        <w:t>ami</w:t>
      </w:r>
      <w:r w:rsidRPr="00652ACD">
        <w:rPr>
          <w:color w:val="000000" w:themeColor="text1"/>
          <w:sz w:val="24"/>
        </w:rPr>
        <w:t xml:space="preserve">, celem utrzymania, bądź pogłębienia pozytywnego trendu. </w:t>
      </w:r>
      <w:r w:rsidR="00ED6A3A" w:rsidRPr="00652ACD">
        <w:rPr>
          <w:color w:val="000000" w:themeColor="text1"/>
          <w:sz w:val="24"/>
        </w:rPr>
        <w:t>Działania te powinny uwzględniać całe systemy związane z odpadami, gdyż nadal na terenie WrOF</w:t>
      </w:r>
      <w:r w:rsidR="005A3351" w:rsidRPr="00652ACD">
        <w:rPr>
          <w:color w:val="000000" w:themeColor="text1"/>
          <w:sz w:val="24"/>
        </w:rPr>
        <w:t xml:space="preserve"> </w:t>
      </w:r>
      <w:r w:rsidR="000178B1" w:rsidRPr="00652ACD">
        <w:rPr>
          <w:color w:val="000000" w:themeColor="text1"/>
          <w:sz w:val="24"/>
        </w:rPr>
        <w:t xml:space="preserve">występuje zjawisko nielegalnego składowania odpadów – </w:t>
      </w:r>
      <w:r w:rsidR="00ED6A3A" w:rsidRPr="00652ACD">
        <w:rPr>
          <w:color w:val="000000" w:themeColor="text1"/>
          <w:sz w:val="24"/>
        </w:rPr>
        <w:t xml:space="preserve">tzw. </w:t>
      </w:r>
      <w:r w:rsidR="000178B1" w:rsidRPr="00652ACD">
        <w:rPr>
          <w:color w:val="000000" w:themeColor="text1"/>
          <w:sz w:val="24"/>
        </w:rPr>
        <w:t>dzikie wysypiska odpadów. Zgodnie z danymi BDL GUS, na terenie WrOF</w:t>
      </w:r>
      <w:r w:rsidR="005A3351" w:rsidRPr="00652ACD">
        <w:rPr>
          <w:color w:val="000000" w:themeColor="text1"/>
          <w:sz w:val="24"/>
        </w:rPr>
        <w:t xml:space="preserve"> </w:t>
      </w:r>
      <w:r w:rsidR="00ED6A3A" w:rsidRPr="00652ACD">
        <w:rPr>
          <w:color w:val="000000" w:themeColor="text1"/>
          <w:sz w:val="24"/>
        </w:rPr>
        <w:t>w roku 2020 wciąż było</w:t>
      </w:r>
      <w:r w:rsidR="005A3351" w:rsidRPr="00652ACD">
        <w:rPr>
          <w:color w:val="000000" w:themeColor="text1"/>
          <w:sz w:val="24"/>
        </w:rPr>
        <w:t xml:space="preserve"> ich</w:t>
      </w:r>
      <w:r w:rsidR="00ED6A3A" w:rsidRPr="00652ACD">
        <w:rPr>
          <w:color w:val="000000" w:themeColor="text1"/>
          <w:sz w:val="24"/>
        </w:rPr>
        <w:t xml:space="preserve"> powyżej 50.</w:t>
      </w:r>
    </w:p>
    <w:p w:rsidR="007D07F9" w:rsidRPr="00652ACD" w:rsidRDefault="001B26D7" w:rsidP="00652ACD">
      <w:pPr>
        <w:jc w:val="left"/>
        <w:rPr>
          <w:color w:val="000000" w:themeColor="text1"/>
          <w:sz w:val="24"/>
        </w:rPr>
      </w:pPr>
      <w:r w:rsidRPr="00652ACD">
        <w:rPr>
          <w:rFonts w:cs="Calibri"/>
          <w:color w:val="000000" w:themeColor="text1"/>
          <w:sz w:val="24"/>
          <w:szCs w:val="20"/>
        </w:rPr>
        <w:t>Analizują</w:t>
      </w:r>
      <w:r w:rsidR="00CB61A3" w:rsidRPr="00652ACD">
        <w:rPr>
          <w:rFonts w:cs="Calibri"/>
          <w:color w:val="000000" w:themeColor="text1"/>
          <w:sz w:val="24"/>
          <w:szCs w:val="20"/>
        </w:rPr>
        <w:t>c</w:t>
      </w:r>
      <w:r w:rsidRPr="00652ACD">
        <w:rPr>
          <w:rFonts w:cs="Calibri"/>
          <w:color w:val="000000" w:themeColor="text1"/>
          <w:sz w:val="24"/>
          <w:szCs w:val="20"/>
        </w:rPr>
        <w:t xml:space="preserve"> dane dotyczące ilości odpadów oraz ich poszczególnych frakcji na obszarze WrOF, zasadne jest przygotowanie się obszaru do wprowadzenia modelu gospodarki o obiegu zamkni</w:t>
      </w:r>
      <w:r w:rsidR="00CB61A3" w:rsidRPr="00652ACD">
        <w:rPr>
          <w:rFonts w:cs="Calibri"/>
          <w:color w:val="000000" w:themeColor="text1"/>
          <w:sz w:val="24"/>
          <w:szCs w:val="20"/>
        </w:rPr>
        <w:t>ę</w:t>
      </w:r>
      <w:r w:rsidR="000C4D3F" w:rsidRPr="00652ACD">
        <w:rPr>
          <w:rFonts w:cs="Calibri"/>
          <w:color w:val="000000" w:themeColor="text1"/>
          <w:sz w:val="24"/>
          <w:szCs w:val="20"/>
        </w:rPr>
        <w:t>tym, co w </w:t>
      </w:r>
      <w:r w:rsidRPr="00652ACD">
        <w:rPr>
          <w:rFonts w:cs="Calibri"/>
          <w:color w:val="000000" w:themeColor="text1"/>
          <w:sz w:val="24"/>
          <w:szCs w:val="20"/>
        </w:rPr>
        <w:t xml:space="preserve">konsekwencji powinno przyczynić się do </w:t>
      </w:r>
      <w:r w:rsidRPr="00652ACD">
        <w:rPr>
          <w:color w:val="000000" w:themeColor="text1"/>
          <w:sz w:val="24"/>
          <w:szCs w:val="20"/>
        </w:rPr>
        <w:t>racjonalnego wykorzystania zasobów i ograniczenia negatywnego oddziaływania na środowisko.</w:t>
      </w:r>
    </w:p>
    <w:p w:rsidR="00ED6A3A" w:rsidRPr="00652ACD" w:rsidRDefault="00ED6A3A" w:rsidP="00652ACD">
      <w:pPr>
        <w:spacing w:after="0"/>
        <w:jc w:val="left"/>
        <w:rPr>
          <w:rFonts w:cstheme="minorHAnsi"/>
          <w:b/>
          <w:color w:val="000000" w:themeColor="text1"/>
          <w:sz w:val="24"/>
        </w:rPr>
      </w:pPr>
      <w:r w:rsidRPr="00652ACD">
        <w:rPr>
          <w:rFonts w:cstheme="minorHAnsi"/>
          <w:b/>
          <w:color w:val="000000" w:themeColor="text1"/>
          <w:sz w:val="24"/>
        </w:rPr>
        <w:t>Odpady w postaci wyrobów zawierających azbest</w:t>
      </w:r>
    </w:p>
    <w:p w:rsidR="0080012A" w:rsidRDefault="0080012A" w:rsidP="00652ACD">
      <w:pPr>
        <w:spacing w:after="0"/>
        <w:jc w:val="left"/>
        <w:rPr>
          <w:color w:val="000000" w:themeColor="text1"/>
          <w:sz w:val="24"/>
        </w:rPr>
      </w:pPr>
      <w:r w:rsidRPr="00652ACD">
        <w:rPr>
          <w:color w:val="000000" w:themeColor="text1"/>
          <w:sz w:val="24"/>
        </w:rPr>
        <w:t xml:space="preserve">Równie ważną kwestią są odpady zawierające azbest, które zgodnie z Program </w:t>
      </w:r>
      <w:r w:rsidR="009447E1" w:rsidRPr="00652ACD">
        <w:rPr>
          <w:color w:val="000000" w:themeColor="text1"/>
          <w:sz w:val="24"/>
        </w:rPr>
        <w:t>Oczyszczania Kraju z </w:t>
      </w:r>
      <w:r w:rsidRPr="00652ACD">
        <w:rPr>
          <w:color w:val="000000" w:themeColor="text1"/>
          <w:sz w:val="24"/>
        </w:rPr>
        <w:t>Azbestu na lata 2009-2032, powinny zostać unieszkodliwione do roku 2032 r. Zgodnie z danymi Bazy Azbestowej</w:t>
      </w:r>
      <w:r w:rsidRPr="00652ACD">
        <w:rPr>
          <w:rStyle w:val="Odwoanieprzypisudolnego"/>
          <w:color w:val="000000" w:themeColor="text1"/>
          <w:sz w:val="24"/>
        </w:rPr>
        <w:footnoteReference w:id="87"/>
      </w:r>
      <w:r w:rsidRPr="00652ACD">
        <w:rPr>
          <w:color w:val="000000" w:themeColor="text1"/>
          <w:sz w:val="24"/>
        </w:rPr>
        <w:t xml:space="preserve">, dotychczas unieszkodliwiono 26% zinwentaryzowanego azbestu na terenie WrOF. Jest to wskaźnik mniejszy niż wskaźnik </w:t>
      </w:r>
      <w:r w:rsidR="005A3351" w:rsidRPr="00652ACD">
        <w:rPr>
          <w:color w:val="000000" w:themeColor="text1"/>
          <w:sz w:val="24"/>
        </w:rPr>
        <w:t xml:space="preserve">dla </w:t>
      </w:r>
      <w:r w:rsidRPr="00652ACD">
        <w:rPr>
          <w:color w:val="000000" w:themeColor="text1"/>
          <w:sz w:val="24"/>
        </w:rPr>
        <w:t>województwa dolnośląskiego (30,7%), co sygnalizuje konieczność podejmowania dalszych działań związanych z</w:t>
      </w:r>
      <w:r w:rsidR="000F5700" w:rsidRPr="00652ACD">
        <w:rPr>
          <w:color w:val="000000" w:themeColor="text1"/>
          <w:sz w:val="24"/>
        </w:rPr>
        <w:t xml:space="preserve"> usuwaniem i utylizacją azbestu.</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652ACD" w:rsidRPr="00800D30" w:rsidTr="00652ACD">
        <w:trPr>
          <w:trHeight w:val="510"/>
          <w:tblHeader/>
        </w:trPr>
        <w:tc>
          <w:tcPr>
            <w:tcW w:w="9062" w:type="dxa"/>
            <w:vAlign w:val="center"/>
          </w:tcPr>
          <w:p w:rsidR="00652ACD" w:rsidRPr="00800D30" w:rsidRDefault="00652ACD" w:rsidP="00652ACD">
            <w:pPr>
              <w:spacing w:line="240" w:lineRule="auto"/>
              <w:jc w:val="left"/>
              <w:rPr>
                <w:b/>
                <w:sz w:val="24"/>
              </w:rPr>
            </w:pPr>
            <w:r w:rsidRPr="00800D30">
              <w:rPr>
                <w:b/>
                <w:sz w:val="24"/>
              </w:rPr>
              <w:t>Kluczowe wyzwania strategiczne</w:t>
            </w:r>
          </w:p>
        </w:tc>
      </w:tr>
      <w:tr w:rsidR="00652ACD" w:rsidTr="00652ACD">
        <w:trPr>
          <w:trHeight w:val="737"/>
        </w:trPr>
        <w:tc>
          <w:tcPr>
            <w:tcW w:w="9062" w:type="dxa"/>
            <w:vAlign w:val="center"/>
          </w:tcPr>
          <w:p w:rsidR="00652ACD" w:rsidRPr="000530A7" w:rsidRDefault="00652ACD" w:rsidP="00652ACD">
            <w:pPr>
              <w:spacing w:line="240" w:lineRule="auto"/>
              <w:jc w:val="left"/>
              <w:rPr>
                <w:rFonts w:cs="Calibri"/>
                <w:szCs w:val="20"/>
              </w:rPr>
            </w:pPr>
            <w:r>
              <w:rPr>
                <w:rFonts w:cs="Calibri"/>
                <w:szCs w:val="20"/>
              </w:rPr>
              <w:t xml:space="preserve">Wysokie walory krajobrazowe i przyrodnicze, obecność cennych zbiorowisk </w:t>
            </w:r>
            <w:r>
              <w:rPr>
                <w:rFonts w:cs="Calibri"/>
                <w:szCs w:val="20"/>
              </w:rPr>
              <w:br/>
              <w:t>chronionych i rzadkich gatunków roślin i zwierząt oraz terenów leśnych implikują</w:t>
            </w:r>
            <w:r>
              <w:rPr>
                <w:rFonts w:cs="Calibri"/>
                <w:szCs w:val="20"/>
              </w:rPr>
              <w:br/>
              <w:t xml:space="preserve">konieczność prowadzenia działań mających na celu ich ochronę. Wykorzystanie terenów w celach rekreacyjnych oraz turystycznych powinno uwzględniać minimalizację wpływu antropogenicznego na środowisko  (np. poprzez wyznaczanie odpowiednich szlaków). Ponadto należy prowadzić działania edukacyjne w tym zakresie. </w:t>
            </w:r>
          </w:p>
        </w:tc>
      </w:tr>
      <w:tr w:rsidR="00652ACD" w:rsidTr="00652ACD">
        <w:trPr>
          <w:trHeight w:val="737"/>
        </w:trPr>
        <w:tc>
          <w:tcPr>
            <w:tcW w:w="9062" w:type="dxa"/>
            <w:vAlign w:val="center"/>
          </w:tcPr>
          <w:p w:rsidR="00652ACD" w:rsidRPr="000C4D3F" w:rsidRDefault="00652ACD" w:rsidP="00652ACD">
            <w:pPr>
              <w:spacing w:line="240" w:lineRule="auto"/>
              <w:jc w:val="left"/>
              <w:rPr>
                <w:rFonts w:cs="Calibri"/>
                <w:szCs w:val="20"/>
              </w:rPr>
            </w:pPr>
            <w:r w:rsidRPr="000530A7">
              <w:rPr>
                <w:rFonts w:cs="Calibri"/>
                <w:szCs w:val="20"/>
              </w:rPr>
              <w:t xml:space="preserve">Konieczne jest podjęcie działań na rzecz </w:t>
            </w:r>
            <w:proofErr w:type="spellStart"/>
            <w:r>
              <w:rPr>
                <w:rFonts w:cs="Calibri"/>
                <w:szCs w:val="20"/>
              </w:rPr>
              <w:t>mitygacji</w:t>
            </w:r>
            <w:proofErr w:type="spellEnd"/>
            <w:r>
              <w:rPr>
                <w:rFonts w:cs="Calibri"/>
                <w:szCs w:val="20"/>
              </w:rPr>
              <w:t xml:space="preserve"> oraz </w:t>
            </w:r>
            <w:r w:rsidRPr="000530A7">
              <w:rPr>
                <w:rFonts w:cs="Calibri"/>
                <w:szCs w:val="20"/>
              </w:rPr>
              <w:t>dosto</w:t>
            </w:r>
            <w:r>
              <w:rPr>
                <w:rFonts w:cs="Calibri"/>
                <w:szCs w:val="20"/>
              </w:rPr>
              <w:t xml:space="preserve">sowania WrOF do prognozowanych </w:t>
            </w:r>
            <w:r w:rsidRPr="000530A7">
              <w:rPr>
                <w:rFonts w:cs="Calibri"/>
                <w:szCs w:val="20"/>
              </w:rPr>
              <w:t>skutków zmian klimatu, które powinny</w:t>
            </w:r>
            <w:r>
              <w:rPr>
                <w:rFonts w:cs="Calibri"/>
                <w:szCs w:val="20"/>
              </w:rPr>
              <w:t xml:space="preserve"> być realizowane jednocześnie z </w:t>
            </w:r>
            <w:r w:rsidRPr="000530A7">
              <w:rPr>
                <w:rFonts w:cs="Calibri"/>
                <w:szCs w:val="20"/>
              </w:rPr>
              <w:t>działaniami ograniczającymi emisję gazów cieplarnianych.</w:t>
            </w:r>
            <w:r>
              <w:rPr>
                <w:rFonts w:cs="Calibri"/>
                <w:szCs w:val="20"/>
              </w:rPr>
              <w:t xml:space="preserve"> </w:t>
            </w:r>
            <w:r w:rsidRPr="000530A7">
              <w:rPr>
                <w:szCs w:val="20"/>
              </w:rPr>
              <w:t xml:space="preserve">Do najistotniejszych działań technicznych, należą </w:t>
            </w:r>
            <w:r>
              <w:rPr>
                <w:szCs w:val="20"/>
              </w:rPr>
              <w:t xml:space="preserve">te </w:t>
            </w:r>
            <w:r w:rsidRPr="000530A7">
              <w:rPr>
                <w:szCs w:val="20"/>
              </w:rPr>
              <w:t xml:space="preserve">związane z budową </w:t>
            </w:r>
            <w:r>
              <w:rPr>
                <w:szCs w:val="20"/>
              </w:rPr>
              <w:t>i</w:t>
            </w:r>
            <w:r w:rsidRPr="000530A7">
              <w:rPr>
                <w:szCs w:val="20"/>
              </w:rPr>
              <w:t xml:space="preserve"> rozwojem błękitnej </w:t>
            </w:r>
            <w:r>
              <w:rPr>
                <w:szCs w:val="20"/>
              </w:rPr>
              <w:t>oraz</w:t>
            </w:r>
            <w:r w:rsidRPr="000530A7">
              <w:rPr>
                <w:szCs w:val="20"/>
              </w:rPr>
              <w:t> </w:t>
            </w:r>
            <w:r>
              <w:rPr>
                <w:szCs w:val="20"/>
              </w:rPr>
              <w:t xml:space="preserve"> </w:t>
            </w:r>
            <w:r w:rsidRPr="000530A7">
              <w:rPr>
                <w:szCs w:val="20"/>
              </w:rPr>
              <w:t>zielonej infrastruktury, w tym rozwój istniejących sieci powiązanych przestrzennie i funkc</w:t>
            </w:r>
            <w:r>
              <w:rPr>
                <w:szCs w:val="20"/>
              </w:rPr>
              <w:t>jonalnie obszarów naturalnych i </w:t>
            </w:r>
            <w:r w:rsidRPr="000530A7">
              <w:rPr>
                <w:szCs w:val="20"/>
              </w:rPr>
              <w:t>pół-naturalnych, obejmujących wszystkie możliwe formy zieleni urządzonej i nieurządzonej</w:t>
            </w:r>
            <w:r>
              <w:rPr>
                <w:szCs w:val="20"/>
              </w:rPr>
              <w:t>,</w:t>
            </w:r>
            <w:r w:rsidRPr="000530A7">
              <w:rPr>
                <w:szCs w:val="20"/>
              </w:rPr>
              <w:t xml:space="preserve"> ze szczególnym uwzględnieniem obiektów </w:t>
            </w:r>
            <w:r>
              <w:rPr>
                <w:szCs w:val="20"/>
              </w:rPr>
              <w:t xml:space="preserve">małej </w:t>
            </w:r>
            <w:r w:rsidRPr="000530A7">
              <w:rPr>
                <w:szCs w:val="20"/>
              </w:rPr>
              <w:t>retencji.</w:t>
            </w:r>
          </w:p>
        </w:tc>
      </w:tr>
      <w:tr w:rsidR="00652ACD" w:rsidTr="00652ACD">
        <w:trPr>
          <w:trHeight w:val="737"/>
        </w:trPr>
        <w:tc>
          <w:tcPr>
            <w:tcW w:w="9062" w:type="dxa"/>
            <w:vAlign w:val="center"/>
          </w:tcPr>
          <w:p w:rsidR="00652ACD" w:rsidRDefault="00652ACD" w:rsidP="00652ACD">
            <w:pPr>
              <w:spacing w:line="240" w:lineRule="auto"/>
              <w:jc w:val="left"/>
              <w:rPr>
                <w:rFonts w:cs="Calibri"/>
                <w:szCs w:val="20"/>
              </w:rPr>
            </w:pPr>
            <w:r w:rsidRPr="000530A7">
              <w:rPr>
                <w:rFonts w:cs="Calibri"/>
                <w:szCs w:val="20"/>
              </w:rPr>
              <w:t xml:space="preserve">W ślad za rozbudową sieci kanalizacyjnej powinna iść </w:t>
            </w:r>
            <w:r>
              <w:rPr>
                <w:rFonts w:cs="Calibri"/>
                <w:szCs w:val="20"/>
              </w:rPr>
              <w:t xml:space="preserve">modernizacja i </w:t>
            </w:r>
            <w:r w:rsidRPr="000530A7">
              <w:rPr>
                <w:rFonts w:cs="Calibri"/>
                <w:szCs w:val="20"/>
              </w:rPr>
              <w:t>budowa nowych oczyszczalni ścieków oraz wykorzystanie najnowszych technologii oczyszczania. Oprócz budowy nowych odcinków sieci kanalizacyjnej i wodociągowej istnieje potrzeba modernizacji wyeksploatowanych i przestarzałych części tej infrastruktury. Działania te są konieczne z punktu widzenia ochrony środowiska jako kluczowe do osiągni</w:t>
            </w:r>
            <w:r>
              <w:rPr>
                <w:rFonts w:cs="Calibri"/>
                <w:szCs w:val="20"/>
              </w:rPr>
              <w:t>ę</w:t>
            </w:r>
            <w:r w:rsidRPr="000530A7">
              <w:rPr>
                <w:rFonts w:cs="Calibri"/>
                <w:szCs w:val="20"/>
              </w:rPr>
              <w:t xml:space="preserve">cia bądź utrzymania dobrego stanu wód i gleb dzięki minimalizacji zanieczyszczeń ze zbiorników bezodpływowych oraz wprowadzanych ścieków oczyszczonych o przekroczonych dopuszczalnych parametrach. </w:t>
            </w:r>
          </w:p>
          <w:p w:rsidR="00652ACD" w:rsidRPr="000530A7" w:rsidRDefault="00652ACD" w:rsidP="00652ACD">
            <w:pPr>
              <w:spacing w:line="240" w:lineRule="auto"/>
              <w:jc w:val="left"/>
              <w:rPr>
                <w:rFonts w:cstheme="minorHAnsi"/>
                <w:szCs w:val="20"/>
              </w:rPr>
            </w:pPr>
            <w:r>
              <w:rPr>
                <w:rFonts w:cs="Calibri"/>
              </w:rPr>
              <w:t>Inwestycje w zakresie gospodarki wodno-ściekowej, powinny również uwzględniać zadania związane z zagospodarowaniem osadów ściekowych oraz systemów uzdatniania wody.</w:t>
            </w:r>
          </w:p>
        </w:tc>
      </w:tr>
      <w:tr w:rsidR="00652ACD" w:rsidTr="00652ACD">
        <w:trPr>
          <w:trHeight w:val="737"/>
        </w:trPr>
        <w:tc>
          <w:tcPr>
            <w:tcW w:w="9062" w:type="dxa"/>
            <w:vAlign w:val="center"/>
          </w:tcPr>
          <w:p w:rsidR="00652ACD" w:rsidRPr="000530A7" w:rsidRDefault="00652ACD" w:rsidP="00652ACD">
            <w:pPr>
              <w:spacing w:line="240" w:lineRule="auto"/>
              <w:jc w:val="left"/>
              <w:rPr>
                <w:rFonts w:cstheme="minorHAnsi"/>
                <w:szCs w:val="20"/>
              </w:rPr>
            </w:pPr>
            <w:r w:rsidRPr="000530A7">
              <w:rPr>
                <w:rFonts w:cs="Calibri"/>
                <w:szCs w:val="20"/>
              </w:rPr>
              <w:t>Prawidłowa gospodarka odpadami jest jednym z priorytetów w dziedzinie ochrony środowiska, ze względu na problem zwiększającej się ilości generowanych odpadów. Najistotniejszym aspektem w celu poprawy gospodarki odpadami jest wprowadzanie modelu gospodarki o obiegu zamkniętym</w:t>
            </w:r>
            <w:r>
              <w:rPr>
                <w:rFonts w:cs="Calibri"/>
                <w:szCs w:val="20"/>
              </w:rPr>
              <w:t>,</w:t>
            </w:r>
            <w:r w:rsidRPr="000530A7">
              <w:rPr>
                <w:szCs w:val="20"/>
              </w:rPr>
              <w:t xml:space="preserve"> zmierzającej do racjonalnego wykorzystania zasobów i ograniczenia negatywnego oddziaływania na środowisko.</w:t>
            </w:r>
          </w:p>
        </w:tc>
      </w:tr>
      <w:tr w:rsidR="00652ACD" w:rsidTr="00652ACD">
        <w:trPr>
          <w:trHeight w:val="737"/>
        </w:trPr>
        <w:tc>
          <w:tcPr>
            <w:tcW w:w="9062" w:type="dxa"/>
            <w:vAlign w:val="center"/>
          </w:tcPr>
          <w:p w:rsidR="00652ACD" w:rsidRPr="000530A7" w:rsidRDefault="00652ACD" w:rsidP="00652ACD">
            <w:pPr>
              <w:spacing w:line="240" w:lineRule="auto"/>
              <w:jc w:val="left"/>
              <w:rPr>
                <w:szCs w:val="20"/>
              </w:rPr>
            </w:pPr>
            <w:r w:rsidRPr="000530A7">
              <w:rPr>
                <w:rFonts w:cs="Calibri"/>
                <w:szCs w:val="20"/>
              </w:rPr>
              <w:t>W kontekście infrastruktury energetycznej konieczne jest podjęcie prac modernizacyjnych oraz rozbudowy infrastruktury energetycznej</w:t>
            </w:r>
            <w:r>
              <w:rPr>
                <w:rFonts w:cs="Calibri"/>
                <w:szCs w:val="20"/>
              </w:rPr>
              <w:t>, w tym instalacji  OZE</w:t>
            </w:r>
            <w:r w:rsidRPr="000530A7">
              <w:rPr>
                <w:rFonts w:cs="Calibri"/>
                <w:szCs w:val="20"/>
              </w:rPr>
              <w:t xml:space="preserve"> w celu zapewnienia bezpiecznych i stabilnych dostaw energii oraz przygotowanie terenu WrOF do zielonej transformacji</w:t>
            </w:r>
            <w:r>
              <w:rPr>
                <w:rFonts w:cs="Calibri"/>
                <w:szCs w:val="20"/>
              </w:rPr>
              <w:t>,</w:t>
            </w:r>
            <w:r w:rsidRPr="000530A7">
              <w:rPr>
                <w:rFonts w:cs="Calibri"/>
                <w:szCs w:val="20"/>
              </w:rPr>
              <w:t xml:space="preserve"> uwzgl</w:t>
            </w:r>
            <w:r>
              <w:rPr>
                <w:rFonts w:cs="Calibri"/>
                <w:szCs w:val="20"/>
              </w:rPr>
              <w:t>ę</w:t>
            </w:r>
            <w:r w:rsidRPr="000530A7">
              <w:rPr>
                <w:rFonts w:cs="Calibri"/>
                <w:szCs w:val="20"/>
              </w:rPr>
              <w:t>dniającej obecną i prognozowaną sytuację energetyczną. Dodatkowo kluczowym wyzwaniem jest upowszechnianie wykorzystania OZE do produkcji energii elektrycznej oraz ciepła, w tym wspieranie rozwoju ener</w:t>
            </w:r>
            <w:r>
              <w:rPr>
                <w:rFonts w:cs="Calibri"/>
                <w:szCs w:val="20"/>
              </w:rPr>
              <w:t>gii odnawialnej poprzez zakup i </w:t>
            </w:r>
            <w:r w:rsidRPr="000530A7">
              <w:rPr>
                <w:rFonts w:cs="Calibri"/>
                <w:szCs w:val="20"/>
              </w:rPr>
              <w:t xml:space="preserve">montaż magazynów energii. Nie bez znaczenia dla jakości środowiska naturalnego będzie również budowa nowych budynków użyteczności publicznej będących projektami demonstracyjnymi w zakresie efektywności energetycznej (oraz wspieranie już istniejącej infrastruktury poprzez </w:t>
            </w:r>
            <w:r>
              <w:rPr>
                <w:rFonts w:cs="Calibri"/>
                <w:szCs w:val="20"/>
              </w:rPr>
              <w:t xml:space="preserve">prace </w:t>
            </w:r>
            <w:r w:rsidRPr="000530A7">
              <w:rPr>
                <w:rFonts w:cs="Calibri"/>
                <w:szCs w:val="20"/>
              </w:rPr>
              <w:t>termomodernizac</w:t>
            </w:r>
            <w:r>
              <w:rPr>
                <w:rFonts w:cs="Calibri"/>
                <w:szCs w:val="20"/>
              </w:rPr>
              <w:t>yjne</w:t>
            </w:r>
            <w:r w:rsidRPr="000530A7">
              <w:rPr>
                <w:rFonts w:cs="Calibri"/>
                <w:szCs w:val="20"/>
              </w:rPr>
              <w:t>).</w:t>
            </w:r>
          </w:p>
        </w:tc>
      </w:tr>
      <w:tr w:rsidR="00652ACD" w:rsidTr="00652ACD">
        <w:trPr>
          <w:trHeight w:val="737"/>
        </w:trPr>
        <w:tc>
          <w:tcPr>
            <w:tcW w:w="9062" w:type="dxa"/>
            <w:vAlign w:val="center"/>
          </w:tcPr>
          <w:p w:rsidR="00652ACD" w:rsidRPr="000530A7" w:rsidRDefault="00652ACD" w:rsidP="00652ACD">
            <w:pPr>
              <w:spacing w:line="240" w:lineRule="auto"/>
              <w:jc w:val="left"/>
              <w:rPr>
                <w:rFonts w:cstheme="minorHAnsi"/>
                <w:szCs w:val="20"/>
              </w:rPr>
            </w:pPr>
            <w:r w:rsidRPr="000530A7">
              <w:rPr>
                <w:szCs w:val="20"/>
              </w:rPr>
              <w:t>Wyzwaniem dla samorządów jest kompleksowa poprawa jakości powietrza oraz stanu gleby i wód, w szczególności cieków wodnych (z tym wykorzystania ich potencjału), a także prowadzenie działań edukacyjnych ukierunkowanych na wzrost świadomości mieszkańców, dotyczącej przede wszystkim kryzysu klimatycznego i jego konsekwencji.</w:t>
            </w:r>
          </w:p>
        </w:tc>
      </w:tr>
    </w:tbl>
    <w:p w:rsidR="00652ACD" w:rsidRDefault="00652ACD" w:rsidP="00652ACD">
      <w:pPr>
        <w:spacing w:after="0"/>
        <w:jc w:val="left"/>
        <w:rPr>
          <w:color w:val="000000" w:themeColor="text1"/>
          <w:sz w:val="24"/>
        </w:rPr>
      </w:pPr>
    </w:p>
    <w:p w:rsidR="007D07F9" w:rsidRPr="00A02854" w:rsidRDefault="007D07F9" w:rsidP="00D74575">
      <w:pPr>
        <w:spacing w:after="0"/>
        <w:rPr>
          <w:sz w:val="2"/>
          <w:szCs w:val="2"/>
        </w:rPr>
      </w:pPr>
    </w:p>
    <w:p w:rsidR="000178B1" w:rsidRPr="00A623C9" w:rsidRDefault="000530A7" w:rsidP="000178B1">
      <w:pPr>
        <w:pStyle w:val="Nagwek2"/>
        <w:rPr>
          <w:rFonts w:asciiTheme="minorHAnsi" w:hAnsiTheme="minorHAnsi" w:cstheme="minorHAnsi"/>
          <w:b w:val="0"/>
        </w:rPr>
      </w:pPr>
      <w:bookmarkStart w:id="106" w:name="_Toc124767663"/>
      <w:bookmarkStart w:id="107" w:name="_Toc125707446"/>
      <w:bookmarkStart w:id="108" w:name="_Toc143673210"/>
      <w:r w:rsidRPr="00A623C9">
        <w:rPr>
          <w:rFonts w:asciiTheme="minorHAnsi" w:hAnsiTheme="minorHAnsi" w:cstheme="minorHAnsi"/>
          <w:b w:val="0"/>
        </w:rPr>
        <w:t>II.</w:t>
      </w:r>
      <w:r w:rsidR="00187AED" w:rsidRPr="00A623C9">
        <w:rPr>
          <w:rFonts w:asciiTheme="minorHAnsi" w:hAnsiTheme="minorHAnsi" w:cstheme="minorHAnsi"/>
          <w:b w:val="0"/>
        </w:rPr>
        <w:t>7</w:t>
      </w:r>
      <w:r w:rsidR="000178B1" w:rsidRPr="00A623C9">
        <w:rPr>
          <w:rFonts w:asciiTheme="minorHAnsi" w:hAnsiTheme="minorHAnsi" w:cstheme="minorHAnsi"/>
          <w:b w:val="0"/>
        </w:rPr>
        <w:t xml:space="preserve"> Kultura i dziedzictwo kulturowe</w:t>
      </w:r>
      <w:bookmarkEnd w:id="106"/>
      <w:bookmarkEnd w:id="107"/>
      <w:bookmarkEnd w:id="108"/>
    </w:p>
    <w:p w:rsidR="000178B1" w:rsidRPr="001D1207" w:rsidRDefault="000178B1" w:rsidP="001D1207">
      <w:pPr>
        <w:jc w:val="left"/>
        <w:rPr>
          <w:rFonts w:cstheme="minorHAnsi"/>
          <w:sz w:val="24"/>
        </w:rPr>
      </w:pPr>
      <w:r w:rsidRPr="001D1207">
        <w:rPr>
          <w:rFonts w:cstheme="minorHAnsi"/>
          <w:sz w:val="24"/>
        </w:rPr>
        <w:t>Oferta kulturalna oraz dostępność (architektoniczna, cyfrowa, informacyjno-komunikacyjna) obiektów i infrastruktury są elementami budującym atr</w:t>
      </w:r>
      <w:r w:rsidR="001D1207">
        <w:rPr>
          <w:rFonts w:cstheme="minorHAnsi"/>
          <w:sz w:val="24"/>
        </w:rPr>
        <w:t>akcyjność osiedleńczą obszaru i </w:t>
      </w:r>
      <w:r w:rsidRPr="001D1207">
        <w:rPr>
          <w:rFonts w:cstheme="minorHAnsi"/>
          <w:sz w:val="24"/>
        </w:rPr>
        <w:t>wpływającymi na jego wizerunek i potencjał rozwoju ruchu turystycznego.</w:t>
      </w:r>
      <w:r w:rsidR="00602F6D" w:rsidRPr="001D1207">
        <w:rPr>
          <w:rFonts w:cstheme="minorHAnsi"/>
          <w:sz w:val="24"/>
        </w:rPr>
        <w:t xml:space="preserve"> </w:t>
      </w:r>
      <w:r w:rsidRPr="001D1207">
        <w:rPr>
          <w:rFonts w:cstheme="minorHAnsi"/>
          <w:sz w:val="24"/>
        </w:rPr>
        <w:t>Porównanie potencjału kultur</w:t>
      </w:r>
      <w:r w:rsidR="00602F6D" w:rsidRPr="001D1207">
        <w:rPr>
          <w:rFonts w:cstheme="minorHAnsi"/>
          <w:sz w:val="24"/>
        </w:rPr>
        <w:t>owego</w:t>
      </w:r>
      <w:r w:rsidR="00652ACD" w:rsidRPr="001D1207">
        <w:rPr>
          <w:rFonts w:cstheme="minorHAnsi"/>
          <w:sz w:val="24"/>
        </w:rPr>
        <w:t xml:space="preserve"> Wrocławia z </w:t>
      </w:r>
      <w:r w:rsidRPr="001D1207">
        <w:rPr>
          <w:rFonts w:cstheme="minorHAnsi"/>
          <w:sz w:val="24"/>
        </w:rPr>
        <w:t>pozostałymi jednostka</w:t>
      </w:r>
      <w:r w:rsidR="001D1207">
        <w:rPr>
          <w:rFonts w:cstheme="minorHAnsi"/>
          <w:sz w:val="24"/>
        </w:rPr>
        <w:t>mi WrOF jest niezwykle trudne i </w:t>
      </w:r>
      <w:r w:rsidRPr="001D1207">
        <w:rPr>
          <w:rFonts w:cstheme="minorHAnsi"/>
          <w:sz w:val="24"/>
        </w:rPr>
        <w:t>nie zawsze miarodajne. Wrocław, wraz z jego zabytkami, instytucjami kultury i imprezami kulturalnymi o zasięgu międzynarodowym, wyróżnia się w dziedzinie kultury nie tylko we WrO</w:t>
      </w:r>
      <w:r w:rsidR="000530A7" w:rsidRPr="001D1207">
        <w:rPr>
          <w:rFonts w:cstheme="minorHAnsi"/>
          <w:sz w:val="24"/>
        </w:rPr>
        <w:t>F, ale na tle kraju i Europy. O </w:t>
      </w:r>
      <w:r w:rsidR="003B579C" w:rsidRPr="001D1207">
        <w:rPr>
          <w:rFonts w:cstheme="minorHAnsi"/>
          <w:sz w:val="24"/>
        </w:rPr>
        <w:t>silnej pozycji Wrocławia na </w:t>
      </w:r>
      <w:r w:rsidRPr="001D1207">
        <w:rPr>
          <w:rFonts w:cstheme="minorHAnsi"/>
          <w:sz w:val="24"/>
        </w:rPr>
        <w:t>mapie kultur</w:t>
      </w:r>
      <w:r w:rsidR="00602F6D" w:rsidRPr="001D1207">
        <w:rPr>
          <w:rFonts w:cstheme="minorHAnsi"/>
          <w:sz w:val="24"/>
        </w:rPr>
        <w:t>owej</w:t>
      </w:r>
      <w:r w:rsidRPr="001D1207">
        <w:rPr>
          <w:rFonts w:cstheme="minorHAnsi"/>
          <w:sz w:val="24"/>
        </w:rPr>
        <w:t xml:space="preserve"> Europy świadczy chociażby uzyskanie w 2016 roku tytułu Europejskiej Stolicy Kultury.</w:t>
      </w:r>
    </w:p>
    <w:p w:rsidR="000178B1" w:rsidRPr="001D1207" w:rsidRDefault="000178B1" w:rsidP="001D1207">
      <w:pPr>
        <w:jc w:val="left"/>
        <w:rPr>
          <w:rFonts w:cstheme="minorHAnsi"/>
          <w:sz w:val="24"/>
        </w:rPr>
      </w:pPr>
      <w:r w:rsidRPr="001D1207">
        <w:rPr>
          <w:rFonts w:cstheme="minorHAnsi"/>
          <w:sz w:val="24"/>
        </w:rPr>
        <w:t>Podając za GUS, w 2021 r. na terenie WrOF działało łącznie 300 placówek kultury z różnych dziedzin życia kultur</w:t>
      </w:r>
      <w:r w:rsidR="009B443B" w:rsidRPr="001D1207">
        <w:rPr>
          <w:rFonts w:cstheme="minorHAnsi"/>
          <w:sz w:val="24"/>
        </w:rPr>
        <w:t>y</w:t>
      </w:r>
      <w:r w:rsidRPr="001D1207">
        <w:rPr>
          <w:rFonts w:cstheme="minorHAnsi"/>
          <w:sz w:val="24"/>
        </w:rPr>
        <w:t>. Zdecydowana większość placówek to biblioteki i ośrodki (centra) kultury, stanowiące blisko 77% wszystkich placówek kultury na obszarze WrOF. Najwyższą ich liczbę zidentyfikowano we Wrocławiu (184). W pozostałych gminach, największą sieć placówek kultury (w tym świetlic) odnotowano w Miękini (20), Długołęce (12) oraz Siechnicach (11). Na terenie każdej z gmin</w:t>
      </w:r>
      <w:r w:rsidR="00FD6804" w:rsidRPr="001D1207">
        <w:rPr>
          <w:rFonts w:cstheme="minorHAnsi"/>
          <w:sz w:val="24"/>
        </w:rPr>
        <w:t xml:space="preserve"> </w:t>
      </w:r>
      <w:r w:rsidRPr="001D1207">
        <w:rPr>
          <w:rFonts w:cstheme="minorHAnsi"/>
          <w:sz w:val="24"/>
        </w:rPr>
        <w:t xml:space="preserve">WrOF funkcjonuje biblioteka oraz centrum/dom lub ośrodek kultury (wyjątek stanowi Oława- gmina wiejska, która nie posiada własnego ośrodka kultury, </w:t>
      </w:r>
      <w:r w:rsidR="00FD6804" w:rsidRPr="001D1207">
        <w:rPr>
          <w:rFonts w:cstheme="minorHAnsi"/>
          <w:sz w:val="24"/>
        </w:rPr>
        <w:t xml:space="preserve">ale </w:t>
      </w:r>
      <w:r w:rsidRPr="001D1207">
        <w:rPr>
          <w:rFonts w:cstheme="minorHAnsi"/>
          <w:sz w:val="24"/>
        </w:rPr>
        <w:t xml:space="preserve">na jej terenie funkcjonuje biblioteka wraz z 6 filiami oraz Czernica). Uzupełnieniem oferty kulturalnej gmin otaczających Wrocław są również muzea i kina, które funkcjonują m.in. w Oleśnicy (miasto), Sobótce, Oławie (miasto), Trzebnicy oraz Jelczu-Laskowicach i Żórawinie (muzea). Różnorodność tego rodzaju obiektów jest najwyższa we Wrocławiu, w którym oprócz wcześniej wymienionych placówek, ofertę wzbogacają teatry, instytucje muzyczne oraz obiekty sztuki wystawienniczej. </w:t>
      </w:r>
    </w:p>
    <w:p w:rsidR="000178B1" w:rsidRPr="001D1207" w:rsidRDefault="000178B1" w:rsidP="001D1207">
      <w:pPr>
        <w:jc w:val="left"/>
        <w:rPr>
          <w:rFonts w:cstheme="minorHAnsi"/>
          <w:sz w:val="24"/>
        </w:rPr>
      </w:pPr>
      <w:r w:rsidRPr="001D1207">
        <w:rPr>
          <w:rFonts w:cstheme="minorHAnsi"/>
          <w:sz w:val="24"/>
        </w:rPr>
        <w:t>Zgodnie z danymi BDL GUS w 2021 r. na terenie WrOF zorganizowano 3 333 imprezy kulturalne</w:t>
      </w:r>
      <w:r w:rsidRPr="001D1207">
        <w:rPr>
          <w:rStyle w:val="Odwoanieprzypisudolnego"/>
          <w:rFonts w:cstheme="minorHAnsi"/>
          <w:sz w:val="24"/>
        </w:rPr>
        <w:footnoteReference w:id="88"/>
      </w:r>
      <w:r w:rsidRPr="001D1207">
        <w:rPr>
          <w:rFonts w:cstheme="minorHAnsi"/>
          <w:sz w:val="24"/>
        </w:rPr>
        <w:t>, w których uczestniczyło blisko 1 mln osób, z czego ponad 840 tys. we Wrocławiu. Wskaźnik liczby zorganizowanych imprez na 1</w:t>
      </w:r>
      <w:r w:rsidR="00E07789" w:rsidRPr="001D1207">
        <w:rPr>
          <w:rFonts w:cstheme="minorHAnsi"/>
          <w:sz w:val="24"/>
        </w:rPr>
        <w:t xml:space="preserve"> </w:t>
      </w:r>
      <w:r w:rsidRPr="001D1207">
        <w:rPr>
          <w:rFonts w:cstheme="minorHAnsi"/>
          <w:sz w:val="24"/>
        </w:rPr>
        <w:t xml:space="preserve">000 mieszkańców wyniósł 3,3 i był niższy w stosunku do średniej </w:t>
      </w:r>
      <w:r w:rsidR="00062898" w:rsidRPr="001D1207">
        <w:rPr>
          <w:rFonts w:cstheme="minorHAnsi"/>
          <w:sz w:val="24"/>
        </w:rPr>
        <w:br/>
      </w:r>
      <w:r w:rsidRPr="001D1207">
        <w:rPr>
          <w:rFonts w:cstheme="minorHAnsi"/>
          <w:sz w:val="24"/>
        </w:rPr>
        <w:t>dla województwa dolnośląskiego (4,9) i Polski (4,1</w:t>
      </w:r>
      <w:r w:rsidR="007B0523" w:rsidRPr="001D1207">
        <w:rPr>
          <w:rFonts w:cstheme="minorHAnsi"/>
          <w:sz w:val="24"/>
        </w:rPr>
        <w:t xml:space="preserve">).  </w:t>
      </w:r>
      <w:r w:rsidR="00E07789" w:rsidRPr="001D1207">
        <w:rPr>
          <w:rFonts w:cstheme="minorHAnsi"/>
          <w:sz w:val="24"/>
        </w:rPr>
        <w:t xml:space="preserve">Z badania ankietowego, </w:t>
      </w:r>
      <w:r w:rsidR="007B0523" w:rsidRPr="001D1207">
        <w:rPr>
          <w:rFonts w:cstheme="minorHAnsi"/>
          <w:sz w:val="24"/>
        </w:rPr>
        <w:t>zrealizowane</w:t>
      </w:r>
      <w:r w:rsidR="00E07789" w:rsidRPr="001D1207">
        <w:rPr>
          <w:rFonts w:cstheme="minorHAnsi"/>
          <w:sz w:val="24"/>
        </w:rPr>
        <w:t>go</w:t>
      </w:r>
      <w:r w:rsidR="007B0523" w:rsidRPr="001D1207">
        <w:rPr>
          <w:rFonts w:cstheme="minorHAnsi"/>
          <w:sz w:val="24"/>
        </w:rPr>
        <w:t xml:space="preserve"> </w:t>
      </w:r>
      <w:r w:rsidR="00062898" w:rsidRPr="001D1207">
        <w:rPr>
          <w:rFonts w:cstheme="minorHAnsi"/>
          <w:sz w:val="24"/>
        </w:rPr>
        <w:br/>
      </w:r>
      <w:r w:rsidR="007B0523" w:rsidRPr="001D1207">
        <w:rPr>
          <w:rFonts w:cstheme="minorHAnsi"/>
          <w:sz w:val="24"/>
        </w:rPr>
        <w:t>na próbie 1 066 pełnoletnich mieszkańców obszaru WrOF</w:t>
      </w:r>
      <w:r w:rsidR="00E07789" w:rsidRPr="001D1207">
        <w:rPr>
          <w:rFonts w:cstheme="minorHAnsi"/>
          <w:sz w:val="24"/>
        </w:rPr>
        <w:t xml:space="preserve"> </w:t>
      </w:r>
      <w:r w:rsidR="007B0523" w:rsidRPr="001D1207">
        <w:rPr>
          <w:rFonts w:cstheme="minorHAnsi"/>
          <w:sz w:val="24"/>
        </w:rPr>
        <w:t>wynika, że 66,7% badanych zadeklarowało, że korzysta z oferty kulturalnej w miejscu zamieszkania, a 23,4% dojeżdża w tym celu do Wrocławia</w:t>
      </w:r>
      <w:r w:rsidR="000A29F0" w:rsidRPr="001D1207">
        <w:rPr>
          <w:rFonts w:cstheme="minorHAnsi"/>
          <w:sz w:val="24"/>
        </w:rPr>
        <w:t>.</w:t>
      </w:r>
      <w:r w:rsidR="007B0523" w:rsidRPr="001D1207">
        <w:rPr>
          <w:rFonts w:cstheme="minorHAnsi"/>
          <w:sz w:val="24"/>
        </w:rPr>
        <w:t xml:space="preserve"> </w:t>
      </w:r>
      <w:r w:rsidR="000A29F0" w:rsidRPr="001D1207">
        <w:rPr>
          <w:rFonts w:cstheme="minorHAnsi"/>
          <w:sz w:val="24"/>
        </w:rPr>
        <w:t>W</w:t>
      </w:r>
      <w:r w:rsidR="00A02854" w:rsidRPr="001D1207">
        <w:rPr>
          <w:rFonts w:cstheme="minorHAnsi"/>
          <w:sz w:val="24"/>
        </w:rPr>
        <w:t> </w:t>
      </w:r>
      <w:r w:rsidR="007B0523" w:rsidRPr="001D1207">
        <w:rPr>
          <w:rFonts w:cstheme="minorHAnsi"/>
          <w:sz w:val="24"/>
        </w:rPr>
        <w:t xml:space="preserve">ostatnich latach zauważyć można było spadek liczby organizowanych imprez, a duży wpływ </w:t>
      </w:r>
      <w:r w:rsidR="00062898" w:rsidRPr="001D1207">
        <w:rPr>
          <w:rFonts w:cstheme="minorHAnsi"/>
          <w:sz w:val="24"/>
        </w:rPr>
        <w:br/>
      </w:r>
      <w:r w:rsidR="007B0523" w:rsidRPr="001D1207">
        <w:rPr>
          <w:rFonts w:cstheme="minorHAnsi"/>
          <w:sz w:val="24"/>
        </w:rPr>
        <w:t>na spadek tej liczby miała m.in. pandemia COVID-19. Niezwykle istotne jest zatem prowadzenie działań przywracających znaczenie kultury w obszarze ZIT WrOF. Działania będą miały wpływ również na</w:t>
      </w:r>
      <w:r w:rsidR="00A02854" w:rsidRPr="001D1207">
        <w:rPr>
          <w:rFonts w:cstheme="minorHAnsi"/>
          <w:sz w:val="24"/>
        </w:rPr>
        <w:t> </w:t>
      </w:r>
      <w:r w:rsidR="007B0523" w:rsidRPr="001D1207">
        <w:rPr>
          <w:rFonts w:cstheme="minorHAnsi"/>
          <w:sz w:val="24"/>
        </w:rPr>
        <w:t xml:space="preserve">poprawę kondycji psychofizycznej mieszkańców, a jednocześnie mogą wpłynąć na wzrost </w:t>
      </w:r>
      <w:r w:rsidR="000A29F0" w:rsidRPr="001D1207">
        <w:rPr>
          <w:rFonts w:cstheme="minorHAnsi"/>
          <w:sz w:val="24"/>
        </w:rPr>
        <w:t xml:space="preserve">liczby </w:t>
      </w:r>
      <w:r w:rsidR="007B0523" w:rsidRPr="001D1207">
        <w:rPr>
          <w:rFonts w:cstheme="minorHAnsi"/>
          <w:sz w:val="24"/>
        </w:rPr>
        <w:t>turystów w poszczególnych miejscowościach.</w:t>
      </w:r>
    </w:p>
    <w:p w:rsidR="000178B1" w:rsidRPr="001D1207" w:rsidRDefault="000178B1" w:rsidP="001D1207">
      <w:pPr>
        <w:spacing w:before="240" w:after="0"/>
        <w:jc w:val="left"/>
        <w:rPr>
          <w:rFonts w:cstheme="minorHAnsi"/>
          <w:b/>
          <w:color w:val="000000" w:themeColor="text1"/>
          <w:sz w:val="24"/>
        </w:rPr>
      </w:pPr>
      <w:r w:rsidRPr="001D1207">
        <w:rPr>
          <w:rFonts w:cstheme="minorHAnsi"/>
          <w:b/>
          <w:color w:val="000000" w:themeColor="text1"/>
          <w:sz w:val="24"/>
        </w:rPr>
        <w:t>Obiekty zabytkowe (ruchome i nieruchome)</w:t>
      </w:r>
    </w:p>
    <w:p w:rsidR="000178B1" w:rsidRPr="001D1207" w:rsidRDefault="000178B1" w:rsidP="001D1207">
      <w:pPr>
        <w:jc w:val="left"/>
        <w:rPr>
          <w:rFonts w:cstheme="minorHAnsi"/>
          <w:sz w:val="24"/>
        </w:rPr>
      </w:pPr>
      <w:r w:rsidRPr="001D1207">
        <w:rPr>
          <w:rFonts w:cstheme="minorHAnsi"/>
          <w:sz w:val="24"/>
        </w:rPr>
        <w:t xml:space="preserve">Wyrazem bogatego </w:t>
      </w:r>
      <w:r w:rsidR="00116EB9" w:rsidRPr="001D1207">
        <w:rPr>
          <w:rFonts w:cstheme="minorHAnsi"/>
          <w:sz w:val="24"/>
        </w:rPr>
        <w:t xml:space="preserve">materialnego </w:t>
      </w:r>
      <w:r w:rsidRPr="001D1207">
        <w:rPr>
          <w:rFonts w:cstheme="minorHAnsi"/>
          <w:sz w:val="24"/>
        </w:rPr>
        <w:t>dziedzictwa kultu</w:t>
      </w:r>
      <w:r w:rsidR="001D1207">
        <w:rPr>
          <w:rFonts w:cstheme="minorHAnsi"/>
          <w:sz w:val="24"/>
        </w:rPr>
        <w:t>rowego samorządów wchodzących w </w:t>
      </w:r>
      <w:r w:rsidRPr="001D1207">
        <w:rPr>
          <w:rFonts w:cstheme="minorHAnsi"/>
          <w:sz w:val="24"/>
        </w:rPr>
        <w:t>skład Wrocławskiego Obszaru Funkcjonalnego jest liczba zabytków wpisana do rejestru prowadzonego i publikowanego przez Wojewódzki Urząd Ochrony Zabytków we Wrocławiu. Łącznie na obszarze WrOF do rejestru zabytków nieruchomych wpisanych jest 20 431 obiektów. Największa ich liczba znajduje się we Wrocławiu, ponad 51% ogólnej liczby zabytków.</w:t>
      </w:r>
    </w:p>
    <w:p w:rsidR="000178B1" w:rsidRPr="00BA786B" w:rsidRDefault="000178B1" w:rsidP="000178B1">
      <w:pPr>
        <w:pStyle w:val="nadWrOF"/>
      </w:pPr>
      <w:bookmarkStart w:id="109" w:name="_Toc125101148"/>
      <w:bookmarkStart w:id="110" w:name="_Toc143606965"/>
      <w:r w:rsidRPr="00BA786B">
        <w:t xml:space="preserve">Tabela </w:t>
      </w:r>
      <w:r w:rsidR="00C73793">
        <w:rPr>
          <w:noProof/>
        </w:rPr>
        <w:fldChar w:fldCharType="begin"/>
      </w:r>
      <w:r>
        <w:rPr>
          <w:noProof/>
        </w:rPr>
        <w:instrText xml:space="preserve"> SEQ Tabela \* ARABIC </w:instrText>
      </w:r>
      <w:r w:rsidR="00C73793">
        <w:rPr>
          <w:noProof/>
        </w:rPr>
        <w:fldChar w:fldCharType="separate"/>
      </w:r>
      <w:r w:rsidR="00C96A96">
        <w:rPr>
          <w:noProof/>
        </w:rPr>
        <w:t>8</w:t>
      </w:r>
      <w:r w:rsidR="00C73793">
        <w:rPr>
          <w:noProof/>
        </w:rPr>
        <w:fldChar w:fldCharType="end"/>
      </w:r>
      <w:r w:rsidRPr="00BA786B">
        <w:t xml:space="preserve"> Zabytki ujęte w rejestrze zabytków Wojewódzki Urząd Ochrony Zabytków we Wrocławiu</w:t>
      </w:r>
      <w:bookmarkEnd w:id="109"/>
      <w:bookmarkEnd w:id="110"/>
    </w:p>
    <w:tbl>
      <w:tblPr>
        <w:tblW w:w="928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Zabytki ujęte w rejestrze zabytków Wojewódzki Urząd Ochrony Zabytków we Wrocławiu"/>
        <w:tblDescription w:val="Zabytki ujęte w rejestrze zabytków Wojewódzki Urząd Ochrony Zabytków we Wrocławiu"/>
      </w:tblPr>
      <w:tblGrid>
        <w:gridCol w:w="2552"/>
        <w:gridCol w:w="1989"/>
        <w:gridCol w:w="2258"/>
        <w:gridCol w:w="1296"/>
        <w:gridCol w:w="1186"/>
      </w:tblGrid>
      <w:tr w:rsidR="000178B1" w:rsidRPr="004E17F0" w:rsidTr="004E17F0">
        <w:trPr>
          <w:tblHeader/>
        </w:trPr>
        <w:tc>
          <w:tcPr>
            <w:tcW w:w="2552" w:type="dxa"/>
            <w:shd w:val="clear" w:color="auto" w:fill="auto"/>
            <w:vAlign w:val="center"/>
          </w:tcPr>
          <w:p w:rsidR="000178B1" w:rsidRPr="004E17F0" w:rsidRDefault="000178B1" w:rsidP="00CF3349">
            <w:pPr>
              <w:spacing w:after="0" w:line="240" w:lineRule="auto"/>
              <w:jc w:val="center"/>
              <w:rPr>
                <w:rFonts w:cstheme="minorHAnsi"/>
              </w:rPr>
            </w:pPr>
            <w:r w:rsidRPr="004E17F0">
              <w:rPr>
                <w:rFonts w:cstheme="minorHAnsi"/>
              </w:rPr>
              <w:t xml:space="preserve"> Gmina</w:t>
            </w:r>
          </w:p>
        </w:tc>
        <w:tc>
          <w:tcPr>
            <w:tcW w:w="1989" w:type="dxa"/>
            <w:shd w:val="clear" w:color="auto" w:fill="auto"/>
            <w:vAlign w:val="center"/>
          </w:tcPr>
          <w:p w:rsidR="000178B1" w:rsidRPr="004E17F0" w:rsidRDefault="000178B1" w:rsidP="00CF3349">
            <w:pPr>
              <w:spacing w:after="0" w:line="240" w:lineRule="auto"/>
              <w:jc w:val="center"/>
              <w:rPr>
                <w:rFonts w:cstheme="minorHAnsi"/>
              </w:rPr>
            </w:pPr>
            <w:r w:rsidRPr="004E17F0">
              <w:rPr>
                <w:rFonts w:cstheme="minorHAnsi"/>
              </w:rPr>
              <w:t>Liczba obiektów wpisanych do ewidencji zabytków</w:t>
            </w:r>
          </w:p>
        </w:tc>
        <w:tc>
          <w:tcPr>
            <w:tcW w:w="2258" w:type="dxa"/>
            <w:shd w:val="clear" w:color="auto" w:fill="auto"/>
            <w:vAlign w:val="center"/>
          </w:tcPr>
          <w:p w:rsidR="000178B1" w:rsidRPr="004E17F0" w:rsidRDefault="000178B1" w:rsidP="00CF3349">
            <w:pPr>
              <w:spacing w:after="0" w:line="240" w:lineRule="auto"/>
              <w:jc w:val="center"/>
              <w:rPr>
                <w:rFonts w:cstheme="minorHAnsi"/>
              </w:rPr>
            </w:pPr>
            <w:r w:rsidRPr="004E17F0">
              <w:rPr>
                <w:rFonts w:cstheme="minorHAnsi"/>
              </w:rPr>
              <w:t>Liczba obiektów wpisanych do rejestru zabytków posiadających numer rejestru</w:t>
            </w:r>
          </w:p>
        </w:tc>
        <w:tc>
          <w:tcPr>
            <w:tcW w:w="1296" w:type="dxa"/>
            <w:shd w:val="clear" w:color="auto" w:fill="auto"/>
            <w:vAlign w:val="center"/>
          </w:tcPr>
          <w:p w:rsidR="000178B1" w:rsidRPr="004E17F0" w:rsidRDefault="000178B1" w:rsidP="00CF3349">
            <w:pPr>
              <w:spacing w:after="0" w:line="240" w:lineRule="auto"/>
              <w:jc w:val="center"/>
              <w:rPr>
                <w:rFonts w:cstheme="minorHAnsi"/>
              </w:rPr>
            </w:pPr>
            <w:r w:rsidRPr="004E17F0">
              <w:rPr>
                <w:rFonts w:cstheme="minorHAnsi"/>
              </w:rPr>
              <w:t>Suma</w:t>
            </w:r>
          </w:p>
        </w:tc>
        <w:tc>
          <w:tcPr>
            <w:tcW w:w="1186" w:type="dxa"/>
            <w:shd w:val="clear" w:color="auto" w:fill="auto"/>
            <w:vAlign w:val="center"/>
          </w:tcPr>
          <w:p w:rsidR="000178B1" w:rsidRPr="004E17F0" w:rsidRDefault="000178B1" w:rsidP="00CF3349">
            <w:pPr>
              <w:spacing w:after="0" w:line="240" w:lineRule="auto"/>
              <w:jc w:val="center"/>
              <w:rPr>
                <w:rFonts w:cstheme="minorHAnsi"/>
              </w:rPr>
            </w:pPr>
            <w:r w:rsidRPr="004E17F0">
              <w:rPr>
                <w:rFonts w:cstheme="minorHAnsi"/>
              </w:rPr>
              <w:t>Odsetek [%]</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Czernica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217</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11</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228</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1,12</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Długołęka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423</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37</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460</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2,25</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Dobroszyce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200</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21</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221</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1,08</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Jelcz-Laskowice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785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19</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804</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3,94</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Kąty Wrocławskie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785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68</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853</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4,18</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Kobierzyce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316</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46</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362</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1,77</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Miękinia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835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44</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879</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4,30</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Oborniki Śląskie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737</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43</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780</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3,82</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Oleśnica (gmina wiejska)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755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35</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790</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3,87</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Oleśnica (miasto)</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295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33</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328</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1,61</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Oława (gmina wiejska)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1093</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30</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1123</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5,50</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Oława (miasto)</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405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45</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450</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2,20</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Siechnice</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288</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14</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302</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1,48</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Sobótka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477</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61</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538</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2,63</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Trzebnica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935</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30</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965</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4,72</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Wisznia Mała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262</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23</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285</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1,39</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Wrocław</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9 398</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1 036</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10 434</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51,07</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Zawonia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381</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12</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393</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1,92</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rPr>
            </w:pPr>
            <w:r w:rsidRPr="004E17F0">
              <w:rPr>
                <w:rFonts w:cstheme="minorHAnsi"/>
              </w:rPr>
              <w:t>Żórawina</w:t>
            </w:r>
          </w:p>
        </w:tc>
        <w:tc>
          <w:tcPr>
            <w:tcW w:w="1989"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214</w:t>
            </w:r>
          </w:p>
        </w:tc>
        <w:tc>
          <w:tcPr>
            <w:tcW w:w="2258"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22</w:t>
            </w:r>
          </w:p>
        </w:tc>
        <w:tc>
          <w:tcPr>
            <w:tcW w:w="1296" w:type="dxa"/>
            <w:shd w:val="clear" w:color="auto" w:fill="auto"/>
            <w:vAlign w:val="center"/>
          </w:tcPr>
          <w:p w:rsidR="000178B1" w:rsidRPr="004E17F0" w:rsidRDefault="000178B1" w:rsidP="00CF3349">
            <w:pPr>
              <w:spacing w:after="0" w:line="240" w:lineRule="auto"/>
              <w:jc w:val="center"/>
              <w:rPr>
                <w:rFonts w:cstheme="minorHAnsi"/>
                <w:color w:val="000000"/>
              </w:rPr>
            </w:pPr>
            <w:r w:rsidRPr="004E17F0">
              <w:rPr>
                <w:rFonts w:cstheme="minorHAnsi"/>
                <w:color w:val="000000"/>
              </w:rPr>
              <w:t>236</w:t>
            </w:r>
          </w:p>
        </w:tc>
        <w:tc>
          <w:tcPr>
            <w:tcW w:w="1186" w:type="dxa"/>
            <w:shd w:val="clear" w:color="auto" w:fill="auto"/>
          </w:tcPr>
          <w:p w:rsidR="000178B1" w:rsidRPr="004E17F0" w:rsidRDefault="000178B1" w:rsidP="00CF3349">
            <w:pPr>
              <w:spacing w:after="0" w:line="240" w:lineRule="auto"/>
              <w:jc w:val="center"/>
              <w:rPr>
                <w:rFonts w:cstheme="minorHAnsi"/>
                <w:color w:val="000000"/>
              </w:rPr>
            </w:pPr>
            <w:r w:rsidRPr="004E17F0">
              <w:rPr>
                <w:rFonts w:cstheme="minorHAnsi"/>
                <w:color w:val="000000"/>
              </w:rPr>
              <w:t>1,16</w:t>
            </w:r>
          </w:p>
        </w:tc>
      </w:tr>
      <w:tr w:rsidR="000178B1" w:rsidRPr="004E17F0" w:rsidTr="004E17F0">
        <w:trPr>
          <w:trHeight w:val="283"/>
        </w:trPr>
        <w:tc>
          <w:tcPr>
            <w:tcW w:w="2552" w:type="dxa"/>
            <w:shd w:val="clear" w:color="auto" w:fill="auto"/>
            <w:vAlign w:val="center"/>
          </w:tcPr>
          <w:p w:rsidR="000178B1" w:rsidRPr="004E17F0" w:rsidRDefault="000178B1" w:rsidP="003C4EB3">
            <w:pPr>
              <w:spacing w:after="0" w:line="240" w:lineRule="auto"/>
              <w:jc w:val="left"/>
              <w:rPr>
                <w:rFonts w:cstheme="minorHAnsi"/>
                <w:b/>
                <w:bCs/>
              </w:rPr>
            </w:pPr>
            <w:r w:rsidRPr="004E17F0">
              <w:rPr>
                <w:rFonts w:cstheme="minorHAnsi"/>
                <w:b/>
                <w:bCs/>
              </w:rPr>
              <w:t>WrOF</w:t>
            </w:r>
          </w:p>
        </w:tc>
        <w:tc>
          <w:tcPr>
            <w:tcW w:w="1989" w:type="dxa"/>
            <w:shd w:val="clear" w:color="auto" w:fill="auto"/>
            <w:vAlign w:val="center"/>
          </w:tcPr>
          <w:p w:rsidR="000178B1" w:rsidRPr="004E17F0" w:rsidRDefault="000178B1" w:rsidP="00CF3349">
            <w:pPr>
              <w:spacing w:after="0" w:line="240" w:lineRule="auto"/>
              <w:jc w:val="center"/>
              <w:rPr>
                <w:rFonts w:cstheme="minorHAnsi"/>
                <w:b/>
                <w:bCs/>
                <w:color w:val="000000"/>
              </w:rPr>
            </w:pPr>
            <w:r w:rsidRPr="004E17F0">
              <w:rPr>
                <w:rFonts w:cstheme="minorHAnsi"/>
                <w:b/>
                <w:bCs/>
                <w:color w:val="000000"/>
              </w:rPr>
              <w:t>18 801</w:t>
            </w:r>
          </w:p>
        </w:tc>
        <w:tc>
          <w:tcPr>
            <w:tcW w:w="2258" w:type="dxa"/>
            <w:shd w:val="clear" w:color="auto" w:fill="auto"/>
            <w:vAlign w:val="center"/>
          </w:tcPr>
          <w:p w:rsidR="000178B1" w:rsidRPr="004E17F0" w:rsidRDefault="000178B1" w:rsidP="00CF3349">
            <w:pPr>
              <w:spacing w:after="0" w:line="240" w:lineRule="auto"/>
              <w:jc w:val="center"/>
              <w:rPr>
                <w:rFonts w:cstheme="minorHAnsi"/>
                <w:b/>
                <w:bCs/>
                <w:color w:val="000000"/>
              </w:rPr>
            </w:pPr>
            <w:r w:rsidRPr="004E17F0">
              <w:rPr>
                <w:rFonts w:cstheme="minorHAnsi"/>
                <w:b/>
                <w:bCs/>
                <w:color w:val="000000"/>
              </w:rPr>
              <w:t>1 630</w:t>
            </w:r>
          </w:p>
        </w:tc>
        <w:tc>
          <w:tcPr>
            <w:tcW w:w="1296" w:type="dxa"/>
            <w:shd w:val="clear" w:color="auto" w:fill="auto"/>
            <w:vAlign w:val="center"/>
          </w:tcPr>
          <w:p w:rsidR="000178B1" w:rsidRPr="004E17F0" w:rsidRDefault="000178B1" w:rsidP="00CF3349">
            <w:pPr>
              <w:spacing w:after="0" w:line="240" w:lineRule="auto"/>
              <w:jc w:val="center"/>
              <w:rPr>
                <w:rFonts w:cstheme="minorHAnsi"/>
                <w:b/>
                <w:bCs/>
                <w:color w:val="000000"/>
              </w:rPr>
            </w:pPr>
            <w:r w:rsidRPr="004E17F0">
              <w:rPr>
                <w:rFonts w:cstheme="minorHAnsi"/>
                <w:b/>
                <w:bCs/>
                <w:color w:val="000000"/>
              </w:rPr>
              <w:t>20 431</w:t>
            </w:r>
          </w:p>
        </w:tc>
        <w:tc>
          <w:tcPr>
            <w:tcW w:w="1186" w:type="dxa"/>
            <w:shd w:val="clear" w:color="auto" w:fill="auto"/>
            <w:vAlign w:val="center"/>
          </w:tcPr>
          <w:p w:rsidR="000178B1" w:rsidRPr="004E17F0" w:rsidRDefault="000178B1" w:rsidP="00CF3349">
            <w:pPr>
              <w:spacing w:after="0" w:line="240" w:lineRule="auto"/>
              <w:jc w:val="center"/>
              <w:rPr>
                <w:rFonts w:cstheme="minorHAnsi"/>
                <w:b/>
                <w:bCs/>
                <w:color w:val="000000"/>
              </w:rPr>
            </w:pPr>
            <w:r w:rsidRPr="004E17F0">
              <w:rPr>
                <w:rFonts w:cstheme="minorHAnsi"/>
                <w:b/>
                <w:bCs/>
                <w:color w:val="000000"/>
              </w:rPr>
              <w:t>100,00</w:t>
            </w:r>
          </w:p>
        </w:tc>
      </w:tr>
    </w:tbl>
    <w:p w:rsidR="000178B1" w:rsidRPr="00B27A13" w:rsidRDefault="000178B1" w:rsidP="000178B1">
      <w:pPr>
        <w:pStyle w:val="podWrOF0"/>
      </w:pPr>
      <w:r w:rsidRPr="00B27A13">
        <w:t xml:space="preserve">Źródło: Wojewódzki Urząd Ochrony Zabytków we Wrocławiu, https://wosoz.ibip.wroc.pl/public/?id=92697, </w:t>
      </w:r>
      <w:r>
        <w:t>[D</w:t>
      </w:r>
      <w:r w:rsidRPr="00B27A13">
        <w:t xml:space="preserve">ostęp: </w:t>
      </w:r>
      <w:r>
        <w:t>21.08</w:t>
      </w:r>
      <w:r w:rsidRPr="00B27A13">
        <w:t xml:space="preserve"> 2022 r.</w:t>
      </w:r>
      <w:r>
        <w:t>].</w:t>
      </w:r>
    </w:p>
    <w:p w:rsidR="000178B1" w:rsidRPr="004E17F0" w:rsidRDefault="000178B1" w:rsidP="004E17F0">
      <w:pPr>
        <w:jc w:val="left"/>
        <w:rPr>
          <w:rFonts w:cstheme="minorHAnsi"/>
          <w:sz w:val="24"/>
        </w:rPr>
      </w:pPr>
      <w:r w:rsidRPr="004E17F0">
        <w:rPr>
          <w:rFonts w:cstheme="minorHAnsi"/>
          <w:sz w:val="24"/>
        </w:rPr>
        <w:t xml:space="preserve">Województwo dolnośląskie posiada bardzo bogaty zasób zabytków ruchomych. Na obszarze województwa zlokalizowanych jest ponad 15% ich ogółu w kraju. </w:t>
      </w:r>
    </w:p>
    <w:p w:rsidR="000178B1" w:rsidRPr="00BF4985" w:rsidRDefault="000178B1" w:rsidP="000178B1">
      <w:pPr>
        <w:pStyle w:val="nadWrOF"/>
      </w:pPr>
      <w:bookmarkStart w:id="111" w:name="_Toc125101152"/>
      <w:bookmarkStart w:id="112" w:name="_Toc143606966"/>
      <w:r w:rsidRPr="00BF4985">
        <w:t xml:space="preserve">Tabela </w:t>
      </w:r>
      <w:r w:rsidR="00C73793">
        <w:rPr>
          <w:noProof/>
        </w:rPr>
        <w:fldChar w:fldCharType="begin"/>
      </w:r>
      <w:r>
        <w:rPr>
          <w:noProof/>
        </w:rPr>
        <w:instrText xml:space="preserve"> SEQ Tabela \* ARABIC </w:instrText>
      </w:r>
      <w:r w:rsidR="00C73793">
        <w:rPr>
          <w:noProof/>
        </w:rPr>
        <w:fldChar w:fldCharType="separate"/>
      </w:r>
      <w:r w:rsidR="00C96A96">
        <w:rPr>
          <w:noProof/>
        </w:rPr>
        <w:t>9</w:t>
      </w:r>
      <w:r w:rsidR="00C73793">
        <w:rPr>
          <w:noProof/>
        </w:rPr>
        <w:fldChar w:fldCharType="end"/>
      </w:r>
      <w:r w:rsidRPr="00BF4985">
        <w:t xml:space="preserve"> Rejestr zabytków ruchomych (klasa B – zabytki sztuki i rzemiosła artystycznego)</w:t>
      </w:r>
      <w:bookmarkEnd w:id="111"/>
      <w:bookmarkEnd w:id="112"/>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jestr zabytków ruchomych (klasa B – zabytki sztuki i rzemiosła artystycznego)"/>
        <w:tblDescription w:val="Rejestr zabytków ruchomych (klasa B – zabytki sztuki i rzemiosła artystycznego)"/>
      </w:tblPr>
      <w:tblGrid>
        <w:gridCol w:w="2064"/>
        <w:gridCol w:w="1168"/>
        <w:gridCol w:w="1168"/>
        <w:gridCol w:w="1412"/>
        <w:gridCol w:w="992"/>
        <w:gridCol w:w="1100"/>
        <w:gridCol w:w="1168"/>
      </w:tblGrid>
      <w:tr w:rsidR="000178B1" w:rsidRPr="004E17F0" w:rsidTr="004E17F0">
        <w:trPr>
          <w:trHeight w:val="288"/>
        </w:trPr>
        <w:tc>
          <w:tcPr>
            <w:tcW w:w="2064"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Jednostka</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Liczba decyzji</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Liczba obiektów</w:t>
            </w:r>
          </w:p>
        </w:tc>
        <w:tc>
          <w:tcPr>
            <w:tcW w:w="141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Wyposażenie</w:t>
            </w:r>
          </w:p>
          <w:p w:rsidR="000178B1" w:rsidRPr="004E17F0" w:rsidRDefault="000178B1" w:rsidP="00CF3349">
            <w:pPr>
              <w:spacing w:after="0" w:line="240" w:lineRule="auto"/>
              <w:jc w:val="center"/>
              <w:rPr>
                <w:rFonts w:cstheme="minorHAnsi"/>
                <w:szCs w:val="20"/>
              </w:rPr>
            </w:pPr>
            <w:r w:rsidRPr="004E17F0">
              <w:rPr>
                <w:rFonts w:cstheme="minorHAnsi"/>
                <w:szCs w:val="20"/>
              </w:rPr>
              <w:t>świątyń</w:t>
            </w:r>
          </w:p>
        </w:tc>
        <w:tc>
          <w:tcPr>
            <w:tcW w:w="99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Kolekcje</w:t>
            </w:r>
          </w:p>
        </w:tc>
        <w:tc>
          <w:tcPr>
            <w:tcW w:w="1100"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Inne</w:t>
            </w:r>
          </w:p>
        </w:tc>
        <w:tc>
          <w:tcPr>
            <w:tcW w:w="1168" w:type="dxa"/>
            <w:shd w:val="clear" w:color="auto" w:fill="auto"/>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Razem</w:t>
            </w:r>
          </w:p>
        </w:tc>
      </w:tr>
      <w:tr w:rsidR="000178B1" w:rsidRPr="004E17F0" w:rsidTr="004E17F0">
        <w:trPr>
          <w:trHeight w:val="624"/>
        </w:trPr>
        <w:tc>
          <w:tcPr>
            <w:tcW w:w="2064" w:type="dxa"/>
            <w:shd w:val="clear" w:color="auto" w:fill="auto"/>
            <w:noWrap/>
            <w:vAlign w:val="center"/>
            <w:hideMark/>
          </w:tcPr>
          <w:p w:rsidR="000178B1" w:rsidRPr="004E17F0" w:rsidRDefault="000178B1" w:rsidP="003C4EB3">
            <w:pPr>
              <w:spacing w:after="0" w:line="240" w:lineRule="auto"/>
              <w:jc w:val="left"/>
              <w:rPr>
                <w:rFonts w:cstheme="minorHAnsi"/>
                <w:szCs w:val="20"/>
              </w:rPr>
            </w:pPr>
            <w:r w:rsidRPr="004E17F0">
              <w:rPr>
                <w:rFonts w:cstheme="minorHAnsi"/>
                <w:szCs w:val="20"/>
              </w:rPr>
              <w:t>Polska</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16 599</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271 092</w:t>
            </w:r>
          </w:p>
        </w:tc>
        <w:tc>
          <w:tcPr>
            <w:tcW w:w="141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19 9809</w:t>
            </w:r>
          </w:p>
        </w:tc>
        <w:tc>
          <w:tcPr>
            <w:tcW w:w="99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48 433</w:t>
            </w:r>
          </w:p>
        </w:tc>
        <w:tc>
          <w:tcPr>
            <w:tcW w:w="1100"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22 850</w:t>
            </w:r>
          </w:p>
        </w:tc>
        <w:tc>
          <w:tcPr>
            <w:tcW w:w="1168" w:type="dxa"/>
            <w:shd w:val="clear" w:color="auto" w:fill="auto"/>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558 783</w:t>
            </w:r>
          </w:p>
        </w:tc>
      </w:tr>
      <w:tr w:rsidR="000178B1" w:rsidRPr="004E17F0" w:rsidTr="004E17F0">
        <w:trPr>
          <w:trHeight w:val="624"/>
        </w:trPr>
        <w:tc>
          <w:tcPr>
            <w:tcW w:w="2064" w:type="dxa"/>
            <w:shd w:val="clear" w:color="auto" w:fill="auto"/>
            <w:noWrap/>
            <w:vAlign w:val="center"/>
            <w:hideMark/>
          </w:tcPr>
          <w:p w:rsidR="000178B1" w:rsidRPr="004E17F0" w:rsidRDefault="000178B1" w:rsidP="003C4EB3">
            <w:pPr>
              <w:spacing w:after="0" w:line="240" w:lineRule="auto"/>
              <w:jc w:val="left"/>
              <w:rPr>
                <w:rFonts w:cstheme="minorHAnsi"/>
                <w:szCs w:val="20"/>
              </w:rPr>
            </w:pPr>
            <w:r w:rsidRPr="004E17F0">
              <w:rPr>
                <w:rFonts w:cstheme="minorHAnsi"/>
                <w:szCs w:val="20"/>
              </w:rPr>
              <w:t>woj. dolnośląskie</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2 674</w:t>
            </w:r>
          </w:p>
        </w:tc>
        <w:tc>
          <w:tcPr>
            <w:tcW w:w="1168"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4 2160</w:t>
            </w:r>
          </w:p>
        </w:tc>
        <w:tc>
          <w:tcPr>
            <w:tcW w:w="141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36 504</w:t>
            </w:r>
          </w:p>
        </w:tc>
        <w:tc>
          <w:tcPr>
            <w:tcW w:w="992"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392</w:t>
            </w:r>
          </w:p>
        </w:tc>
        <w:tc>
          <w:tcPr>
            <w:tcW w:w="1100" w:type="dxa"/>
            <w:shd w:val="clear" w:color="auto" w:fill="auto"/>
            <w:noWrap/>
            <w:vAlign w:val="center"/>
            <w:hideMark/>
          </w:tcPr>
          <w:p w:rsidR="000178B1" w:rsidRPr="004E17F0" w:rsidRDefault="000178B1" w:rsidP="00CF3349">
            <w:pPr>
              <w:spacing w:after="0" w:line="240" w:lineRule="auto"/>
              <w:jc w:val="center"/>
              <w:rPr>
                <w:rFonts w:cstheme="minorHAnsi"/>
                <w:szCs w:val="20"/>
              </w:rPr>
            </w:pPr>
            <w:r w:rsidRPr="004E17F0">
              <w:rPr>
                <w:rFonts w:cstheme="minorHAnsi"/>
                <w:szCs w:val="20"/>
              </w:rPr>
              <w:t>5 264</w:t>
            </w:r>
          </w:p>
        </w:tc>
        <w:tc>
          <w:tcPr>
            <w:tcW w:w="1168" w:type="dxa"/>
            <w:shd w:val="clear" w:color="auto" w:fill="auto"/>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86 994</w:t>
            </w:r>
          </w:p>
        </w:tc>
      </w:tr>
      <w:tr w:rsidR="000178B1" w:rsidRPr="004E17F0" w:rsidTr="004E17F0">
        <w:trPr>
          <w:trHeight w:val="624"/>
        </w:trPr>
        <w:tc>
          <w:tcPr>
            <w:tcW w:w="2064" w:type="dxa"/>
            <w:shd w:val="clear" w:color="auto" w:fill="auto"/>
            <w:noWrap/>
            <w:vAlign w:val="center"/>
          </w:tcPr>
          <w:p w:rsidR="000178B1" w:rsidRPr="004E17F0" w:rsidRDefault="000178B1" w:rsidP="003C4EB3">
            <w:pPr>
              <w:spacing w:after="0" w:line="240" w:lineRule="auto"/>
              <w:jc w:val="left"/>
              <w:rPr>
                <w:rFonts w:cstheme="minorHAnsi"/>
                <w:szCs w:val="20"/>
              </w:rPr>
            </w:pPr>
            <w:r w:rsidRPr="004E17F0">
              <w:rPr>
                <w:rFonts w:cstheme="minorHAnsi"/>
                <w:szCs w:val="20"/>
              </w:rPr>
              <w:t>Odsetek obiektów woj. dolnośląskiego w odniesieniu do całości</w:t>
            </w:r>
          </w:p>
        </w:tc>
        <w:tc>
          <w:tcPr>
            <w:tcW w:w="1168" w:type="dxa"/>
            <w:shd w:val="clear" w:color="auto" w:fill="auto"/>
            <w:noWrap/>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16,11%</w:t>
            </w:r>
          </w:p>
        </w:tc>
        <w:tc>
          <w:tcPr>
            <w:tcW w:w="1168" w:type="dxa"/>
            <w:shd w:val="clear" w:color="auto" w:fill="auto"/>
            <w:noWrap/>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15,55%</w:t>
            </w:r>
          </w:p>
        </w:tc>
        <w:tc>
          <w:tcPr>
            <w:tcW w:w="1412" w:type="dxa"/>
            <w:shd w:val="clear" w:color="auto" w:fill="auto"/>
            <w:noWrap/>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18,27%</w:t>
            </w:r>
          </w:p>
        </w:tc>
        <w:tc>
          <w:tcPr>
            <w:tcW w:w="992" w:type="dxa"/>
            <w:shd w:val="clear" w:color="auto" w:fill="auto"/>
            <w:noWrap/>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0,81%</w:t>
            </w:r>
          </w:p>
        </w:tc>
        <w:tc>
          <w:tcPr>
            <w:tcW w:w="1100" w:type="dxa"/>
            <w:shd w:val="clear" w:color="auto" w:fill="auto"/>
            <w:noWrap/>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23,04%</w:t>
            </w:r>
          </w:p>
        </w:tc>
        <w:tc>
          <w:tcPr>
            <w:tcW w:w="1168" w:type="dxa"/>
            <w:shd w:val="clear" w:color="auto" w:fill="auto"/>
            <w:vAlign w:val="center"/>
          </w:tcPr>
          <w:p w:rsidR="000178B1" w:rsidRPr="004E17F0" w:rsidRDefault="000178B1" w:rsidP="00CF3349">
            <w:pPr>
              <w:spacing w:after="0" w:line="240" w:lineRule="auto"/>
              <w:jc w:val="center"/>
              <w:rPr>
                <w:rFonts w:cstheme="minorHAnsi"/>
                <w:szCs w:val="20"/>
              </w:rPr>
            </w:pPr>
            <w:r w:rsidRPr="004E17F0">
              <w:rPr>
                <w:rFonts w:cstheme="minorHAnsi"/>
                <w:szCs w:val="20"/>
              </w:rPr>
              <w:t>15,56%</w:t>
            </w:r>
          </w:p>
        </w:tc>
      </w:tr>
    </w:tbl>
    <w:p w:rsidR="000178B1" w:rsidRPr="005C21C9" w:rsidRDefault="000178B1" w:rsidP="000178B1">
      <w:pPr>
        <w:pStyle w:val="PODWrof"/>
      </w:pPr>
      <w:r w:rsidRPr="00B27A13">
        <w:t>Źródło: https://nid.pl/zasoby/rejestr-zabytkow-zasoby/ [</w:t>
      </w:r>
      <w:r>
        <w:t>D</w:t>
      </w:r>
      <w:r w:rsidRPr="00B27A13">
        <w:t xml:space="preserve">ostęp: </w:t>
      </w:r>
      <w:r>
        <w:t>21.09.</w:t>
      </w:r>
      <w:r w:rsidRPr="00B27A13">
        <w:t>2022 r.]</w:t>
      </w:r>
      <w:r>
        <w:t>.</w:t>
      </w:r>
    </w:p>
    <w:p w:rsidR="007D07F9" w:rsidRPr="004E17F0" w:rsidRDefault="000178B1" w:rsidP="004E17F0">
      <w:pPr>
        <w:spacing w:after="120"/>
        <w:jc w:val="left"/>
        <w:rPr>
          <w:sz w:val="24"/>
        </w:rPr>
      </w:pPr>
      <w:r w:rsidRPr="004E17F0">
        <w:rPr>
          <w:rFonts w:cstheme="minorHAnsi"/>
          <w:sz w:val="24"/>
        </w:rPr>
        <w:t xml:space="preserve">Podając za danymi Dolnośląskiego Wojewódzkiego Konserwatora Zabytków we Wrocławiu, według stanu na 27.09.2022 r. liczba zabytków ruchomych w samorządach WrOF wyniosła 8 160. Największa </w:t>
      </w:r>
      <w:r w:rsidR="00E07789" w:rsidRPr="004E17F0">
        <w:rPr>
          <w:rFonts w:cstheme="minorHAnsi"/>
          <w:sz w:val="24"/>
        </w:rPr>
        <w:t xml:space="preserve">ich </w:t>
      </w:r>
      <w:r w:rsidRPr="004E17F0">
        <w:rPr>
          <w:rFonts w:cstheme="minorHAnsi"/>
          <w:sz w:val="24"/>
        </w:rPr>
        <w:t xml:space="preserve">liczba ulokowana jest we Wrocławiu, Oławie i Trzebnicy. </w:t>
      </w:r>
    </w:p>
    <w:p w:rsidR="000178B1" w:rsidRPr="004E17F0" w:rsidRDefault="000178B1" w:rsidP="004E17F0">
      <w:pPr>
        <w:spacing w:after="120"/>
        <w:jc w:val="left"/>
        <w:rPr>
          <w:rFonts w:cstheme="minorHAnsi"/>
          <w:sz w:val="24"/>
        </w:rPr>
      </w:pPr>
      <w:r w:rsidRPr="004E17F0">
        <w:rPr>
          <w:rFonts w:cstheme="minorHAnsi"/>
          <w:sz w:val="24"/>
        </w:rPr>
        <w:t xml:space="preserve">Należy podkreślić, że znaczna liczba zabytków ruchomych zachowanych w województwie to dzieła sztuk plastycznych i rzemiosła artystycznego. Najliczniejszą ilościowo grupę stanowią obiekty wyposażenia i wystroju świątyń (jest to największa liczba tego typu zabytków w kraju). Cały zasób zabytków ruchomych, tzn. obiektów znajdujących się w wojewódzkiej ewidencji zabytków wynosi86 994. Tak bogate zbiory zabytków ruchomych wymuszają </w:t>
      </w:r>
      <w:r w:rsidR="000530A7" w:rsidRPr="004E17F0">
        <w:rPr>
          <w:rFonts w:cstheme="minorHAnsi"/>
          <w:sz w:val="24"/>
        </w:rPr>
        <w:t>zwiększone nakłady finansowe na </w:t>
      </w:r>
      <w:r w:rsidRPr="004E17F0">
        <w:rPr>
          <w:rFonts w:cstheme="minorHAnsi"/>
          <w:sz w:val="24"/>
        </w:rPr>
        <w:t>zachowanie dziedzictwa</w:t>
      </w:r>
      <w:r w:rsidR="00D848F5" w:rsidRPr="004E17F0">
        <w:rPr>
          <w:rFonts w:cstheme="minorHAnsi"/>
          <w:sz w:val="24"/>
        </w:rPr>
        <w:t>,</w:t>
      </w:r>
      <w:r w:rsidRPr="004E17F0">
        <w:rPr>
          <w:rFonts w:cstheme="minorHAnsi"/>
          <w:sz w:val="24"/>
        </w:rPr>
        <w:t xml:space="preserve"> ponieważ część z</w:t>
      </w:r>
      <w:r w:rsidR="007F541A" w:rsidRPr="004E17F0">
        <w:rPr>
          <w:rFonts w:cstheme="minorHAnsi"/>
          <w:sz w:val="24"/>
        </w:rPr>
        <w:t xml:space="preserve"> nich </w:t>
      </w:r>
      <w:r w:rsidRPr="004E17F0">
        <w:rPr>
          <w:rFonts w:cstheme="minorHAnsi"/>
          <w:sz w:val="24"/>
        </w:rPr>
        <w:t>wymaga</w:t>
      </w:r>
      <w:r w:rsidR="007F541A" w:rsidRPr="004E17F0">
        <w:rPr>
          <w:rFonts w:cstheme="minorHAnsi"/>
          <w:sz w:val="24"/>
        </w:rPr>
        <w:t xml:space="preserve"> np.</w:t>
      </w:r>
      <w:r w:rsidRPr="004E17F0">
        <w:rPr>
          <w:rFonts w:cstheme="minorHAnsi"/>
          <w:sz w:val="24"/>
        </w:rPr>
        <w:t xml:space="preserve"> prac konserwatorskich</w:t>
      </w:r>
      <w:r w:rsidR="00D848F5" w:rsidRPr="004E17F0">
        <w:rPr>
          <w:rFonts w:cstheme="minorHAnsi"/>
          <w:sz w:val="24"/>
        </w:rPr>
        <w:t>.</w:t>
      </w:r>
    </w:p>
    <w:p w:rsidR="00A623C9" w:rsidRDefault="000178B1" w:rsidP="004E17F0">
      <w:pPr>
        <w:spacing w:after="0"/>
        <w:jc w:val="left"/>
        <w:rPr>
          <w:rFonts w:cstheme="minorHAnsi"/>
        </w:rPr>
      </w:pPr>
      <w:r w:rsidRPr="004E17F0">
        <w:rPr>
          <w:rFonts w:cstheme="minorHAnsi"/>
          <w:sz w:val="24"/>
        </w:rPr>
        <w:t xml:space="preserve">Stan wskazanych wcześniej zabytków jest mocno zróżnicowany – niektóre z nich wykazują wysoki stopień degradacji, inne zaś, dzięki podjętym pracom konserwatorskim zostały zrewitalizowane </w:t>
      </w:r>
      <w:r w:rsidR="00062898" w:rsidRPr="004E17F0">
        <w:rPr>
          <w:rFonts w:cstheme="minorHAnsi"/>
          <w:sz w:val="24"/>
        </w:rPr>
        <w:br/>
      </w:r>
      <w:r w:rsidRPr="004E17F0">
        <w:rPr>
          <w:rFonts w:cstheme="minorHAnsi"/>
          <w:sz w:val="24"/>
        </w:rPr>
        <w:t>i pełnią różnorodne funkcje. Zgodnie z danymi zawartymi w Programie opieki nad zabytkami Województwa Dolnośląskiego na lata 2021-2024 około 17% (z 7 985 obiektów) zabytków architektury i budownictwa, parków i cmentarzy na terenie województwa dolnośląskiego nie wymaga interwencji. Blisko 5% obiektów jest poddawana remontom i pracom konserwatorskim, 45% jest w stanie dobrym, 26% w stanie średnim, ok. 5% w stanie zagrożenia, a 2% stanowią obiekty w stanie ruiny. Zły stan miejsc lub obiektów powoduje, że na dzień dzisiejszy nie mogą zostać zagospodarowane lub pełnić swoich funkcji.</w:t>
      </w:r>
      <w:r w:rsidR="00D848F5" w:rsidRPr="004E17F0">
        <w:rPr>
          <w:rFonts w:cstheme="minorHAnsi"/>
          <w:sz w:val="24"/>
        </w:rPr>
        <w:t xml:space="preserve"> Zatem równ</w:t>
      </w:r>
      <w:r w:rsidR="00B100B5" w:rsidRPr="004E17F0">
        <w:rPr>
          <w:rFonts w:cstheme="minorHAnsi"/>
          <w:sz w:val="24"/>
        </w:rPr>
        <w:t>ież część zabytków nieruchomych wymaga renowacji, remontu</w:t>
      </w:r>
      <w:r w:rsidR="007F541A" w:rsidRPr="004E17F0">
        <w:rPr>
          <w:rFonts w:cstheme="minorHAnsi"/>
          <w:sz w:val="24"/>
        </w:rPr>
        <w:t xml:space="preserve"> lub</w:t>
      </w:r>
      <w:r w:rsidR="00B100B5" w:rsidRPr="004E17F0">
        <w:rPr>
          <w:rFonts w:cstheme="minorHAnsi"/>
          <w:sz w:val="24"/>
        </w:rPr>
        <w:t xml:space="preserve"> modernizacji</w:t>
      </w:r>
      <w:r w:rsidR="00B100B5">
        <w:rPr>
          <w:rFonts w:cstheme="minorHAnsi"/>
        </w:rPr>
        <w:t>.</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4E17F0" w:rsidRPr="00800D30" w:rsidTr="006A36A5">
        <w:trPr>
          <w:trHeight w:val="510"/>
          <w:tblHeader/>
        </w:trPr>
        <w:tc>
          <w:tcPr>
            <w:tcW w:w="9062" w:type="dxa"/>
            <w:vAlign w:val="center"/>
          </w:tcPr>
          <w:p w:rsidR="004E17F0" w:rsidRPr="00800D30" w:rsidRDefault="004E17F0" w:rsidP="006A36A5">
            <w:pPr>
              <w:spacing w:line="240" w:lineRule="auto"/>
              <w:jc w:val="left"/>
              <w:rPr>
                <w:b/>
                <w:sz w:val="24"/>
              </w:rPr>
            </w:pPr>
            <w:r w:rsidRPr="00800D30">
              <w:rPr>
                <w:b/>
                <w:sz w:val="24"/>
              </w:rPr>
              <w:t>Kluczowe wyzwania strategiczne</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sidRPr="000530A7">
              <w:rPr>
                <w:rFonts w:cstheme="minorHAnsi"/>
                <w:szCs w:val="20"/>
              </w:rPr>
              <w:t xml:space="preserve">Rekomenduje się stałe poprawianie </w:t>
            </w:r>
            <w:r>
              <w:rPr>
                <w:rFonts w:cstheme="minorHAnsi"/>
                <w:szCs w:val="20"/>
              </w:rPr>
              <w:t xml:space="preserve">i rozwój </w:t>
            </w:r>
            <w:r w:rsidRPr="000530A7">
              <w:rPr>
                <w:rFonts w:cstheme="minorHAnsi"/>
                <w:szCs w:val="20"/>
              </w:rPr>
              <w:t xml:space="preserve">infrastruktury </w:t>
            </w:r>
            <w:r>
              <w:rPr>
                <w:rFonts w:cstheme="minorHAnsi"/>
                <w:szCs w:val="20"/>
              </w:rPr>
              <w:t xml:space="preserve">związanej z </w:t>
            </w:r>
            <w:r w:rsidRPr="000530A7">
              <w:rPr>
                <w:rFonts w:cstheme="minorHAnsi"/>
                <w:szCs w:val="20"/>
              </w:rPr>
              <w:t>kultur</w:t>
            </w:r>
            <w:r>
              <w:rPr>
                <w:rFonts w:cstheme="minorHAnsi"/>
                <w:szCs w:val="20"/>
              </w:rPr>
              <w:t>ą</w:t>
            </w:r>
            <w:r>
              <w:rPr>
                <w:rFonts w:cstheme="minorHAnsi"/>
                <w:szCs w:val="20"/>
              </w:rPr>
              <w:br/>
            </w:r>
            <w:r w:rsidRPr="000530A7">
              <w:rPr>
                <w:rFonts w:cstheme="minorHAnsi"/>
                <w:szCs w:val="20"/>
              </w:rPr>
              <w:t>stanowiącej o bogatym dziedzictwie kulturowym obszaru. Wykorzystanie</w:t>
            </w:r>
            <w:r>
              <w:rPr>
                <w:rFonts w:cstheme="minorHAnsi"/>
                <w:szCs w:val="20"/>
              </w:rPr>
              <w:br/>
            </w:r>
            <w:r w:rsidRPr="000530A7">
              <w:rPr>
                <w:rFonts w:cstheme="minorHAnsi"/>
                <w:szCs w:val="20"/>
              </w:rPr>
              <w:t>licznych zabytków nieruchomych</w:t>
            </w:r>
            <w:r>
              <w:rPr>
                <w:rFonts w:cstheme="minorHAnsi"/>
                <w:szCs w:val="20"/>
              </w:rPr>
              <w:t xml:space="preserve"> i ruchomych</w:t>
            </w:r>
            <w:r w:rsidRPr="000530A7">
              <w:rPr>
                <w:rFonts w:cstheme="minorHAnsi"/>
                <w:szCs w:val="20"/>
              </w:rPr>
              <w:t xml:space="preserve"> jako atrakcji, ciekawostek</w:t>
            </w:r>
            <w:r>
              <w:rPr>
                <w:rFonts w:cstheme="minorHAnsi"/>
                <w:szCs w:val="20"/>
              </w:rPr>
              <w:t>, które</w:t>
            </w:r>
            <w:r w:rsidRPr="000530A7">
              <w:rPr>
                <w:rFonts w:cstheme="minorHAnsi"/>
                <w:szCs w:val="20"/>
              </w:rPr>
              <w:t xml:space="preserve"> mo</w:t>
            </w:r>
            <w:r>
              <w:rPr>
                <w:rFonts w:cstheme="minorHAnsi"/>
                <w:szCs w:val="20"/>
              </w:rPr>
              <w:t>gą</w:t>
            </w:r>
            <w:r w:rsidRPr="000530A7">
              <w:rPr>
                <w:rFonts w:cstheme="minorHAnsi"/>
                <w:szCs w:val="20"/>
              </w:rPr>
              <w:t xml:space="preserve"> stanowić swoisty magnes dla różnych grup odbiorców.</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Pr>
                <w:rFonts w:cstheme="minorHAnsi"/>
                <w:szCs w:val="20"/>
              </w:rPr>
              <w:t>Poprawa stanu zabytków ruchomych i nieruchomych</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highlight w:val="yellow"/>
              </w:rPr>
            </w:pPr>
            <w:r w:rsidRPr="000530A7">
              <w:rPr>
                <w:rFonts w:cstheme="minorHAnsi"/>
                <w:szCs w:val="20"/>
              </w:rPr>
              <w:t>Rolą samorządu powinno być dalsze wzmacnianie roli kultury</w:t>
            </w:r>
            <w:r>
              <w:rPr>
                <w:rFonts w:cstheme="minorHAnsi"/>
                <w:szCs w:val="20"/>
              </w:rPr>
              <w:t>,</w:t>
            </w:r>
            <w:r w:rsidRPr="000530A7">
              <w:rPr>
                <w:rFonts w:cstheme="minorHAnsi"/>
                <w:szCs w:val="20"/>
              </w:rPr>
              <w:t xml:space="preserve"> rozumianej jako oferty spędzania czasu wolnego dla mieszkańców, zwracanie szczególnej uwagi na lokalnych twórców, liderów życia kulturalnego.  Stanowią oni unikatowy zasób, którego kreatywność przyczynia się do stałego wzbogacania życia kulturalnego obszaru.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sidRPr="000530A7">
              <w:rPr>
                <w:rFonts w:cstheme="minorHAnsi"/>
                <w:szCs w:val="20"/>
              </w:rPr>
              <w:t>Rekomendowane jest poprawianie dostępności, stała dbałość o dostępność kultury dla różnych grup odbiorców, w tym grup zagrożonych wykluczeniem społecznym. Ważnym jest kreowanie możliwości korzystania z kultury</w:t>
            </w:r>
            <w:r>
              <w:rPr>
                <w:rFonts w:cstheme="minorHAnsi"/>
                <w:szCs w:val="20"/>
              </w:rPr>
              <w:t>,</w:t>
            </w:r>
            <w:r w:rsidRPr="000530A7">
              <w:rPr>
                <w:rFonts w:cstheme="minorHAnsi"/>
                <w:szCs w:val="20"/>
              </w:rPr>
              <w:t xml:space="preserve"> jaką daje Internet.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sidRPr="000530A7">
              <w:rPr>
                <w:rFonts w:cstheme="minorHAnsi"/>
                <w:szCs w:val="20"/>
              </w:rPr>
              <w:t>Stawianie na innowacyjność</w:t>
            </w:r>
            <w:r>
              <w:rPr>
                <w:rFonts w:cstheme="minorHAnsi"/>
                <w:szCs w:val="20"/>
              </w:rPr>
              <w:t xml:space="preserve">, </w:t>
            </w:r>
            <w:r w:rsidRPr="000530A7">
              <w:rPr>
                <w:rFonts w:cstheme="minorHAnsi"/>
                <w:szCs w:val="20"/>
              </w:rPr>
              <w:t>w tym innowacyjne podejście do kultury  – stałe szukanie nowych form i treści kulturowych, które będą atrakcyjne</w:t>
            </w:r>
            <w:r>
              <w:rPr>
                <w:rFonts w:cstheme="minorHAnsi"/>
                <w:szCs w:val="20"/>
              </w:rPr>
              <w:t xml:space="preserve"> dla mieszkańców lub turystów i </w:t>
            </w:r>
            <w:r w:rsidRPr="000530A7">
              <w:rPr>
                <w:rFonts w:cstheme="minorHAnsi"/>
                <w:szCs w:val="20"/>
              </w:rPr>
              <w:t xml:space="preserve">odwiedzających.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sidRPr="000530A7">
              <w:rPr>
                <w:rFonts w:cstheme="minorHAnsi"/>
                <w:szCs w:val="20"/>
              </w:rPr>
              <w:t xml:space="preserve">Wyzwaniem w zakresie informacji o kulturze jest stałe podnoszenie skuteczności dotarcia </w:t>
            </w:r>
            <w:r>
              <w:rPr>
                <w:rFonts w:cstheme="minorHAnsi"/>
                <w:szCs w:val="20"/>
              </w:rPr>
              <w:br/>
            </w:r>
            <w:r w:rsidRPr="000530A7">
              <w:rPr>
                <w:rFonts w:cstheme="minorHAnsi"/>
                <w:szCs w:val="20"/>
              </w:rPr>
              <w:t xml:space="preserve">do mieszkańców i turystów z oferta turystyczną. Konieczna jest rozbudowa wspólnej ofert kulturalnej WrOF m in. poprzez tworzenie sieci współpracy i wspólnych platform.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rPr>
            </w:pPr>
            <w:r w:rsidRPr="000530A7">
              <w:rPr>
                <w:rFonts w:cstheme="minorHAnsi"/>
                <w:szCs w:val="20"/>
              </w:rPr>
              <w:t xml:space="preserve">Koniecznym jest zwiększenie nakładów finansowych na ochronę i </w:t>
            </w:r>
            <w:r>
              <w:rPr>
                <w:rFonts w:cstheme="minorHAnsi"/>
                <w:szCs w:val="20"/>
              </w:rPr>
              <w:t xml:space="preserve">konserwację zabytków ruchomych </w:t>
            </w:r>
            <w:r w:rsidRPr="000530A7">
              <w:rPr>
                <w:rFonts w:cstheme="minorHAnsi"/>
                <w:szCs w:val="20"/>
              </w:rPr>
              <w:t xml:space="preserve">i nieruchomych.  Zaledwie 17% (z 7 985 obiektów) zabytków architektury </w:t>
            </w:r>
            <w:r>
              <w:rPr>
                <w:rFonts w:cstheme="minorHAnsi"/>
                <w:szCs w:val="20"/>
              </w:rPr>
              <w:br/>
            </w:r>
            <w:r w:rsidRPr="000530A7">
              <w:rPr>
                <w:rFonts w:cstheme="minorHAnsi"/>
                <w:szCs w:val="20"/>
              </w:rPr>
              <w:t>i budownictwa, parków i cmentarzy na terenie województwa dolnośląskiego nie wymaga interwencji.</w:t>
            </w:r>
          </w:p>
        </w:tc>
      </w:tr>
      <w:tr w:rsidR="004E17F0" w:rsidTr="006A36A5">
        <w:trPr>
          <w:trHeight w:val="737"/>
        </w:trPr>
        <w:tc>
          <w:tcPr>
            <w:tcW w:w="9062" w:type="dxa"/>
            <w:vAlign w:val="center"/>
          </w:tcPr>
          <w:p w:rsidR="004E17F0" w:rsidRPr="000530A7" w:rsidRDefault="004E17F0" w:rsidP="004E17F0">
            <w:pPr>
              <w:autoSpaceDE w:val="0"/>
              <w:autoSpaceDN w:val="0"/>
              <w:adjustRightInd w:val="0"/>
              <w:spacing w:line="240" w:lineRule="auto"/>
              <w:jc w:val="left"/>
              <w:rPr>
                <w:rFonts w:cstheme="minorHAnsi"/>
                <w:szCs w:val="20"/>
              </w:rPr>
            </w:pPr>
            <w:r w:rsidRPr="000530A7">
              <w:rPr>
                <w:rFonts w:cstheme="minorHAnsi"/>
                <w:szCs w:val="20"/>
              </w:rPr>
              <w:t>Stałe wykorzystywanie marki Wrocławia jako ważnego miasta na mapie Europy jest ważnym elementem wpływającym na rozwój WrOF.</w:t>
            </w:r>
          </w:p>
        </w:tc>
      </w:tr>
    </w:tbl>
    <w:p w:rsidR="000178B1" w:rsidRPr="00A623C9" w:rsidRDefault="00C86749" w:rsidP="00A623C9">
      <w:pPr>
        <w:pStyle w:val="Nagwek2"/>
        <w:spacing w:before="480"/>
      </w:pPr>
      <w:bookmarkStart w:id="113" w:name="_Toc125707448"/>
      <w:bookmarkStart w:id="114" w:name="_Toc143673211"/>
      <w:r w:rsidRPr="00A623C9">
        <w:t>II.</w:t>
      </w:r>
      <w:r w:rsidR="00187AED" w:rsidRPr="00A623C9">
        <w:t>8</w:t>
      </w:r>
      <w:r w:rsidR="000178B1" w:rsidRPr="00A623C9">
        <w:t xml:space="preserve"> Sport, rekreacja i turystyka</w:t>
      </w:r>
      <w:bookmarkEnd w:id="113"/>
      <w:bookmarkEnd w:id="114"/>
    </w:p>
    <w:p w:rsidR="000178B1" w:rsidRPr="004E17F0" w:rsidRDefault="000178B1" w:rsidP="004E17F0">
      <w:pPr>
        <w:jc w:val="left"/>
        <w:rPr>
          <w:rFonts w:cstheme="minorHAnsi"/>
          <w:sz w:val="24"/>
        </w:rPr>
      </w:pPr>
      <w:r w:rsidRPr="004E17F0">
        <w:rPr>
          <w:rFonts w:cstheme="minorHAnsi"/>
          <w:sz w:val="24"/>
        </w:rPr>
        <w:t>Według danych BDL GUS we WrOF funkcjonowało w 2018 r. 358</w:t>
      </w:r>
      <w:r w:rsidRPr="004E17F0">
        <w:rPr>
          <w:rStyle w:val="Odwoanieprzypisudolnego"/>
          <w:rFonts w:cstheme="minorHAnsi"/>
          <w:sz w:val="24"/>
        </w:rPr>
        <w:footnoteReference w:id="89"/>
      </w:r>
      <w:r w:rsidR="005E2FEA" w:rsidRPr="004E17F0">
        <w:rPr>
          <w:rFonts w:cstheme="minorHAnsi"/>
          <w:sz w:val="24"/>
        </w:rPr>
        <w:t xml:space="preserve"> </w:t>
      </w:r>
      <w:r w:rsidRPr="004E17F0">
        <w:rPr>
          <w:rFonts w:cstheme="minorHAnsi"/>
          <w:sz w:val="24"/>
        </w:rPr>
        <w:t>klubów sportowych</w:t>
      </w:r>
      <w:r w:rsidRPr="004E17F0">
        <w:rPr>
          <w:rStyle w:val="Odwoanieprzypisudolnego"/>
          <w:rFonts w:cstheme="minorHAnsi"/>
          <w:sz w:val="24"/>
        </w:rPr>
        <w:footnoteReference w:id="90"/>
      </w:r>
      <w:r w:rsidRPr="004E17F0">
        <w:rPr>
          <w:rFonts w:cstheme="minorHAnsi"/>
          <w:sz w:val="24"/>
        </w:rPr>
        <w:t>. Liczba klubów w przeliczeniu na 1</w:t>
      </w:r>
      <w:r w:rsidR="00E07789" w:rsidRPr="004E17F0">
        <w:rPr>
          <w:rFonts w:cstheme="minorHAnsi"/>
          <w:sz w:val="24"/>
        </w:rPr>
        <w:t>0 tys. mieszkańców wynosiła 3,6 </w:t>
      </w:r>
      <w:r w:rsidRPr="004E17F0">
        <w:rPr>
          <w:rFonts w:cstheme="minorHAnsi"/>
          <w:sz w:val="24"/>
        </w:rPr>
        <w:t>w</w:t>
      </w:r>
      <w:r w:rsidR="00BB5B27" w:rsidRPr="004E17F0">
        <w:rPr>
          <w:rFonts w:cstheme="minorHAnsi"/>
          <w:sz w:val="24"/>
        </w:rPr>
        <w:t> </w:t>
      </w:r>
      <w:r w:rsidRPr="004E17F0">
        <w:rPr>
          <w:rFonts w:cstheme="minorHAnsi"/>
          <w:sz w:val="24"/>
        </w:rPr>
        <w:t>2018 r. W porównaniu do średniej dla województwa (4,4) i kraju (3,8) można zauważyć, że sytuacja na terenie WrOF przedsta</w:t>
      </w:r>
      <w:r w:rsidR="00E07789" w:rsidRPr="004E17F0">
        <w:rPr>
          <w:rFonts w:cstheme="minorHAnsi"/>
          <w:sz w:val="24"/>
        </w:rPr>
        <w:t>wia się gorzej, a dostępność do </w:t>
      </w:r>
      <w:r w:rsidRPr="004E17F0">
        <w:rPr>
          <w:rFonts w:cstheme="minorHAnsi"/>
          <w:sz w:val="24"/>
        </w:rPr>
        <w:t>klubów w 2018 r. była niższa. W celu pogłębienia informacji dotyczących klubów sportowych pozyskano dane z gmin wchodzących w skład WrOF. Wynika z nich, że liczba klubów sport</w:t>
      </w:r>
      <w:r w:rsidR="00A623C9" w:rsidRPr="004E17F0">
        <w:rPr>
          <w:rFonts w:cstheme="minorHAnsi"/>
          <w:sz w:val="24"/>
        </w:rPr>
        <w:t>owych w </w:t>
      </w:r>
      <w:r w:rsidRPr="004E17F0">
        <w:rPr>
          <w:rFonts w:cstheme="minorHAnsi"/>
          <w:sz w:val="24"/>
        </w:rPr>
        <w:t>2022 r. wynosiła 364, a więc utrzymuje się na zbliżonym poziomie.</w:t>
      </w:r>
    </w:p>
    <w:p w:rsidR="000178B1" w:rsidRPr="004E17F0" w:rsidRDefault="000178B1" w:rsidP="004E17F0">
      <w:pPr>
        <w:jc w:val="left"/>
        <w:rPr>
          <w:rFonts w:cstheme="minorHAnsi"/>
          <w:sz w:val="24"/>
        </w:rPr>
      </w:pPr>
      <w:r w:rsidRPr="004E17F0">
        <w:rPr>
          <w:rFonts w:cstheme="minorHAnsi"/>
          <w:sz w:val="24"/>
        </w:rPr>
        <w:t>Liczba osób ćwiczących w</w:t>
      </w:r>
      <w:r w:rsidR="001F2709" w:rsidRPr="004E17F0">
        <w:rPr>
          <w:rFonts w:cstheme="minorHAnsi"/>
          <w:sz w:val="24"/>
        </w:rPr>
        <w:t xml:space="preserve"> różnych</w:t>
      </w:r>
      <w:r w:rsidRPr="004E17F0">
        <w:rPr>
          <w:rFonts w:cstheme="minorHAnsi"/>
          <w:sz w:val="24"/>
        </w:rPr>
        <w:t xml:space="preserve"> sekcjach sportowych</w:t>
      </w:r>
      <w:r w:rsidRPr="004E17F0">
        <w:rPr>
          <w:rStyle w:val="Odwoanieprzypisudolnego"/>
          <w:rFonts w:cstheme="minorHAnsi"/>
          <w:sz w:val="24"/>
        </w:rPr>
        <w:footnoteReference w:id="91"/>
      </w:r>
      <w:r w:rsidRPr="004E17F0">
        <w:rPr>
          <w:rFonts w:cstheme="minorHAnsi"/>
          <w:sz w:val="24"/>
        </w:rPr>
        <w:t xml:space="preserve"> w 201</w:t>
      </w:r>
      <w:r w:rsidR="00E07789" w:rsidRPr="004E17F0">
        <w:rPr>
          <w:rFonts w:cstheme="minorHAnsi"/>
          <w:sz w:val="24"/>
        </w:rPr>
        <w:t>8 r. we WrOF wynosiła 32 412, a </w:t>
      </w:r>
      <w:r w:rsidRPr="004E17F0">
        <w:rPr>
          <w:rFonts w:cstheme="minorHAnsi"/>
          <w:sz w:val="24"/>
        </w:rPr>
        <w:t xml:space="preserve">liczba członków klubów była nieco wyższa 32 444 os. Najwięcej osób ćwiczących ogółem odnotowano we Wrocławiu (ponad 21 tys. osób), a </w:t>
      </w:r>
      <w:r w:rsidR="001D1207">
        <w:rPr>
          <w:rFonts w:cstheme="minorHAnsi"/>
          <w:sz w:val="24"/>
        </w:rPr>
        <w:t>następnie w Oleśnicy (miasto) i </w:t>
      </w:r>
      <w:r w:rsidRPr="004E17F0">
        <w:rPr>
          <w:rFonts w:cstheme="minorHAnsi"/>
          <w:sz w:val="24"/>
        </w:rPr>
        <w:t>Miękini, Siechnicach oraz</w:t>
      </w:r>
      <w:r w:rsidR="00801B43" w:rsidRPr="004E17F0">
        <w:rPr>
          <w:rFonts w:cstheme="minorHAnsi"/>
          <w:sz w:val="24"/>
        </w:rPr>
        <w:t> Długołęce. W </w:t>
      </w:r>
      <w:r w:rsidRPr="004E17F0">
        <w:rPr>
          <w:rFonts w:cstheme="minorHAnsi"/>
          <w:sz w:val="24"/>
        </w:rPr>
        <w:t xml:space="preserve">porównaniu do 2010 r. liczba członków klubów wzrosła o ponad 13 tysięcy, natomiast liczba ćwiczących o około 12,5 tys. </w:t>
      </w:r>
    </w:p>
    <w:p w:rsidR="000178B1" w:rsidRDefault="000178B1" w:rsidP="000178B1">
      <w:pPr>
        <w:pStyle w:val="nadWrOF"/>
        <w:rPr>
          <w:rFonts w:asciiTheme="minorHAnsi" w:hAnsiTheme="minorHAnsi" w:cstheme="minorHAnsi"/>
        </w:rPr>
      </w:pPr>
      <w:bookmarkStart w:id="115" w:name="_Toc125100972"/>
      <w:bookmarkStart w:id="116" w:name="_Toc143606984"/>
      <w:r w:rsidRPr="00B27A13">
        <w:rPr>
          <w:rFonts w:asciiTheme="minorHAnsi" w:hAnsiTheme="minorHAnsi" w:cstheme="minorHAnsi"/>
        </w:rPr>
        <w:t xml:space="preserve">Wykres </w:t>
      </w:r>
      <w:r w:rsidR="00C73793" w:rsidRPr="00B27A13">
        <w:rPr>
          <w:rFonts w:asciiTheme="minorHAnsi" w:hAnsiTheme="minorHAnsi" w:cstheme="minorHAnsi"/>
        </w:rPr>
        <w:fldChar w:fldCharType="begin"/>
      </w:r>
      <w:r w:rsidRPr="00B27A13">
        <w:rPr>
          <w:rFonts w:asciiTheme="minorHAnsi" w:hAnsiTheme="minorHAnsi" w:cstheme="minorHAnsi"/>
        </w:rPr>
        <w:instrText xml:space="preserve"> SEQ Wykres \* ARABIC </w:instrText>
      </w:r>
      <w:r w:rsidR="00C73793" w:rsidRPr="00B27A13">
        <w:rPr>
          <w:rFonts w:asciiTheme="minorHAnsi" w:hAnsiTheme="minorHAnsi" w:cstheme="minorHAnsi"/>
        </w:rPr>
        <w:fldChar w:fldCharType="separate"/>
      </w:r>
      <w:r w:rsidR="00C96A96">
        <w:rPr>
          <w:rFonts w:asciiTheme="minorHAnsi" w:hAnsiTheme="minorHAnsi" w:cstheme="minorHAnsi"/>
          <w:noProof/>
        </w:rPr>
        <w:t>3</w:t>
      </w:r>
      <w:r w:rsidR="00C73793" w:rsidRPr="00B27A13">
        <w:rPr>
          <w:rFonts w:asciiTheme="minorHAnsi" w:hAnsiTheme="minorHAnsi" w:cstheme="minorHAnsi"/>
        </w:rPr>
        <w:fldChar w:fldCharType="end"/>
      </w:r>
      <w:r w:rsidRPr="00B27A13">
        <w:rPr>
          <w:rFonts w:asciiTheme="minorHAnsi" w:hAnsiTheme="minorHAnsi" w:cstheme="minorHAnsi"/>
        </w:rPr>
        <w:t xml:space="preserve"> Liczba ćwiczących do lat 18</w:t>
      </w:r>
      <w:r w:rsidRPr="00B27A13">
        <w:rPr>
          <w:rStyle w:val="Odwoanieprzypisudolnego"/>
          <w:rFonts w:asciiTheme="minorHAnsi" w:hAnsiTheme="minorHAnsi" w:cstheme="minorHAnsi"/>
        </w:rPr>
        <w:footnoteReference w:id="92"/>
      </w:r>
      <w:r w:rsidRPr="00B27A13">
        <w:rPr>
          <w:rFonts w:asciiTheme="minorHAnsi" w:hAnsiTheme="minorHAnsi" w:cstheme="minorHAnsi"/>
        </w:rPr>
        <w:t>w latach 2010, 2012, 2014, 2016 i 2018 we WrOF</w:t>
      </w:r>
      <w:bookmarkEnd w:id="115"/>
      <w:bookmarkEnd w:id="116"/>
    </w:p>
    <w:p w:rsidR="000178B1" w:rsidRPr="00B27A13" w:rsidRDefault="004E17F0" w:rsidP="004E17F0">
      <w:pPr>
        <w:pStyle w:val="nadWrOF"/>
        <w:rPr>
          <w:rFonts w:cstheme="minorHAnsi"/>
        </w:rPr>
      </w:pPr>
      <w:r w:rsidRPr="00B27A13">
        <w:rPr>
          <w:rFonts w:cstheme="minorHAnsi"/>
          <w:noProof/>
          <w:lang w:eastAsia="pl-PL"/>
        </w:rPr>
        <w:drawing>
          <wp:inline distT="0" distB="0" distL="0" distR="0" wp14:anchorId="0673DAE1" wp14:editId="25A0B03F">
            <wp:extent cx="5760720" cy="3313216"/>
            <wp:effectExtent l="0" t="0" r="11430" b="1905"/>
            <wp:docPr id="7" name="Wykres 70" descr="Liczba ćwiczących do lat 18 w latach 2010, 2012, 2014, 2016 i 2018 we WrOF. Wyniki omówione w tekście" title="Liczba ćwiczących do lat 18 w latach 2010, 2012, 2014, 2016 i 2018 we WrOF"/>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178B1" w:rsidRPr="00B27A13" w:rsidRDefault="000178B1" w:rsidP="000178B1">
      <w:pPr>
        <w:pStyle w:val="PODWrof"/>
        <w:rPr>
          <w:rFonts w:asciiTheme="minorHAnsi" w:hAnsiTheme="minorHAnsi" w:cstheme="minorHAnsi"/>
        </w:rPr>
      </w:pPr>
      <w:r w:rsidRPr="00B27A13">
        <w:rPr>
          <w:rFonts w:asciiTheme="minorHAnsi" w:hAnsiTheme="minorHAnsi" w:cstheme="minorHAnsi"/>
        </w:rPr>
        <w:t>Źródło: opracowanie wła</w:t>
      </w:r>
      <w:r>
        <w:rPr>
          <w:rFonts w:asciiTheme="minorHAnsi" w:hAnsiTheme="minorHAnsi" w:cstheme="minorHAnsi"/>
        </w:rPr>
        <w:t xml:space="preserve">sne na podstawie danych BLD GUS </w:t>
      </w:r>
      <w:r>
        <w:rPr>
          <w:rStyle w:val="podWrOFZnak0"/>
          <w:rFonts w:asciiTheme="minorHAnsi" w:hAnsiTheme="minorHAnsi" w:cstheme="minorHAnsi"/>
          <w:iCs/>
        </w:rPr>
        <w:t>[</w:t>
      </w:r>
      <w:r w:rsidRPr="009447E1">
        <w:rPr>
          <w:rStyle w:val="podWrOFZnak0"/>
          <w:rFonts w:asciiTheme="minorHAnsi" w:hAnsiTheme="minorHAnsi" w:cstheme="minorHAnsi"/>
          <w:i/>
          <w:iCs/>
        </w:rPr>
        <w:t>Stan na: 31.12.2021].</w:t>
      </w:r>
    </w:p>
    <w:p w:rsidR="000178B1" w:rsidRPr="004E17F0" w:rsidRDefault="000178B1" w:rsidP="004E17F0">
      <w:pPr>
        <w:jc w:val="left"/>
        <w:rPr>
          <w:rFonts w:cstheme="minorHAnsi"/>
          <w:sz w:val="24"/>
        </w:rPr>
      </w:pPr>
      <w:r w:rsidRPr="004E17F0">
        <w:rPr>
          <w:rFonts w:cstheme="minorHAnsi"/>
          <w:sz w:val="24"/>
        </w:rPr>
        <w:t>Wśród ćwiczących w 2018 r. około 62% stanowiły osoby do lat 18, w tym przeważającą grupę stanowili chłopcy (74%). Porównując dane dla 2010 r. i 2018 r. można zauważyć wyraźny wzrost liczby dzie</w:t>
      </w:r>
      <w:r w:rsidR="00192628" w:rsidRPr="004E17F0">
        <w:rPr>
          <w:rFonts w:cstheme="minorHAnsi"/>
          <w:sz w:val="24"/>
        </w:rPr>
        <w:t>ci i młodzieży wśród ćwiczących</w:t>
      </w:r>
      <w:r w:rsidRPr="004E17F0">
        <w:rPr>
          <w:rFonts w:cstheme="minorHAnsi"/>
          <w:sz w:val="24"/>
        </w:rPr>
        <w:t xml:space="preserve"> (o 69%). Przedstawione dane mogą świadczyć o upowszechnieniu kultury fizycznej i wzroście zainteresowania uprawianiem sportów wśród osób do 18 roku życia. Mieszkańcy WrOF mają szerokie możliwości wyboru sportów z uwagi na zróżnicowaną ofertę</w:t>
      </w:r>
      <w:r w:rsidR="00A463D6" w:rsidRPr="004E17F0">
        <w:rPr>
          <w:rFonts w:cstheme="minorHAnsi"/>
          <w:sz w:val="24"/>
        </w:rPr>
        <w:t xml:space="preserve"> </w:t>
      </w:r>
      <w:r w:rsidRPr="004E17F0">
        <w:rPr>
          <w:rFonts w:cstheme="minorHAnsi"/>
          <w:sz w:val="24"/>
        </w:rPr>
        <w:t xml:space="preserve">dyscyplin. </w:t>
      </w:r>
      <w:r w:rsidR="00A463D6" w:rsidRPr="004E17F0">
        <w:rPr>
          <w:rFonts w:cstheme="minorHAnsi"/>
          <w:sz w:val="24"/>
        </w:rPr>
        <w:t>Z</w:t>
      </w:r>
      <w:r w:rsidRPr="004E17F0">
        <w:rPr>
          <w:rFonts w:cstheme="minorHAnsi"/>
          <w:sz w:val="24"/>
        </w:rPr>
        <w:t xml:space="preserve"> opini</w:t>
      </w:r>
      <w:r w:rsidR="00A463D6" w:rsidRPr="004E17F0">
        <w:rPr>
          <w:rFonts w:cstheme="minorHAnsi"/>
          <w:sz w:val="24"/>
        </w:rPr>
        <w:t>i</w:t>
      </w:r>
      <w:r w:rsidRPr="004E17F0">
        <w:rPr>
          <w:rFonts w:cstheme="minorHAnsi"/>
          <w:sz w:val="24"/>
        </w:rPr>
        <w:t xml:space="preserve"> mieszkańców</w:t>
      </w:r>
      <w:r w:rsidR="00A463D6" w:rsidRPr="004E17F0">
        <w:rPr>
          <w:rFonts w:cstheme="minorHAnsi"/>
          <w:sz w:val="24"/>
        </w:rPr>
        <w:t xml:space="preserve"> </w:t>
      </w:r>
      <w:r w:rsidR="009A3AFE" w:rsidRPr="004E17F0">
        <w:rPr>
          <w:rFonts w:cstheme="minorHAnsi"/>
          <w:sz w:val="24"/>
        </w:rPr>
        <w:t xml:space="preserve">dotyczącej oferty sportowej </w:t>
      </w:r>
      <w:r w:rsidR="00A463D6" w:rsidRPr="004E17F0">
        <w:rPr>
          <w:rFonts w:cstheme="minorHAnsi"/>
          <w:sz w:val="24"/>
        </w:rPr>
        <w:t>wynika, ż</w:t>
      </w:r>
      <w:r w:rsidR="009A3AFE" w:rsidRPr="004E17F0">
        <w:rPr>
          <w:rFonts w:cstheme="minorHAnsi"/>
          <w:sz w:val="24"/>
        </w:rPr>
        <w:t xml:space="preserve">e </w:t>
      </w:r>
      <w:r w:rsidR="00A463D6" w:rsidRPr="004E17F0">
        <w:rPr>
          <w:rFonts w:cstheme="minorHAnsi"/>
          <w:sz w:val="24"/>
        </w:rPr>
        <w:t xml:space="preserve"> </w:t>
      </w:r>
      <w:r w:rsidRPr="004E17F0">
        <w:rPr>
          <w:rFonts w:cstheme="minorHAnsi"/>
          <w:sz w:val="24"/>
        </w:rPr>
        <w:t>zajęcia sportowe we Wrocławiu</w:t>
      </w:r>
      <w:r w:rsidR="002E3663" w:rsidRPr="004E17F0">
        <w:rPr>
          <w:rFonts w:cstheme="minorHAnsi"/>
          <w:sz w:val="24"/>
        </w:rPr>
        <w:t>,</w:t>
      </w:r>
      <w:r w:rsidRPr="004E17F0">
        <w:rPr>
          <w:rFonts w:cstheme="minorHAnsi"/>
          <w:sz w:val="24"/>
        </w:rPr>
        <w:t xml:space="preserve"> są trudno dostępne oraz bardzo drogie.</w:t>
      </w:r>
    </w:p>
    <w:p w:rsidR="000178B1" w:rsidRPr="004E17F0" w:rsidRDefault="000178B1" w:rsidP="004E17F0">
      <w:pPr>
        <w:spacing w:after="0"/>
        <w:jc w:val="left"/>
        <w:rPr>
          <w:rFonts w:cstheme="minorHAnsi"/>
          <w:b/>
          <w:color w:val="276E8B"/>
          <w:sz w:val="24"/>
        </w:rPr>
      </w:pPr>
      <w:r w:rsidRPr="004E17F0">
        <w:rPr>
          <w:rFonts w:cstheme="minorHAnsi"/>
          <w:b/>
          <w:color w:val="276E8B"/>
          <w:sz w:val="24"/>
        </w:rPr>
        <w:t>Obiekty sportowe i ich dostosowanie do osób o specjalnych potrzebach</w:t>
      </w:r>
    </w:p>
    <w:p w:rsidR="000178B1" w:rsidRPr="004E17F0" w:rsidRDefault="000178B1" w:rsidP="004E17F0">
      <w:pPr>
        <w:jc w:val="left"/>
        <w:rPr>
          <w:rFonts w:cstheme="minorHAnsi"/>
          <w:sz w:val="24"/>
        </w:rPr>
      </w:pPr>
      <w:r w:rsidRPr="004E17F0">
        <w:rPr>
          <w:rFonts w:cstheme="minorHAnsi"/>
          <w:sz w:val="24"/>
        </w:rPr>
        <w:t xml:space="preserve">Łącznie na obszarze WrOF w 2018 r. było 197 obiektów sportowych (stadionów, hal sportowych, </w:t>
      </w:r>
      <w:r w:rsidR="00062898" w:rsidRPr="004E17F0">
        <w:rPr>
          <w:rFonts w:cstheme="minorHAnsi"/>
          <w:sz w:val="24"/>
        </w:rPr>
        <w:br/>
      </w:r>
      <w:proofErr w:type="spellStart"/>
      <w:r w:rsidRPr="004E17F0">
        <w:rPr>
          <w:rFonts w:cstheme="minorHAnsi"/>
          <w:sz w:val="24"/>
        </w:rPr>
        <w:t>sal</w:t>
      </w:r>
      <w:proofErr w:type="spellEnd"/>
      <w:r w:rsidRPr="004E17F0">
        <w:rPr>
          <w:rFonts w:cstheme="minorHAnsi"/>
          <w:sz w:val="24"/>
        </w:rPr>
        <w:t xml:space="preserve"> gimnastycznych, kortów tenisowych i krytych pływalni). W przypadku infrastruktury sportowej, która jednocześnie wpływa na atrakcyjność turystyczną można wskazać kąpieliska (naturalne zbiorniki wodne) i baseny, które dostępne są na terenie następujących gmin: Dobroszyce, </w:t>
      </w:r>
      <w:r w:rsidR="008A1B22" w:rsidRPr="004E17F0">
        <w:rPr>
          <w:rFonts w:cstheme="minorHAnsi"/>
          <w:sz w:val="24"/>
        </w:rPr>
        <w:t xml:space="preserve">Kąty Wrocławskie, </w:t>
      </w:r>
      <w:r w:rsidRPr="004E17F0">
        <w:rPr>
          <w:rFonts w:cstheme="minorHAnsi"/>
          <w:sz w:val="24"/>
        </w:rPr>
        <w:t>Jelcz-Laskowice, Kobierzyce, Oborniki Śląskie, Oleśnica (miasto), Oława (miasto), Siechnice, Trzebnica oraz Wrocław. Do dyspozycji mieszkańców, jak i turystów są kąpi</w:t>
      </w:r>
      <w:r w:rsidR="00666B26" w:rsidRPr="004E17F0">
        <w:rPr>
          <w:rFonts w:cstheme="minorHAnsi"/>
          <w:sz w:val="24"/>
        </w:rPr>
        <w:t>eliska oraz kompleksy basenów (</w:t>
      </w:r>
      <w:r w:rsidRPr="004E17F0">
        <w:rPr>
          <w:rFonts w:cstheme="minorHAnsi"/>
          <w:sz w:val="24"/>
        </w:rPr>
        <w:t>Oborniki Śląskie, Oława (miasto), Siechnice, Trzebnica i Wrocław) i stawy (Czernica, Dobroszyce, Jelcz-Laskowice, Oborniki Śląskie).</w:t>
      </w:r>
    </w:p>
    <w:p w:rsidR="000178B1" w:rsidRPr="004E17F0" w:rsidRDefault="000178B1" w:rsidP="004E17F0">
      <w:pPr>
        <w:jc w:val="left"/>
        <w:rPr>
          <w:rFonts w:cstheme="minorHAnsi"/>
          <w:color w:val="000000"/>
          <w:sz w:val="24"/>
        </w:rPr>
      </w:pPr>
      <w:r w:rsidRPr="004E17F0">
        <w:rPr>
          <w:rFonts w:cstheme="minorHAnsi"/>
          <w:sz w:val="24"/>
        </w:rPr>
        <w:t>Z uwagi na wzrost populacji WrOF oraz rosnące potrzeby kluczowe jest dalsze rozwijanie infrastruktury oraz budowa nowych wielofunkcyjnych obiektów, umożliwiających uprawianie sportów sezonowych.</w:t>
      </w:r>
      <w:r w:rsidR="00192628" w:rsidRPr="004E17F0">
        <w:rPr>
          <w:rFonts w:cstheme="minorHAnsi"/>
          <w:sz w:val="24"/>
        </w:rPr>
        <w:t xml:space="preserve"> </w:t>
      </w:r>
      <w:r w:rsidRPr="004E17F0">
        <w:rPr>
          <w:rFonts w:cstheme="minorHAnsi"/>
          <w:sz w:val="24"/>
        </w:rPr>
        <w:t>Rozwój infrastruktury jest kluczowy</w:t>
      </w:r>
      <w:r w:rsidR="00192628" w:rsidRPr="004E17F0">
        <w:rPr>
          <w:rFonts w:cstheme="minorHAnsi"/>
          <w:sz w:val="24"/>
        </w:rPr>
        <w:t xml:space="preserve"> </w:t>
      </w:r>
      <w:r w:rsidRPr="004E17F0">
        <w:rPr>
          <w:rFonts w:cstheme="minorHAnsi"/>
          <w:sz w:val="24"/>
        </w:rPr>
        <w:t>w opinii respondentów biorących udział w badaniach społecznych. Według badanych na terenie gmin WrOF zdecydowanie brakuje miejsc do aktywnego spędzania czasu wolnego i stref wypoczynku. Ponadto zauważa się deficyty w ofercie miejsc spędzenia czasu przeznaczony</w:t>
      </w:r>
      <w:r w:rsidR="001D1207">
        <w:rPr>
          <w:rFonts w:cstheme="minorHAnsi"/>
          <w:sz w:val="24"/>
        </w:rPr>
        <w:t>ch dla młodzieży. Respondenci w </w:t>
      </w:r>
      <w:r w:rsidRPr="004E17F0">
        <w:rPr>
          <w:rFonts w:cstheme="minorHAnsi"/>
          <w:sz w:val="24"/>
        </w:rPr>
        <w:t xml:space="preserve">prowadzonych badaniach na terenie WrOF wskazywali również na konieczność tworzenia centrów aktywności lokalnej, które </w:t>
      </w:r>
      <w:r w:rsidR="003B579C" w:rsidRPr="004E17F0">
        <w:rPr>
          <w:rFonts w:cstheme="minorHAnsi"/>
          <w:sz w:val="24"/>
        </w:rPr>
        <w:t>zaspokajałyby potrzeby sportu i </w:t>
      </w:r>
      <w:r w:rsidRPr="004E17F0">
        <w:rPr>
          <w:rFonts w:cstheme="minorHAnsi"/>
          <w:sz w:val="24"/>
        </w:rPr>
        <w:t xml:space="preserve">rekreacji w miejscu zamieszkania i nie powodowały konieczności </w:t>
      </w:r>
      <w:r w:rsidR="003B579C" w:rsidRPr="004E17F0">
        <w:rPr>
          <w:rFonts w:cstheme="minorHAnsi"/>
          <w:sz w:val="24"/>
        </w:rPr>
        <w:t>dowożenia dzieci i młodzieży do </w:t>
      </w:r>
      <w:r w:rsidRPr="004E17F0">
        <w:rPr>
          <w:rFonts w:cstheme="minorHAnsi"/>
          <w:sz w:val="24"/>
        </w:rPr>
        <w:t>Wrocławia. Oferta jest ograniczona w szczególności w mniejszych gminach, gdzie brakuje obiektów sportowych oraz atrakcji, z któryc</w:t>
      </w:r>
      <w:r w:rsidR="00192628" w:rsidRPr="004E17F0">
        <w:rPr>
          <w:rFonts w:cstheme="minorHAnsi"/>
          <w:sz w:val="24"/>
        </w:rPr>
        <w:t>h mogłaby korzystać młodzież. Z </w:t>
      </w:r>
      <w:r w:rsidRPr="004E17F0">
        <w:rPr>
          <w:rFonts w:cstheme="minorHAnsi"/>
          <w:sz w:val="24"/>
        </w:rPr>
        <w:t>punktu widzenia dalszego rozwoju WrOF oraz podniesienia jakości życia mieszkańcó</w:t>
      </w:r>
      <w:r w:rsidR="00CA57D6" w:rsidRPr="004E17F0">
        <w:rPr>
          <w:rFonts w:cstheme="minorHAnsi"/>
          <w:sz w:val="24"/>
        </w:rPr>
        <w:t xml:space="preserve">w istnieje potrzeba utworzenia </w:t>
      </w:r>
      <w:r w:rsidRPr="004E17F0">
        <w:rPr>
          <w:rFonts w:cstheme="minorHAnsi"/>
          <w:sz w:val="24"/>
        </w:rPr>
        <w:t xml:space="preserve">na przykład siatki </w:t>
      </w:r>
      <w:r w:rsidRPr="004E17F0">
        <w:rPr>
          <w:rFonts w:cstheme="minorHAnsi"/>
          <w:color w:val="000000"/>
          <w:sz w:val="24"/>
        </w:rPr>
        <w:t>obiektów sportowo-rekreacyjnych wraz z zapewnieniem d</w:t>
      </w:r>
      <w:r w:rsidR="003B579C" w:rsidRPr="004E17F0">
        <w:rPr>
          <w:rFonts w:cstheme="minorHAnsi"/>
          <w:color w:val="000000"/>
          <w:sz w:val="24"/>
        </w:rPr>
        <w:t>ostępności różnorodnej oferty i </w:t>
      </w:r>
      <w:r w:rsidRPr="004E17F0">
        <w:rPr>
          <w:rFonts w:cstheme="minorHAnsi"/>
          <w:color w:val="000000"/>
          <w:sz w:val="24"/>
        </w:rPr>
        <w:t>infrastruktury sportowej w poszczególnych gminach. Jest to szczegól</w:t>
      </w:r>
      <w:r w:rsidR="003B579C" w:rsidRPr="004E17F0">
        <w:rPr>
          <w:rFonts w:cstheme="minorHAnsi"/>
          <w:color w:val="000000"/>
          <w:sz w:val="24"/>
        </w:rPr>
        <w:t>nie istotne z uwagi na fakt, że </w:t>
      </w:r>
      <w:r w:rsidRPr="004E17F0">
        <w:rPr>
          <w:rFonts w:cstheme="minorHAnsi"/>
          <w:color w:val="000000"/>
          <w:sz w:val="24"/>
        </w:rPr>
        <w:t>78% ankietowanych mieszkańców zdeklarowało, że w kwestii wyp</w:t>
      </w:r>
      <w:r w:rsidR="00752127" w:rsidRPr="004E17F0">
        <w:rPr>
          <w:rFonts w:cstheme="minorHAnsi"/>
          <w:color w:val="000000"/>
          <w:sz w:val="24"/>
        </w:rPr>
        <w:t>oczynku i rekreacji, korzysta z </w:t>
      </w:r>
      <w:r w:rsidRPr="004E17F0">
        <w:rPr>
          <w:rFonts w:cstheme="minorHAnsi"/>
          <w:color w:val="000000"/>
          <w:sz w:val="24"/>
        </w:rPr>
        <w:t>oferty w miejscu zamieszkania. Ponadto w kwestii dostępności kluczowe jest zwrócenie uwagi na oczekiwania osób ze szczególnymi potrzebami, w celu włączenia ich w życie społeczne i umożliwienia im korzystania z infrastruktury sportowej. Zapewnienie dostępności do obiektów sportu i rekreacji dla osób z niepełnosprawnościami jest zarówno wyzwaniem c</w:t>
      </w:r>
      <w:r w:rsidR="00762151">
        <w:rPr>
          <w:rFonts w:cstheme="minorHAnsi"/>
          <w:color w:val="000000"/>
          <w:sz w:val="24"/>
        </w:rPr>
        <w:t>ywilizacyjnym, jak i prawnym (w </w:t>
      </w:r>
      <w:r w:rsidRPr="004E17F0">
        <w:rPr>
          <w:rFonts w:cstheme="minorHAnsi"/>
          <w:color w:val="000000"/>
          <w:sz w:val="24"/>
        </w:rPr>
        <w:t>związku z ustawą o zapewnianiu dostępności osobom ze szczególnymi potrzebami</w:t>
      </w:r>
      <w:r w:rsidRPr="004E17F0">
        <w:rPr>
          <w:rStyle w:val="Odwoanieprzypisudolnego"/>
          <w:rFonts w:cstheme="minorHAnsi"/>
          <w:color w:val="000000"/>
          <w:sz w:val="24"/>
        </w:rPr>
        <w:footnoteReference w:id="93"/>
      </w:r>
      <w:r w:rsidRPr="004E17F0">
        <w:rPr>
          <w:rFonts w:cstheme="minorHAnsi"/>
          <w:color w:val="000000"/>
          <w:sz w:val="24"/>
        </w:rPr>
        <w:t>). Należy zwrócić uwagę również na rosnący odsetek osób w wieku poprodukcyjnym, który może w najbliższych latach wymusić kon</w:t>
      </w:r>
      <w:r w:rsidR="00192628" w:rsidRPr="004E17F0">
        <w:rPr>
          <w:rFonts w:cstheme="minorHAnsi"/>
          <w:color w:val="000000"/>
          <w:sz w:val="24"/>
        </w:rPr>
        <w:t>ieczność doposażenia obiektów w </w:t>
      </w:r>
      <w:r w:rsidRPr="004E17F0">
        <w:rPr>
          <w:rFonts w:cstheme="minorHAnsi"/>
          <w:color w:val="000000"/>
          <w:sz w:val="24"/>
        </w:rPr>
        <w:t>odpowiednie sprzęty i</w:t>
      </w:r>
      <w:r w:rsidR="001D1207">
        <w:rPr>
          <w:rFonts w:cstheme="minorHAnsi"/>
          <w:color w:val="000000"/>
          <w:sz w:val="24"/>
        </w:rPr>
        <w:t> </w:t>
      </w:r>
      <w:r w:rsidRPr="004E17F0">
        <w:rPr>
          <w:rFonts w:cstheme="minorHAnsi"/>
          <w:color w:val="000000"/>
          <w:sz w:val="24"/>
        </w:rPr>
        <w:t>urządzenia. Ważne jest, aby publiczna infrastruktura sportowa i rekreacyjna była dostępna dla wszystkich grup użytkowników.</w:t>
      </w:r>
    </w:p>
    <w:p w:rsidR="00062898" w:rsidRPr="004E17F0" w:rsidRDefault="000178B1" w:rsidP="004E17F0">
      <w:pPr>
        <w:jc w:val="left"/>
        <w:rPr>
          <w:rFonts w:cstheme="minorHAnsi"/>
          <w:color w:val="000000"/>
          <w:sz w:val="24"/>
        </w:rPr>
      </w:pPr>
      <w:r w:rsidRPr="004E17F0">
        <w:rPr>
          <w:rFonts w:cstheme="minorHAnsi"/>
          <w:color w:val="000000"/>
          <w:sz w:val="24"/>
        </w:rPr>
        <w:t>Według danych BDL GUS z 2018 r. wśród obiektów sportowych zlokalizowanych we WrOF, które dostosowane były do osób z niepełnosprawnością, zarówno ćwiczących, jak i widzów, można wymienić stadiony, hale sportowe</w:t>
      </w:r>
      <w:r w:rsidRPr="004E17F0">
        <w:rPr>
          <w:rStyle w:val="Odwoanieprzypisudolnego"/>
          <w:rFonts w:cstheme="minorHAnsi"/>
          <w:color w:val="000000"/>
          <w:sz w:val="24"/>
        </w:rPr>
        <w:footnoteReference w:id="94"/>
      </w:r>
      <w:r w:rsidRPr="004E17F0">
        <w:rPr>
          <w:rFonts w:cstheme="minorHAnsi"/>
          <w:color w:val="000000"/>
          <w:sz w:val="24"/>
        </w:rPr>
        <w:t>, sale gimnastyczne</w:t>
      </w:r>
      <w:r w:rsidRPr="004E17F0">
        <w:rPr>
          <w:rStyle w:val="Odwoanieprzypisudolnego"/>
          <w:rFonts w:cstheme="minorHAnsi"/>
          <w:color w:val="000000"/>
          <w:sz w:val="24"/>
        </w:rPr>
        <w:footnoteReference w:id="95"/>
      </w:r>
      <w:r w:rsidRPr="004E17F0">
        <w:rPr>
          <w:rFonts w:cstheme="minorHAnsi"/>
          <w:color w:val="000000"/>
          <w:sz w:val="24"/>
        </w:rPr>
        <w:t xml:space="preserve"> i pływalnie kryte. Poniżej przedstawiono udział obiektów sportowych, </w:t>
      </w:r>
      <w:r w:rsidR="001D1207">
        <w:rPr>
          <w:rFonts w:cstheme="minorHAnsi"/>
          <w:color w:val="000000"/>
          <w:sz w:val="24"/>
        </w:rPr>
        <w:t>dostosowanych do potrzeb osób z </w:t>
      </w:r>
      <w:r w:rsidRPr="004E17F0">
        <w:rPr>
          <w:rFonts w:cstheme="minorHAnsi"/>
          <w:color w:val="000000"/>
          <w:sz w:val="24"/>
        </w:rPr>
        <w:t xml:space="preserve">niepełnosprawnością, we WrOF w 2018 r. </w:t>
      </w:r>
      <w:bookmarkStart w:id="117" w:name="_Toc125101156"/>
    </w:p>
    <w:p w:rsidR="000178B1" w:rsidRPr="00223971" w:rsidRDefault="000178B1" w:rsidP="00362096">
      <w:pPr>
        <w:pStyle w:val="nadWrOF"/>
        <w:rPr>
          <w:i w:val="0"/>
          <w:iCs w:val="0"/>
        </w:rPr>
      </w:pPr>
      <w:bookmarkStart w:id="118" w:name="_Toc143606967"/>
      <w:r w:rsidRPr="00223971">
        <w:rPr>
          <w:rStyle w:val="nadWrOFZnak"/>
          <w:i/>
          <w:iCs/>
        </w:rPr>
        <w:t>Tabela</w:t>
      </w:r>
      <w:r w:rsidR="00192628">
        <w:rPr>
          <w:rStyle w:val="nadWrOFZnak"/>
          <w:i/>
          <w:iCs/>
        </w:rPr>
        <w:t xml:space="preserve"> </w:t>
      </w:r>
      <w:r w:rsidR="00C73793" w:rsidRPr="00223971">
        <w:fldChar w:fldCharType="begin"/>
      </w:r>
      <w:r w:rsidRPr="00223971">
        <w:instrText xml:space="preserve"> SEQ Tabela \* ARABIC </w:instrText>
      </w:r>
      <w:r w:rsidR="00C73793" w:rsidRPr="00223971">
        <w:fldChar w:fldCharType="separate"/>
      </w:r>
      <w:r w:rsidR="00C96A96">
        <w:rPr>
          <w:noProof/>
        </w:rPr>
        <w:t>10</w:t>
      </w:r>
      <w:r w:rsidR="00C73793" w:rsidRPr="00223971">
        <w:fldChar w:fldCharType="end"/>
      </w:r>
      <w:r w:rsidRPr="00223971">
        <w:t xml:space="preserve"> Udział obiektów dostosowanych do osób z niepełnosprawnością w 2018 r. we WrOF</w:t>
      </w:r>
      <w:bookmarkEnd w:id="117"/>
      <w:bookmarkEnd w:id="118"/>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Udział obiektów dostosowanych do osób z niepełnosprawnością w 2018 r. we WrOF"/>
        <w:tblDescription w:val="Udział obiektów dostosowanych do osób z niepełnosprawnością w 2018 r. we WrOF"/>
      </w:tblPr>
      <w:tblGrid>
        <w:gridCol w:w="1793"/>
        <w:gridCol w:w="2080"/>
        <w:gridCol w:w="2649"/>
        <w:gridCol w:w="2551"/>
      </w:tblGrid>
      <w:tr w:rsidR="000178B1" w:rsidRPr="004E17F0" w:rsidTr="004E17F0">
        <w:trPr>
          <w:trHeight w:val="983"/>
        </w:trPr>
        <w:tc>
          <w:tcPr>
            <w:tcW w:w="988"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Obiekt sportowy</w:t>
            </w:r>
          </w:p>
        </w:tc>
        <w:tc>
          <w:tcPr>
            <w:tcW w:w="114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Liczba obiektów sportowych ogółem we WrOF</w:t>
            </w:r>
          </w:p>
        </w:tc>
        <w:tc>
          <w:tcPr>
            <w:tcW w:w="1460" w:type="pct"/>
            <w:shd w:val="clear" w:color="auto" w:fill="auto"/>
            <w:vAlign w:val="center"/>
            <w:hideMark/>
          </w:tcPr>
          <w:p w:rsidR="000178B1" w:rsidRPr="004E17F0" w:rsidRDefault="000178B1" w:rsidP="00CF3349">
            <w:pPr>
              <w:spacing w:after="0" w:line="240" w:lineRule="auto"/>
              <w:jc w:val="center"/>
              <w:rPr>
                <w:rFonts w:eastAsia="Times New Roman" w:cstheme="minorHAnsi"/>
                <w:color w:val="000000"/>
                <w:szCs w:val="20"/>
                <w:lang w:eastAsia="pl-PL"/>
              </w:rPr>
            </w:pPr>
            <w:r w:rsidRPr="004E17F0">
              <w:rPr>
                <w:rFonts w:eastAsia="Times New Roman" w:cstheme="minorHAnsi"/>
                <w:color w:val="000000"/>
                <w:szCs w:val="20"/>
                <w:lang w:eastAsia="pl-PL"/>
              </w:rPr>
              <w:t xml:space="preserve">Udział obiektów sportowych dostosowanych do potrzeb osób niepełnosprawnych </w:t>
            </w:r>
            <w:r w:rsidR="00192628" w:rsidRPr="004E17F0">
              <w:rPr>
                <w:rFonts w:eastAsia="Times New Roman" w:cstheme="minorHAnsi"/>
                <w:color w:val="000000"/>
                <w:szCs w:val="20"/>
                <w:lang w:eastAsia="pl-PL"/>
              </w:rPr>
              <w:br/>
            </w:r>
            <w:r w:rsidRPr="004E17F0">
              <w:rPr>
                <w:rFonts w:eastAsia="Times New Roman" w:cstheme="minorHAnsi"/>
                <w:color w:val="000000"/>
                <w:szCs w:val="20"/>
                <w:lang w:eastAsia="pl-PL"/>
              </w:rPr>
              <w:t>- ćwiczących</w:t>
            </w:r>
          </w:p>
        </w:tc>
        <w:tc>
          <w:tcPr>
            <w:tcW w:w="1406" w:type="pct"/>
            <w:shd w:val="clear" w:color="auto" w:fill="auto"/>
            <w:vAlign w:val="center"/>
            <w:hideMark/>
          </w:tcPr>
          <w:p w:rsidR="000178B1" w:rsidRPr="004E17F0" w:rsidRDefault="000178B1" w:rsidP="00CF3349">
            <w:pPr>
              <w:spacing w:after="0" w:line="240" w:lineRule="auto"/>
              <w:jc w:val="center"/>
              <w:rPr>
                <w:rFonts w:eastAsia="Times New Roman" w:cstheme="minorHAnsi"/>
                <w:color w:val="000000"/>
                <w:szCs w:val="20"/>
                <w:lang w:eastAsia="pl-PL"/>
              </w:rPr>
            </w:pPr>
            <w:r w:rsidRPr="004E17F0">
              <w:rPr>
                <w:rFonts w:eastAsia="Times New Roman" w:cstheme="minorHAnsi"/>
                <w:color w:val="000000"/>
                <w:szCs w:val="20"/>
                <w:lang w:eastAsia="pl-PL"/>
              </w:rPr>
              <w:t xml:space="preserve">Udział obiektów sportowych dostosowanych do potrzeb osób niepełnosprawnych </w:t>
            </w:r>
            <w:r w:rsidR="00192628" w:rsidRPr="004E17F0">
              <w:rPr>
                <w:rFonts w:eastAsia="Times New Roman" w:cstheme="minorHAnsi"/>
                <w:color w:val="000000"/>
                <w:szCs w:val="20"/>
                <w:lang w:eastAsia="pl-PL"/>
              </w:rPr>
              <w:br/>
            </w:r>
            <w:r w:rsidRPr="004E17F0">
              <w:rPr>
                <w:rFonts w:eastAsia="Times New Roman" w:cstheme="minorHAnsi"/>
                <w:color w:val="000000"/>
                <w:szCs w:val="20"/>
                <w:lang w:eastAsia="pl-PL"/>
              </w:rPr>
              <w:t>- widzów</w:t>
            </w:r>
          </w:p>
        </w:tc>
      </w:tr>
      <w:tr w:rsidR="000178B1" w:rsidRPr="004E17F0" w:rsidTr="004E17F0">
        <w:trPr>
          <w:trHeight w:val="300"/>
        </w:trPr>
        <w:tc>
          <w:tcPr>
            <w:tcW w:w="988" w:type="pct"/>
            <w:shd w:val="clear" w:color="auto" w:fill="auto"/>
            <w:noWrap/>
            <w:vAlign w:val="center"/>
            <w:hideMark/>
          </w:tcPr>
          <w:p w:rsidR="000178B1" w:rsidRPr="004E17F0" w:rsidRDefault="000178B1" w:rsidP="003C4EB3">
            <w:pPr>
              <w:spacing w:after="0" w:line="240" w:lineRule="auto"/>
              <w:jc w:val="left"/>
              <w:rPr>
                <w:rFonts w:eastAsia="Times New Roman" w:cstheme="minorHAnsi"/>
                <w:szCs w:val="20"/>
                <w:lang w:eastAsia="pl-PL"/>
              </w:rPr>
            </w:pPr>
            <w:r w:rsidRPr="004E17F0">
              <w:rPr>
                <w:rFonts w:eastAsia="Times New Roman" w:cstheme="minorHAnsi"/>
                <w:szCs w:val="20"/>
                <w:lang w:eastAsia="pl-PL"/>
              </w:rPr>
              <w:t>stadiony</w:t>
            </w:r>
          </w:p>
        </w:tc>
        <w:tc>
          <w:tcPr>
            <w:tcW w:w="114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35</w:t>
            </w:r>
          </w:p>
        </w:tc>
        <w:tc>
          <w:tcPr>
            <w:tcW w:w="1460"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31,4%</w:t>
            </w:r>
          </w:p>
        </w:tc>
        <w:tc>
          <w:tcPr>
            <w:tcW w:w="140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37,1%</w:t>
            </w:r>
          </w:p>
        </w:tc>
      </w:tr>
      <w:tr w:rsidR="000178B1" w:rsidRPr="004E17F0" w:rsidTr="004E17F0">
        <w:trPr>
          <w:trHeight w:val="300"/>
        </w:trPr>
        <w:tc>
          <w:tcPr>
            <w:tcW w:w="988" w:type="pct"/>
            <w:shd w:val="clear" w:color="auto" w:fill="auto"/>
            <w:noWrap/>
            <w:vAlign w:val="center"/>
            <w:hideMark/>
          </w:tcPr>
          <w:p w:rsidR="000178B1" w:rsidRPr="004E17F0" w:rsidRDefault="000178B1" w:rsidP="003C4EB3">
            <w:pPr>
              <w:spacing w:after="0" w:line="240" w:lineRule="auto"/>
              <w:jc w:val="left"/>
              <w:rPr>
                <w:rFonts w:eastAsia="Times New Roman" w:cstheme="minorHAnsi"/>
                <w:szCs w:val="20"/>
                <w:lang w:eastAsia="pl-PL"/>
              </w:rPr>
            </w:pPr>
            <w:r w:rsidRPr="004E17F0">
              <w:rPr>
                <w:rFonts w:eastAsia="Times New Roman" w:cstheme="minorHAnsi"/>
                <w:szCs w:val="20"/>
                <w:lang w:eastAsia="pl-PL"/>
              </w:rPr>
              <w:t>hale sportowe</w:t>
            </w:r>
          </w:p>
        </w:tc>
        <w:tc>
          <w:tcPr>
            <w:tcW w:w="114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36</w:t>
            </w:r>
          </w:p>
        </w:tc>
        <w:tc>
          <w:tcPr>
            <w:tcW w:w="1460"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55,6%</w:t>
            </w:r>
          </w:p>
        </w:tc>
        <w:tc>
          <w:tcPr>
            <w:tcW w:w="140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55,6%</w:t>
            </w:r>
          </w:p>
        </w:tc>
      </w:tr>
      <w:tr w:rsidR="000178B1" w:rsidRPr="004E17F0" w:rsidTr="004E17F0">
        <w:trPr>
          <w:trHeight w:val="300"/>
        </w:trPr>
        <w:tc>
          <w:tcPr>
            <w:tcW w:w="988" w:type="pct"/>
            <w:shd w:val="clear" w:color="auto" w:fill="auto"/>
            <w:noWrap/>
            <w:vAlign w:val="center"/>
            <w:hideMark/>
          </w:tcPr>
          <w:p w:rsidR="000178B1" w:rsidRPr="004E17F0" w:rsidRDefault="000178B1" w:rsidP="003C4EB3">
            <w:pPr>
              <w:spacing w:after="0" w:line="240" w:lineRule="auto"/>
              <w:jc w:val="left"/>
              <w:rPr>
                <w:rFonts w:eastAsia="Times New Roman" w:cstheme="minorHAnsi"/>
                <w:szCs w:val="20"/>
                <w:lang w:eastAsia="pl-PL"/>
              </w:rPr>
            </w:pPr>
            <w:r w:rsidRPr="004E17F0">
              <w:rPr>
                <w:rFonts w:eastAsia="Times New Roman" w:cstheme="minorHAnsi"/>
                <w:szCs w:val="20"/>
                <w:lang w:eastAsia="pl-PL"/>
              </w:rPr>
              <w:t>sale gimnastyczne</w:t>
            </w:r>
          </w:p>
        </w:tc>
        <w:tc>
          <w:tcPr>
            <w:tcW w:w="114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43</w:t>
            </w:r>
          </w:p>
        </w:tc>
        <w:tc>
          <w:tcPr>
            <w:tcW w:w="1460"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53,5%</w:t>
            </w:r>
          </w:p>
        </w:tc>
        <w:tc>
          <w:tcPr>
            <w:tcW w:w="140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25,6%</w:t>
            </w:r>
          </w:p>
        </w:tc>
      </w:tr>
      <w:tr w:rsidR="000178B1" w:rsidRPr="004E17F0" w:rsidTr="004E17F0">
        <w:trPr>
          <w:trHeight w:val="300"/>
        </w:trPr>
        <w:tc>
          <w:tcPr>
            <w:tcW w:w="988" w:type="pct"/>
            <w:shd w:val="clear" w:color="auto" w:fill="auto"/>
            <w:noWrap/>
            <w:vAlign w:val="center"/>
            <w:hideMark/>
          </w:tcPr>
          <w:p w:rsidR="000178B1" w:rsidRPr="004E17F0" w:rsidRDefault="000178B1" w:rsidP="003C4EB3">
            <w:pPr>
              <w:spacing w:after="0" w:line="240" w:lineRule="auto"/>
              <w:jc w:val="left"/>
              <w:rPr>
                <w:rFonts w:eastAsia="Times New Roman" w:cstheme="minorHAnsi"/>
                <w:szCs w:val="20"/>
                <w:lang w:eastAsia="pl-PL"/>
              </w:rPr>
            </w:pPr>
            <w:r w:rsidRPr="004E17F0">
              <w:rPr>
                <w:rFonts w:eastAsia="Times New Roman" w:cstheme="minorHAnsi"/>
                <w:szCs w:val="20"/>
                <w:lang w:eastAsia="pl-PL"/>
              </w:rPr>
              <w:t>pływalnie kryte</w:t>
            </w:r>
          </w:p>
        </w:tc>
        <w:tc>
          <w:tcPr>
            <w:tcW w:w="114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15</w:t>
            </w:r>
          </w:p>
        </w:tc>
        <w:tc>
          <w:tcPr>
            <w:tcW w:w="1460"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73,3%</w:t>
            </w:r>
          </w:p>
        </w:tc>
        <w:tc>
          <w:tcPr>
            <w:tcW w:w="1406" w:type="pct"/>
            <w:shd w:val="clear" w:color="auto" w:fill="auto"/>
            <w:noWrap/>
            <w:vAlign w:val="center"/>
            <w:hideMark/>
          </w:tcPr>
          <w:p w:rsidR="000178B1" w:rsidRPr="004E17F0" w:rsidRDefault="000178B1" w:rsidP="00CF3349">
            <w:pPr>
              <w:spacing w:after="0" w:line="240" w:lineRule="auto"/>
              <w:jc w:val="center"/>
              <w:rPr>
                <w:rFonts w:eastAsia="Times New Roman" w:cstheme="minorHAnsi"/>
                <w:szCs w:val="20"/>
                <w:lang w:eastAsia="pl-PL"/>
              </w:rPr>
            </w:pPr>
            <w:r w:rsidRPr="004E17F0">
              <w:rPr>
                <w:rFonts w:eastAsia="Times New Roman" w:cstheme="minorHAnsi"/>
                <w:szCs w:val="20"/>
                <w:lang w:eastAsia="pl-PL"/>
              </w:rPr>
              <w:t>33,3%</w:t>
            </w:r>
          </w:p>
        </w:tc>
      </w:tr>
    </w:tbl>
    <w:p w:rsidR="000178B1" w:rsidRDefault="000178B1" w:rsidP="00223971">
      <w:pPr>
        <w:pStyle w:val="podWrOF0"/>
        <w:spacing w:after="240"/>
        <w:rPr>
          <w:rFonts w:asciiTheme="minorHAnsi" w:hAnsiTheme="minorHAnsi" w:cstheme="minorHAnsi"/>
        </w:rPr>
      </w:pPr>
      <w:r w:rsidRPr="00B27A13">
        <w:t>Źródło: opracowanie wła</w:t>
      </w:r>
      <w:r>
        <w:t xml:space="preserve">sne na podstawie danych BDL GUS </w:t>
      </w:r>
      <w:r w:rsidRPr="00594B7F">
        <w:t>[Stan na: 31.12.2021].</w:t>
      </w:r>
    </w:p>
    <w:p w:rsidR="000178B1" w:rsidRPr="004E17F0" w:rsidRDefault="000178B1" w:rsidP="004E17F0">
      <w:pPr>
        <w:jc w:val="left"/>
        <w:rPr>
          <w:rFonts w:cstheme="minorHAnsi"/>
          <w:sz w:val="24"/>
        </w:rPr>
      </w:pPr>
      <w:r w:rsidRPr="004E17F0">
        <w:rPr>
          <w:rFonts w:cstheme="minorHAnsi"/>
          <w:sz w:val="24"/>
        </w:rPr>
        <w:t xml:space="preserve">W ramach przeprowadzonego badania ankietowanego, 15 z 19 badanych gmin zadeklarowało potrzebę budowy nowych </w:t>
      </w:r>
      <w:proofErr w:type="spellStart"/>
      <w:r w:rsidRPr="004E17F0">
        <w:rPr>
          <w:rFonts w:cstheme="minorHAnsi"/>
          <w:sz w:val="24"/>
        </w:rPr>
        <w:t>sal</w:t>
      </w:r>
      <w:proofErr w:type="spellEnd"/>
      <w:r w:rsidRPr="004E17F0">
        <w:rPr>
          <w:rFonts w:cstheme="minorHAnsi"/>
          <w:sz w:val="24"/>
        </w:rPr>
        <w:t xml:space="preserve"> gimnastycznych przy szkołach podstawowych. Ponadto badane gminy wskazały na potrzeby remontów posiadanej infrastruktury sportowej przy jednostkach oświatowych. Wskazane dane korelują</w:t>
      </w:r>
      <w:r w:rsidR="001D1207">
        <w:rPr>
          <w:rFonts w:cstheme="minorHAnsi"/>
          <w:sz w:val="24"/>
        </w:rPr>
        <w:t xml:space="preserve"> z wypowiedziami respondentów w </w:t>
      </w:r>
      <w:r w:rsidRPr="004E17F0">
        <w:rPr>
          <w:rFonts w:cstheme="minorHAnsi"/>
          <w:sz w:val="24"/>
        </w:rPr>
        <w:t>badaniach ankietowych – 19,2% badanych wskazało, iż niedoinwestowana baza infrastruktury sportowej może stanowić poważne ograniczenie rozwojowe WrOF.</w:t>
      </w:r>
    </w:p>
    <w:p w:rsidR="000178B1" w:rsidRPr="00762151" w:rsidRDefault="000178B1" w:rsidP="004E17F0">
      <w:pPr>
        <w:spacing w:before="240" w:after="0"/>
        <w:jc w:val="left"/>
        <w:rPr>
          <w:rFonts w:cstheme="minorHAnsi"/>
          <w:b/>
          <w:color w:val="000000" w:themeColor="text1"/>
          <w:sz w:val="24"/>
        </w:rPr>
      </w:pPr>
      <w:r w:rsidRPr="00762151">
        <w:rPr>
          <w:rFonts w:cstheme="minorHAnsi"/>
          <w:b/>
          <w:color w:val="000000" w:themeColor="text1"/>
          <w:sz w:val="24"/>
        </w:rPr>
        <w:t>Atrakcyjność turystyczna, dostępność obiektów noclegowych i ruch turystyczny</w:t>
      </w:r>
    </w:p>
    <w:p w:rsidR="000178B1" w:rsidRPr="004E17F0" w:rsidRDefault="000178B1" w:rsidP="004E17F0">
      <w:pPr>
        <w:jc w:val="left"/>
        <w:rPr>
          <w:rFonts w:cstheme="minorHAnsi"/>
          <w:sz w:val="24"/>
        </w:rPr>
      </w:pPr>
      <w:r w:rsidRPr="004E17F0">
        <w:rPr>
          <w:rFonts w:cstheme="minorHAnsi"/>
          <w:sz w:val="24"/>
        </w:rPr>
        <w:t xml:space="preserve">Za atrakcyjnością turystyczną obszaru WrOF przemawiają przede wszystkim walory przyrodnicze m.in. występowanie obszarów chronionych – parków krajobrazowych „Dolina Baryczy”, „Dolina Bystrzycy” czy Ślężańskiego Parku Krajobrazowego, rezerwatów przyrody (m.in. Góra Ślęża, Grodzisko </w:t>
      </w:r>
      <w:proofErr w:type="spellStart"/>
      <w:r w:rsidRPr="004E17F0">
        <w:rPr>
          <w:rFonts w:cstheme="minorHAnsi"/>
          <w:sz w:val="24"/>
        </w:rPr>
        <w:t>Ryczyńskie</w:t>
      </w:r>
      <w:proofErr w:type="spellEnd"/>
      <w:r w:rsidRPr="004E17F0">
        <w:rPr>
          <w:rFonts w:cstheme="minorHAnsi"/>
          <w:sz w:val="24"/>
        </w:rPr>
        <w:t xml:space="preserve">, Zwierzyniec), obszarów Natura 2000, czy zespołów przyrodniczo-krajobrazowych. Gminy Kąty Wrocławskie, Sobótka i Wisznia Mała odznaczają się wysokimi walorami przyrodniczymi z uwagi na wysoki stopień pokrycia formami ochrony przyrody. Czynnikami wpływającym na atrakcyjność turystyczną, oprócz wskazanych powyżej są występujące na tym terenie zabytki i pomniki historii </w:t>
      </w:r>
      <w:r w:rsidR="00062898" w:rsidRPr="004E17F0">
        <w:rPr>
          <w:rFonts w:cstheme="minorHAnsi"/>
          <w:sz w:val="24"/>
        </w:rPr>
        <w:br/>
      </w:r>
      <w:r w:rsidRPr="004E17F0">
        <w:rPr>
          <w:rFonts w:cstheme="minorHAnsi"/>
          <w:sz w:val="24"/>
        </w:rPr>
        <w:t xml:space="preserve">oraz obiekty i atrakcje turystyczne, wśród których można wskazać zamki, dwory i pałace, parki </w:t>
      </w:r>
      <w:r w:rsidR="00062898" w:rsidRPr="004E17F0">
        <w:rPr>
          <w:rFonts w:cstheme="minorHAnsi"/>
          <w:sz w:val="24"/>
        </w:rPr>
        <w:br/>
      </w:r>
      <w:r w:rsidRPr="004E17F0">
        <w:rPr>
          <w:rFonts w:cstheme="minorHAnsi"/>
          <w:sz w:val="24"/>
        </w:rPr>
        <w:t>i ogrody, bulwary, przystanie, porty. Na obszarze WrOF występują również obiekty sakralne – kościoły, sanktuaria, synagogi, kaplice i cmentarze. Atrakcyjność obszaru podnoszą również występujące we WrOF tematyczne rzeźby – krasnale (Wrocław), koty (Trzebnica)</w:t>
      </w:r>
      <w:r w:rsidR="0071505F" w:rsidRPr="004E17F0">
        <w:rPr>
          <w:rFonts w:cstheme="minorHAnsi"/>
          <w:sz w:val="24"/>
        </w:rPr>
        <w:t>,</w:t>
      </w:r>
      <w:r w:rsidRPr="004E17F0">
        <w:rPr>
          <w:rFonts w:cstheme="minorHAnsi"/>
          <w:sz w:val="24"/>
        </w:rPr>
        <w:t xml:space="preserve"> zające (Zajączków </w:t>
      </w:r>
      <w:r w:rsidR="00A55106" w:rsidRPr="004E17F0">
        <w:rPr>
          <w:rFonts w:cstheme="minorHAnsi"/>
          <w:sz w:val="24"/>
        </w:rPr>
        <w:t>–</w:t>
      </w:r>
      <w:r w:rsidRPr="004E17F0">
        <w:rPr>
          <w:rFonts w:cstheme="minorHAnsi"/>
          <w:sz w:val="24"/>
        </w:rPr>
        <w:t xml:space="preserve"> </w:t>
      </w:r>
      <w:r w:rsidR="00A55106" w:rsidRPr="004E17F0">
        <w:rPr>
          <w:rFonts w:cstheme="minorHAnsi"/>
          <w:sz w:val="24"/>
        </w:rPr>
        <w:t xml:space="preserve">gmina </w:t>
      </w:r>
      <w:r w:rsidRPr="004E17F0">
        <w:rPr>
          <w:rFonts w:cstheme="minorHAnsi"/>
          <w:sz w:val="24"/>
        </w:rPr>
        <w:t>Oborniki Śląskie)</w:t>
      </w:r>
      <w:r w:rsidR="00192628" w:rsidRPr="004E17F0">
        <w:rPr>
          <w:rFonts w:cstheme="minorHAnsi"/>
          <w:sz w:val="24"/>
        </w:rPr>
        <w:t xml:space="preserve"> </w:t>
      </w:r>
      <w:r w:rsidR="003C05B2" w:rsidRPr="004E17F0">
        <w:rPr>
          <w:rFonts w:cstheme="minorHAnsi"/>
          <w:sz w:val="24"/>
        </w:rPr>
        <w:t>czy</w:t>
      </w:r>
      <w:r w:rsidR="00A55106" w:rsidRPr="004E17F0">
        <w:rPr>
          <w:rFonts w:cstheme="minorHAnsi"/>
          <w:sz w:val="24"/>
        </w:rPr>
        <w:t xml:space="preserve"> </w:t>
      </w:r>
      <w:r w:rsidR="0071505F" w:rsidRPr="004E17F0">
        <w:rPr>
          <w:rFonts w:cstheme="minorHAnsi"/>
          <w:sz w:val="24"/>
        </w:rPr>
        <w:t xml:space="preserve">autobusy (Jelcz-Laskowice) </w:t>
      </w:r>
      <w:r w:rsidRPr="004E17F0">
        <w:rPr>
          <w:rFonts w:cstheme="minorHAnsi"/>
          <w:sz w:val="24"/>
        </w:rPr>
        <w:t>które stanowią atrakcję głównie dla młodszych turystów. Dodatkowo wśród największych atrakcji we Wrocławiu można wskazać wpisaną na listę UNESCO Halę Stulec</w:t>
      </w:r>
      <w:r w:rsidR="001D1207">
        <w:rPr>
          <w:rFonts w:cstheme="minorHAnsi"/>
          <w:sz w:val="24"/>
        </w:rPr>
        <w:t>ia, Stare Miasto, ZOO Wrocław z </w:t>
      </w:r>
      <w:proofErr w:type="spellStart"/>
      <w:r w:rsidRPr="004E17F0">
        <w:rPr>
          <w:rFonts w:cstheme="minorHAnsi"/>
          <w:sz w:val="24"/>
        </w:rPr>
        <w:t>Afrykarium</w:t>
      </w:r>
      <w:proofErr w:type="spellEnd"/>
      <w:r w:rsidRPr="004E17F0">
        <w:rPr>
          <w:rFonts w:cstheme="minorHAnsi"/>
          <w:sz w:val="24"/>
        </w:rPr>
        <w:t>, Ostrów Tumski, Panoramę Racławicką oraz liczne muzea.</w:t>
      </w:r>
    </w:p>
    <w:p w:rsidR="000178B1" w:rsidRPr="004E17F0" w:rsidRDefault="000178B1" w:rsidP="004E17F0">
      <w:pPr>
        <w:jc w:val="left"/>
        <w:rPr>
          <w:rFonts w:cstheme="minorHAnsi"/>
          <w:sz w:val="24"/>
        </w:rPr>
      </w:pPr>
      <w:r w:rsidRPr="004E17F0">
        <w:rPr>
          <w:rFonts w:cstheme="minorHAnsi"/>
          <w:sz w:val="24"/>
        </w:rPr>
        <w:t>O atrakcyjności turystycznej obszaru decyduje również jakość i dostępność przestrzeni publicznych, parków spacerowo-wypoczynkowych, dróg rowerowych czy szlaków turystycznych. Według 25,7%ankietowanych mieszkańców WrOF zwiększenie liczby terenów urządzonych przyczyni się do uatrakcyjnienia WrOF. Wpływ na to, według 21,2% badanych będzie miała również budowa dróg rowerowych łączących gminy obszaru.</w:t>
      </w:r>
    </w:p>
    <w:p w:rsidR="000178B1" w:rsidRPr="004E17F0" w:rsidRDefault="000178B1" w:rsidP="004E17F0">
      <w:pPr>
        <w:jc w:val="left"/>
        <w:rPr>
          <w:rFonts w:cstheme="minorHAnsi"/>
          <w:sz w:val="24"/>
        </w:rPr>
      </w:pPr>
      <w:r w:rsidRPr="004E17F0">
        <w:rPr>
          <w:rFonts w:cstheme="minorHAnsi"/>
          <w:sz w:val="24"/>
        </w:rPr>
        <w:t>Według danych GUS ponad 10 km</w:t>
      </w:r>
      <w:r w:rsidRPr="004E17F0">
        <w:rPr>
          <w:rFonts w:cstheme="minorHAnsi"/>
          <w:sz w:val="24"/>
          <w:vertAlign w:val="superscript"/>
        </w:rPr>
        <w:t>2</w:t>
      </w:r>
      <w:r w:rsidRPr="004E17F0">
        <w:rPr>
          <w:rFonts w:cstheme="minorHAnsi"/>
          <w:sz w:val="24"/>
        </w:rPr>
        <w:t xml:space="preserve"> na obszarze WrOF zajmują parki spacerowo-wypoczynkowe, z czego największą powierzchnią odznaczają się te zlokalizowane we Wrocławiu. Parki spacerowo</w:t>
      </w:r>
      <w:r w:rsidR="003B0A45" w:rsidRPr="004E17F0">
        <w:rPr>
          <w:rFonts w:cstheme="minorHAnsi"/>
          <w:sz w:val="24"/>
        </w:rPr>
        <w:br/>
      </w:r>
      <w:r w:rsidRPr="004E17F0">
        <w:rPr>
          <w:rFonts w:cstheme="minorHAnsi"/>
          <w:sz w:val="24"/>
        </w:rPr>
        <w:t>-wypoczynkowe dostępne są również na terenie następujących gmin: Długołęka, Jelcz-Laskowice, Kąty Wrocławskie, Kobierzyce, Oleśnica (miasto), Oława (miasto), Sobótka, Trzebnica, Wisznia Mała i Żórawina. Przestrzenie publi</w:t>
      </w:r>
      <w:r w:rsidR="001D1207">
        <w:rPr>
          <w:rFonts w:cstheme="minorHAnsi"/>
          <w:sz w:val="24"/>
        </w:rPr>
        <w:t>czne oraz parki zlokalizowane w </w:t>
      </w:r>
      <w:r w:rsidRPr="004E17F0">
        <w:rPr>
          <w:rFonts w:cstheme="minorHAnsi"/>
          <w:sz w:val="24"/>
        </w:rPr>
        <w:t>gminach wymagają rewitalizacji, w celu stworzenia przestrzeni</w:t>
      </w:r>
      <w:r w:rsidR="00192628" w:rsidRPr="004E17F0">
        <w:rPr>
          <w:rFonts w:cstheme="minorHAnsi"/>
          <w:sz w:val="24"/>
        </w:rPr>
        <w:t xml:space="preserve"> </w:t>
      </w:r>
      <w:r w:rsidRPr="004E17F0">
        <w:rPr>
          <w:rFonts w:cstheme="minorHAnsi"/>
          <w:sz w:val="24"/>
        </w:rPr>
        <w:t>atrakcyjnych dla mieszkańców i  poprawiających atrakcyjność turystyczną miejsca.</w:t>
      </w:r>
    </w:p>
    <w:p w:rsidR="000178B1" w:rsidRPr="004E17F0" w:rsidRDefault="000178B1" w:rsidP="004E17F0">
      <w:pPr>
        <w:jc w:val="left"/>
        <w:rPr>
          <w:rFonts w:cstheme="minorHAnsi"/>
          <w:sz w:val="24"/>
        </w:rPr>
      </w:pPr>
      <w:r w:rsidRPr="004E17F0">
        <w:rPr>
          <w:rFonts w:cstheme="minorHAnsi"/>
          <w:sz w:val="24"/>
        </w:rPr>
        <w:t>Drogi rowerowe we WrOF pełnią nie tylko funkcję transportową, ale również rekreacyjną</w:t>
      </w:r>
      <w:r w:rsidR="00062898" w:rsidRPr="004E17F0">
        <w:rPr>
          <w:rFonts w:cstheme="minorHAnsi"/>
          <w:sz w:val="24"/>
        </w:rPr>
        <w:br/>
      </w:r>
      <w:r w:rsidRPr="004E17F0">
        <w:rPr>
          <w:rFonts w:cstheme="minorHAnsi"/>
          <w:sz w:val="24"/>
        </w:rPr>
        <w:t>i turystyczną. W przeliczeniu, długość dróg rowerowych wynosiła w 2020 r. we WrOF około 16,9 na 100 km</w:t>
      </w:r>
      <w:r w:rsidRPr="004E17F0">
        <w:rPr>
          <w:rFonts w:cstheme="minorHAnsi"/>
          <w:sz w:val="24"/>
          <w:vertAlign w:val="superscript"/>
        </w:rPr>
        <w:t>2</w:t>
      </w:r>
      <w:r w:rsidRPr="004E17F0">
        <w:rPr>
          <w:rFonts w:cstheme="minorHAnsi"/>
          <w:sz w:val="24"/>
        </w:rPr>
        <w:t>, a </w:t>
      </w:r>
      <w:r w:rsidR="000530A7" w:rsidRPr="004E17F0">
        <w:rPr>
          <w:rFonts w:cstheme="minorHAnsi"/>
          <w:sz w:val="24"/>
        </w:rPr>
        <w:t>w </w:t>
      </w:r>
      <w:r w:rsidRPr="004E17F0">
        <w:rPr>
          <w:rFonts w:cstheme="minorHAnsi"/>
          <w:sz w:val="24"/>
        </w:rPr>
        <w:t xml:space="preserve">odniesieniu do 2017 r. odnotowano wzrost o 51%. Świadczy to o rozwijaniu </w:t>
      </w:r>
      <w:r w:rsidR="00062898" w:rsidRPr="004E17F0">
        <w:rPr>
          <w:rFonts w:cstheme="minorHAnsi"/>
          <w:sz w:val="24"/>
        </w:rPr>
        <w:br/>
      </w:r>
      <w:r w:rsidRPr="004E17F0">
        <w:rPr>
          <w:rFonts w:cstheme="minorHAnsi"/>
          <w:sz w:val="24"/>
        </w:rPr>
        <w:t xml:space="preserve">i rozbudowie sieci dróg rowerowych, co jest szczególnie istotne z uwagi na pełnione przez nie funkcje i wpływ na poziom integracji przestrzennej obszaru oraz dostępność komunikacyjną. Do dyspozycji mieszkańców i turystów jest wiele szlaków rowerowych, tras rowerowych, ścieżek rowerowych oraz ciągów pieszo-rowerowych, z których najwięcej przechodzi przez Trzebnicę, Oborniki Śląskie i Wrocław. </w:t>
      </w:r>
    </w:p>
    <w:p w:rsidR="000178B1" w:rsidRPr="004E17F0" w:rsidRDefault="000178B1" w:rsidP="004E17F0">
      <w:pPr>
        <w:jc w:val="left"/>
        <w:rPr>
          <w:rFonts w:cstheme="minorHAnsi"/>
          <w:sz w:val="24"/>
        </w:rPr>
      </w:pPr>
      <w:r w:rsidRPr="004E17F0">
        <w:rPr>
          <w:rFonts w:cstheme="minorHAnsi"/>
          <w:sz w:val="24"/>
        </w:rPr>
        <w:t xml:space="preserve">Na terenie WrOF są również dostępne szlaki turystyczne, wśród których można wskazać szlaki piesze, rowerowe, konne i wodne. Ponadto przez teren WrOF przebiegają również szlaki kulturowe, które ukazują różnorodność kulturową oraz odgrywają znaczenie dla tożsamości regionu, kultury oraz wspólnego dziedzictwa WrOF. Najwięcej szlaków pieszych występuje we Wrocławiu – 23 szlaki (m.in. </w:t>
      </w:r>
      <w:r w:rsidR="00192628" w:rsidRPr="004E17F0">
        <w:rPr>
          <w:rFonts w:cstheme="minorHAnsi"/>
          <w:sz w:val="24"/>
        </w:rPr>
        <w:t>S</w:t>
      </w:r>
      <w:r w:rsidRPr="004E17F0">
        <w:rPr>
          <w:rFonts w:cstheme="minorHAnsi"/>
          <w:sz w:val="24"/>
        </w:rPr>
        <w:t>zlak f</w:t>
      </w:r>
      <w:r w:rsidR="00192628" w:rsidRPr="004E17F0">
        <w:rPr>
          <w:rFonts w:cstheme="minorHAnsi"/>
          <w:sz w:val="24"/>
        </w:rPr>
        <w:t>ilmowy, P</w:t>
      </w:r>
      <w:r w:rsidRPr="004E17F0">
        <w:rPr>
          <w:rFonts w:cstheme="minorHAnsi"/>
          <w:sz w:val="24"/>
        </w:rPr>
        <w:t>oznaj wrocławskie krasna</w:t>
      </w:r>
      <w:r w:rsidR="00192628" w:rsidRPr="004E17F0">
        <w:rPr>
          <w:rFonts w:cstheme="minorHAnsi"/>
          <w:sz w:val="24"/>
        </w:rPr>
        <w:t>le, M</w:t>
      </w:r>
      <w:r w:rsidRPr="004E17F0">
        <w:rPr>
          <w:rFonts w:cstheme="minorHAnsi"/>
          <w:sz w:val="24"/>
        </w:rPr>
        <w:t>ilitarne zabytki Wrocławia). Ścieżka przyrodniczo-edukacyjna na obszarze Parku Krajobrazowego „Dolina Bystrzycy” czy szlak „Zwiedzaj</w:t>
      </w:r>
      <w:r w:rsidR="001D1207">
        <w:rPr>
          <w:rFonts w:cstheme="minorHAnsi"/>
          <w:sz w:val="24"/>
        </w:rPr>
        <w:t xml:space="preserve"> Wrocław nad Odrą”, następnie w </w:t>
      </w:r>
      <w:r w:rsidRPr="004E17F0">
        <w:rPr>
          <w:rFonts w:cstheme="minorHAnsi"/>
          <w:sz w:val="24"/>
        </w:rPr>
        <w:t>Sobótce (głównie szlaki piesze m.in. czerwony PKP Sobótka – Ślęża – Łagiewniki, czarny prowadzący wokół Ślęży, ale również ście</w:t>
      </w:r>
      <w:r w:rsidR="00192628" w:rsidRPr="004E17F0">
        <w:rPr>
          <w:rFonts w:cstheme="minorHAnsi"/>
          <w:sz w:val="24"/>
        </w:rPr>
        <w:t>żki przyrodniczo-dydaktyczne) i </w:t>
      </w:r>
      <w:r w:rsidRPr="004E17F0">
        <w:rPr>
          <w:rFonts w:cstheme="minorHAnsi"/>
          <w:sz w:val="24"/>
        </w:rPr>
        <w:t xml:space="preserve">Trzebnicy </w:t>
      </w:r>
      <w:r w:rsidR="003B0A45" w:rsidRPr="004E17F0">
        <w:rPr>
          <w:rFonts w:cstheme="minorHAnsi"/>
          <w:sz w:val="24"/>
        </w:rPr>
        <w:br/>
      </w:r>
      <w:r w:rsidRPr="004E17F0">
        <w:rPr>
          <w:rFonts w:cstheme="minorHAnsi"/>
          <w:sz w:val="24"/>
        </w:rPr>
        <w:t>(m.in. ścieżka zdrowia w Lesie Bukowym,  Południowy Szlak</w:t>
      </w:r>
      <w:r w:rsidR="001D1207">
        <w:rPr>
          <w:rFonts w:cstheme="minorHAnsi"/>
          <w:sz w:val="24"/>
        </w:rPr>
        <w:t xml:space="preserve"> Kocich Gór) – po 10 szlaków. W </w:t>
      </w:r>
      <w:r w:rsidRPr="004E17F0">
        <w:rPr>
          <w:rFonts w:cstheme="minorHAnsi"/>
          <w:sz w:val="24"/>
        </w:rPr>
        <w:t xml:space="preserve">gminach Czernica, Kąty Wrocławskie, Oleśnica (gmina wiejska), Oleśnica (miasto), Oława (gmina wiejska) i Wisznia Mała nie wyznaczono szlaków pieszych. Istotnym elementem infrastruktury sprzyjającej rozwojowi form turystyki aktywnej są szlaki rowerowe. Najwięcej szlaków przebiega przez Trzebnicę – 8 szlaków (m.in. Wzgórzami Kocich Gór czy Szlak Trzebnica-Koniówko-Ujeździec). Ponadto przez niektóre gminy WrOF (Długołęka, Kąty Wrocławskie, Trzebnica, Wrocław, Zawonia) przebiega szlak </w:t>
      </w:r>
      <w:proofErr w:type="spellStart"/>
      <w:r w:rsidRPr="004E17F0">
        <w:rPr>
          <w:rFonts w:cstheme="minorHAnsi"/>
          <w:sz w:val="24"/>
        </w:rPr>
        <w:t>EuroVelo</w:t>
      </w:r>
      <w:proofErr w:type="spellEnd"/>
      <w:r w:rsidRPr="004E17F0">
        <w:rPr>
          <w:rFonts w:cstheme="minorHAnsi"/>
          <w:sz w:val="24"/>
        </w:rPr>
        <w:t xml:space="preserve"> 9 trasa północ-południe: Bałtyk</w:t>
      </w:r>
      <w:r w:rsidR="00192628" w:rsidRPr="004E17F0">
        <w:rPr>
          <w:rFonts w:cstheme="minorHAnsi"/>
          <w:sz w:val="24"/>
        </w:rPr>
        <w:t>-</w:t>
      </w:r>
      <w:r w:rsidRPr="004E17F0">
        <w:rPr>
          <w:rFonts w:cstheme="minorHAnsi"/>
          <w:sz w:val="24"/>
        </w:rPr>
        <w:t>Adriatyk), należący do europejskiej sieci szlaków rowerowych, będących projektem Europejskiej Federacji Cyklistów.</w:t>
      </w:r>
      <w:r w:rsidR="006944C7" w:rsidRPr="004E17F0">
        <w:rPr>
          <w:rFonts w:cstheme="minorHAnsi"/>
          <w:sz w:val="24"/>
        </w:rPr>
        <w:t xml:space="preserve"> </w:t>
      </w:r>
      <w:r w:rsidR="00017AAE" w:rsidRPr="004E17F0">
        <w:rPr>
          <w:rFonts w:cstheme="minorHAnsi"/>
          <w:sz w:val="24"/>
        </w:rPr>
        <w:t xml:space="preserve">Przez tereny  gmin ZIT </w:t>
      </w:r>
      <w:r w:rsidR="00192628" w:rsidRPr="004E17F0">
        <w:rPr>
          <w:rFonts w:cstheme="minorHAnsi"/>
          <w:sz w:val="24"/>
        </w:rPr>
        <w:t>WrOF (Czernica, Długołęka, Jelcz-</w:t>
      </w:r>
      <w:r w:rsidR="00017AAE" w:rsidRPr="004E17F0">
        <w:rPr>
          <w:rFonts w:cstheme="minorHAnsi"/>
          <w:sz w:val="24"/>
        </w:rPr>
        <w:t>Laskowice, Kąty Wroc</w:t>
      </w:r>
      <w:r w:rsidR="00192628" w:rsidRPr="004E17F0">
        <w:rPr>
          <w:rFonts w:cstheme="minorHAnsi"/>
          <w:sz w:val="24"/>
        </w:rPr>
        <w:t>ławskie, Miękinia, Oborniki Śl., Oleśnica, m. </w:t>
      </w:r>
      <w:r w:rsidR="003B579C" w:rsidRPr="004E17F0">
        <w:rPr>
          <w:rFonts w:cstheme="minorHAnsi"/>
          <w:sz w:val="24"/>
        </w:rPr>
        <w:t>Oława, Oł</w:t>
      </w:r>
      <w:r w:rsidR="00017AAE" w:rsidRPr="004E17F0">
        <w:rPr>
          <w:rFonts w:cstheme="minorHAnsi"/>
          <w:sz w:val="24"/>
        </w:rPr>
        <w:t xml:space="preserve">awa, Siechnice, Trzebnica, Wrocław, Zawonia) biegną szlaki wliczane do  tzw. </w:t>
      </w:r>
      <w:proofErr w:type="spellStart"/>
      <w:r w:rsidR="00017AAE" w:rsidRPr="004E17F0">
        <w:rPr>
          <w:rFonts w:cstheme="minorHAnsi"/>
          <w:sz w:val="24"/>
        </w:rPr>
        <w:t>cyk</w:t>
      </w:r>
      <w:r w:rsidR="00E8722F" w:rsidRPr="004E17F0">
        <w:rPr>
          <w:rFonts w:cstheme="minorHAnsi"/>
          <w:sz w:val="24"/>
        </w:rPr>
        <w:t>lo</w:t>
      </w:r>
      <w:r w:rsidR="00017AAE" w:rsidRPr="004E17F0">
        <w:rPr>
          <w:rFonts w:cstheme="minorHAnsi"/>
          <w:sz w:val="24"/>
        </w:rPr>
        <w:t>strady</w:t>
      </w:r>
      <w:proofErr w:type="spellEnd"/>
      <w:r w:rsidR="00017AAE" w:rsidRPr="004E17F0">
        <w:rPr>
          <w:rFonts w:cstheme="minorHAnsi"/>
          <w:sz w:val="24"/>
        </w:rPr>
        <w:t xml:space="preserve"> dolnośląskiej tj. </w:t>
      </w:r>
      <w:proofErr w:type="spellStart"/>
      <w:r w:rsidR="00017AAE" w:rsidRPr="004E17F0">
        <w:rPr>
          <w:rFonts w:cstheme="minorHAnsi"/>
          <w:sz w:val="24"/>
        </w:rPr>
        <w:t>EuroVelo</w:t>
      </w:r>
      <w:proofErr w:type="spellEnd"/>
      <w:r w:rsidR="00017AAE" w:rsidRPr="004E17F0">
        <w:rPr>
          <w:rFonts w:cstheme="minorHAnsi"/>
          <w:sz w:val="24"/>
        </w:rPr>
        <w:t xml:space="preserve"> 9, Trasa Złota, Via</w:t>
      </w:r>
      <w:r w:rsidR="00192628" w:rsidRPr="004E17F0">
        <w:rPr>
          <w:rFonts w:cstheme="minorHAnsi"/>
          <w:sz w:val="24"/>
        </w:rPr>
        <w:t xml:space="preserve"> </w:t>
      </w:r>
      <w:proofErr w:type="spellStart"/>
      <w:r w:rsidR="00017AAE" w:rsidRPr="004E17F0">
        <w:rPr>
          <w:rFonts w:cstheme="minorHAnsi"/>
          <w:sz w:val="24"/>
        </w:rPr>
        <w:t>Regia</w:t>
      </w:r>
      <w:proofErr w:type="spellEnd"/>
      <w:r w:rsidR="00017AAE" w:rsidRPr="004E17F0">
        <w:rPr>
          <w:rFonts w:cstheme="minorHAnsi"/>
          <w:sz w:val="24"/>
        </w:rPr>
        <w:t>, Trasa Kamienna, Blue</w:t>
      </w:r>
      <w:r w:rsidR="00192628" w:rsidRPr="004E17F0">
        <w:rPr>
          <w:rFonts w:cstheme="minorHAnsi"/>
          <w:sz w:val="24"/>
        </w:rPr>
        <w:t xml:space="preserve"> </w:t>
      </w:r>
      <w:proofErr w:type="spellStart"/>
      <w:r w:rsidR="00017AAE" w:rsidRPr="004E17F0">
        <w:rPr>
          <w:rFonts w:cstheme="minorHAnsi"/>
          <w:sz w:val="24"/>
        </w:rPr>
        <w:t>Velo</w:t>
      </w:r>
      <w:proofErr w:type="spellEnd"/>
      <w:r w:rsidR="00017AAE" w:rsidRPr="004E17F0">
        <w:rPr>
          <w:rFonts w:cstheme="minorHAnsi"/>
          <w:sz w:val="24"/>
        </w:rPr>
        <w:t xml:space="preserve"> (Odrzańska Trasa Rowerowa)</w:t>
      </w:r>
      <w:r w:rsidR="004B5DC6" w:rsidRPr="004E17F0">
        <w:rPr>
          <w:rFonts w:cstheme="minorHAnsi"/>
          <w:sz w:val="24"/>
        </w:rPr>
        <w:t xml:space="preserve">. </w:t>
      </w:r>
      <w:r w:rsidRPr="004E17F0">
        <w:rPr>
          <w:rFonts w:cstheme="minorHAnsi"/>
          <w:sz w:val="24"/>
        </w:rPr>
        <w:t xml:space="preserve"> Do dyspozycji na terenie WrOF są również trasy MTB</w:t>
      </w:r>
      <w:r w:rsidRPr="004E17F0">
        <w:rPr>
          <w:rStyle w:val="Odwoanieprzypisudolnego"/>
          <w:rFonts w:cstheme="minorHAnsi"/>
          <w:sz w:val="24"/>
        </w:rPr>
        <w:footnoteReference w:id="96"/>
      </w:r>
      <w:r w:rsidRPr="004E17F0">
        <w:rPr>
          <w:rFonts w:cstheme="minorHAnsi"/>
          <w:sz w:val="24"/>
        </w:rPr>
        <w:t>, zlokalizowan</w:t>
      </w:r>
      <w:r w:rsidR="001D1207">
        <w:rPr>
          <w:rFonts w:cstheme="minorHAnsi"/>
          <w:sz w:val="24"/>
        </w:rPr>
        <w:t>e w </w:t>
      </w:r>
      <w:r w:rsidR="00192628" w:rsidRPr="004E17F0">
        <w:rPr>
          <w:rFonts w:cstheme="minorHAnsi"/>
          <w:sz w:val="24"/>
        </w:rPr>
        <w:t>szczególności w </w:t>
      </w:r>
      <w:r w:rsidRPr="004E17F0">
        <w:rPr>
          <w:rFonts w:cstheme="minorHAnsi"/>
          <w:sz w:val="24"/>
        </w:rPr>
        <w:t>Miękini. Czernica jest jedyną gminą</w:t>
      </w:r>
      <w:r w:rsidR="00192628" w:rsidRPr="004E17F0">
        <w:rPr>
          <w:rFonts w:cstheme="minorHAnsi"/>
          <w:sz w:val="24"/>
        </w:rPr>
        <w:t>,</w:t>
      </w:r>
      <w:r w:rsidRPr="004E17F0">
        <w:rPr>
          <w:rFonts w:cstheme="minorHAnsi"/>
          <w:sz w:val="24"/>
        </w:rPr>
        <w:t xml:space="preserve"> przez teren której nie przebiegają żadne szlaki rowerowe. W ofercie WrOF są równie</w:t>
      </w:r>
      <w:r w:rsidR="003B579C" w:rsidRPr="004E17F0">
        <w:rPr>
          <w:rFonts w:cstheme="minorHAnsi"/>
          <w:sz w:val="24"/>
        </w:rPr>
        <w:t>ż szlaki konne zlokalizowane na </w:t>
      </w:r>
      <w:r w:rsidRPr="004E17F0">
        <w:rPr>
          <w:rFonts w:cstheme="minorHAnsi"/>
          <w:sz w:val="24"/>
        </w:rPr>
        <w:t>terenie 6 gmin (Długołęka, Dobroszyce, Kobierzyce, Oborniki Śląs</w:t>
      </w:r>
      <w:r w:rsidR="003B579C" w:rsidRPr="004E17F0">
        <w:rPr>
          <w:rFonts w:cstheme="minorHAnsi"/>
          <w:sz w:val="24"/>
        </w:rPr>
        <w:t>kie, Trzebnica, Zawonia), m.in. </w:t>
      </w:r>
      <w:r w:rsidRPr="004E17F0">
        <w:rPr>
          <w:rFonts w:cstheme="minorHAnsi"/>
          <w:sz w:val="24"/>
        </w:rPr>
        <w:t>szlak konny Wzgórz Trzebnickich. Uzupełnieniem oferty są s</w:t>
      </w:r>
      <w:r w:rsidR="003B579C" w:rsidRPr="004E17F0">
        <w:rPr>
          <w:rFonts w:cstheme="minorHAnsi"/>
          <w:sz w:val="24"/>
        </w:rPr>
        <w:t>zlaki wodne, które występują na </w:t>
      </w:r>
      <w:r w:rsidRPr="004E17F0">
        <w:rPr>
          <w:rFonts w:cstheme="minorHAnsi"/>
          <w:sz w:val="24"/>
        </w:rPr>
        <w:t>rzekach, przebiegających przez obszar WrOF, mianowicie: Odra, Widawa, Oleśnica, Oława, Bystrzyca, Strzegomka, Ślęza. Wśród nich można wymienić szlak kajakowy po Odrze przebiegający przez Oborniki Śląskie.</w:t>
      </w:r>
    </w:p>
    <w:p w:rsidR="000178B1" w:rsidRPr="004E17F0" w:rsidRDefault="000178B1" w:rsidP="004E17F0">
      <w:pPr>
        <w:jc w:val="left"/>
        <w:rPr>
          <w:rFonts w:cstheme="minorHAnsi"/>
          <w:sz w:val="24"/>
        </w:rPr>
      </w:pPr>
      <w:r w:rsidRPr="004E17F0">
        <w:rPr>
          <w:rFonts w:cstheme="minorHAnsi"/>
          <w:sz w:val="24"/>
        </w:rPr>
        <w:t>Dodatkowo przez WrOF przebiegają również szlaki kultu</w:t>
      </w:r>
      <w:r w:rsidR="001D1207">
        <w:rPr>
          <w:rFonts w:cstheme="minorHAnsi"/>
          <w:sz w:val="24"/>
        </w:rPr>
        <w:t>rowe, które związane są m.in. z </w:t>
      </w:r>
      <w:r w:rsidRPr="004E17F0">
        <w:rPr>
          <w:rFonts w:cstheme="minorHAnsi"/>
          <w:sz w:val="24"/>
        </w:rPr>
        <w:t>zabytkami, kuchnią regionalną, winnicami czy browarami zlokalizowanymi na tym terenie. Szlaki kulturowe występują na terenie 16 gmin, nie przebiegają tylko przez Dobroszyce, Oleśni</w:t>
      </w:r>
      <w:r w:rsidR="004B5DC6" w:rsidRPr="004E17F0">
        <w:rPr>
          <w:rFonts w:cstheme="minorHAnsi"/>
          <w:sz w:val="24"/>
        </w:rPr>
        <w:t>ce</w:t>
      </w:r>
      <w:r w:rsidRPr="004E17F0">
        <w:rPr>
          <w:rFonts w:cstheme="minorHAnsi"/>
          <w:sz w:val="24"/>
        </w:rPr>
        <w:t xml:space="preserve"> (gmina wiejska) i Zawonię. Wśród szlaków kulturowych można wskazać Dolnośląski Szlak Piwa i Wina, który umożliwia poznawanie kultury browarniczej i winiarskiej, jak również degustację trunków</w:t>
      </w:r>
      <w:r w:rsidRPr="004E17F0">
        <w:rPr>
          <w:rStyle w:val="Odwoanieprzypisudolnego"/>
          <w:rFonts w:cstheme="minorHAnsi"/>
          <w:sz w:val="24"/>
        </w:rPr>
        <w:footnoteReference w:id="97"/>
      </w:r>
      <w:r w:rsidRPr="004E17F0">
        <w:rPr>
          <w:rFonts w:cstheme="minorHAnsi"/>
          <w:sz w:val="24"/>
        </w:rPr>
        <w:t>, Szlak Dziedzictwa Kulinarnego, czy szlak „Smaki Dolnego Śląska”, mający na celu promocję dolnośląskich kulinariów. Ponadto przez teren WrOF przebiega rów</w:t>
      </w:r>
      <w:r w:rsidR="00192628" w:rsidRPr="004E17F0">
        <w:rPr>
          <w:rFonts w:cstheme="minorHAnsi"/>
          <w:sz w:val="24"/>
        </w:rPr>
        <w:t xml:space="preserve">nież Droga św. Jakuba Via </w:t>
      </w:r>
      <w:proofErr w:type="spellStart"/>
      <w:r w:rsidR="00192628" w:rsidRPr="004E17F0">
        <w:rPr>
          <w:rFonts w:cstheme="minorHAnsi"/>
          <w:sz w:val="24"/>
        </w:rPr>
        <w:t>Regia</w:t>
      </w:r>
      <w:proofErr w:type="spellEnd"/>
      <w:r w:rsidRPr="004E17F0">
        <w:rPr>
          <w:rFonts w:cstheme="minorHAnsi"/>
          <w:sz w:val="24"/>
        </w:rPr>
        <w:t xml:space="preserve"> oraz Szlak Cysterski, na który składają się klasztory zakonu cystersów.</w:t>
      </w:r>
    </w:p>
    <w:p w:rsidR="00223971" w:rsidRDefault="000178B1" w:rsidP="004E17F0">
      <w:pPr>
        <w:jc w:val="left"/>
        <w:rPr>
          <w:rFonts w:cstheme="minorHAnsi"/>
          <w:sz w:val="24"/>
        </w:rPr>
      </w:pPr>
      <w:r w:rsidRPr="004E17F0">
        <w:rPr>
          <w:rFonts w:cstheme="minorHAnsi"/>
          <w:sz w:val="24"/>
        </w:rPr>
        <w:t>Oferta turystyczna, dostępność infrastruktury turystyczno-rekreacyjnej i bazy noclegowej we WrOF jest stosunkowo wysoka, a poszczególne gminy mają swoją własną specyfikę i lokalne zasoby.</w:t>
      </w:r>
      <w:r w:rsidR="00192628" w:rsidRPr="004E17F0">
        <w:rPr>
          <w:rFonts w:cstheme="minorHAnsi"/>
          <w:sz w:val="24"/>
        </w:rPr>
        <w:t xml:space="preserve"> </w:t>
      </w:r>
      <w:r w:rsidRPr="004E17F0">
        <w:rPr>
          <w:rFonts w:cstheme="minorHAnsi"/>
          <w:sz w:val="24"/>
        </w:rPr>
        <w:t>Jednakże to Wrocław jest wiodącym ośrodkiem o największym potencjale turystycznym</w:t>
      </w:r>
      <w:r w:rsidRPr="004E17F0">
        <w:rPr>
          <w:rStyle w:val="Odwoanieprzypisudolnego"/>
          <w:rFonts w:cstheme="minorHAnsi"/>
          <w:sz w:val="24"/>
        </w:rPr>
        <w:footnoteReference w:id="98"/>
      </w:r>
      <w:r w:rsidRPr="004E17F0">
        <w:rPr>
          <w:rFonts w:cstheme="minorHAnsi"/>
          <w:sz w:val="24"/>
        </w:rPr>
        <w:t xml:space="preserve">, który posiada bogatą ofertę kulturalną, rekreacyjną i sportową, co daje możliwość rozwoju branży </w:t>
      </w:r>
      <w:proofErr w:type="spellStart"/>
      <w:r w:rsidRPr="004E17F0">
        <w:rPr>
          <w:rFonts w:cstheme="minorHAnsi"/>
          <w:sz w:val="24"/>
        </w:rPr>
        <w:t>turystyczno</w:t>
      </w:r>
      <w:proofErr w:type="spellEnd"/>
      <w:r w:rsidR="003B0A45" w:rsidRPr="004E17F0">
        <w:rPr>
          <w:rFonts w:cstheme="minorHAnsi"/>
          <w:sz w:val="24"/>
        </w:rPr>
        <w:br/>
      </w:r>
      <w:r w:rsidRPr="004E17F0">
        <w:rPr>
          <w:rFonts w:cstheme="minorHAnsi"/>
          <w:sz w:val="24"/>
        </w:rPr>
        <w:t>-hotelarskiej</w:t>
      </w:r>
      <w:r w:rsidRPr="004E17F0">
        <w:rPr>
          <w:rStyle w:val="Odwoanieprzypisudolnego"/>
          <w:rFonts w:cstheme="minorHAnsi"/>
          <w:sz w:val="24"/>
        </w:rPr>
        <w:footnoteReference w:id="99"/>
      </w:r>
      <w:r w:rsidRPr="004E17F0">
        <w:rPr>
          <w:rFonts w:cstheme="minorHAnsi"/>
          <w:sz w:val="24"/>
        </w:rPr>
        <w:t xml:space="preserve">. W celu wzmocnienia atrakcyjności turystycznej i rekreacyjnej istotne jest stworzenie zintegrowanej oferty łączącej atrakcje kulturalne i turystyczne w poszczególnych gminach, </w:t>
      </w:r>
      <w:r w:rsidR="001E06C2" w:rsidRPr="004E17F0">
        <w:rPr>
          <w:rFonts w:cstheme="minorHAnsi"/>
          <w:sz w:val="24"/>
        </w:rPr>
        <w:t xml:space="preserve"> stworzenie i rozwój szlaków turystycznych, </w:t>
      </w:r>
      <w:r w:rsidRPr="004E17F0">
        <w:rPr>
          <w:rFonts w:cstheme="minorHAnsi"/>
          <w:sz w:val="24"/>
        </w:rPr>
        <w:t xml:space="preserve">co </w:t>
      </w:r>
      <w:r w:rsidR="001E06C2" w:rsidRPr="004E17F0">
        <w:rPr>
          <w:rFonts w:cstheme="minorHAnsi"/>
          <w:sz w:val="24"/>
        </w:rPr>
        <w:t>pozwoli przełoży</w:t>
      </w:r>
      <w:r w:rsidR="003562C2" w:rsidRPr="004E17F0">
        <w:rPr>
          <w:rFonts w:cstheme="minorHAnsi"/>
          <w:sz w:val="24"/>
        </w:rPr>
        <w:t>ć</w:t>
      </w:r>
      <w:r w:rsidR="001E06C2" w:rsidRPr="004E17F0">
        <w:rPr>
          <w:rFonts w:cstheme="minorHAnsi"/>
          <w:sz w:val="24"/>
        </w:rPr>
        <w:t xml:space="preserve"> się</w:t>
      </w:r>
      <w:r w:rsidRPr="004E17F0">
        <w:rPr>
          <w:rFonts w:cstheme="minorHAnsi"/>
          <w:sz w:val="24"/>
        </w:rPr>
        <w:t xml:space="preserve"> na zwiększenie ruchu turystycznego, a tym samym</w:t>
      </w:r>
      <w:r w:rsidR="003562C2" w:rsidRPr="004E17F0">
        <w:rPr>
          <w:rFonts w:cstheme="minorHAnsi"/>
          <w:sz w:val="24"/>
        </w:rPr>
        <w:t xml:space="preserve"> na</w:t>
      </w:r>
      <w:r w:rsidRPr="004E17F0">
        <w:rPr>
          <w:rFonts w:cstheme="minorHAnsi"/>
          <w:sz w:val="24"/>
        </w:rPr>
        <w:t xml:space="preserve"> rozwój gospodarczy obszaru. Ponadto istotna jest promocja potencjału turystycznego, gospodarczego, jak i dziedzictwa kulturowego WrOF we współpracy z podmiotami branży turystycznej</w:t>
      </w:r>
      <w:r w:rsidR="003562C2" w:rsidRPr="004E17F0">
        <w:rPr>
          <w:rFonts w:cstheme="minorHAnsi"/>
          <w:sz w:val="24"/>
        </w:rPr>
        <w:t xml:space="preserve"> oraz</w:t>
      </w:r>
      <w:r w:rsidRPr="004E17F0">
        <w:rPr>
          <w:rFonts w:cstheme="minorHAnsi"/>
          <w:sz w:val="24"/>
        </w:rPr>
        <w:t xml:space="preserve"> producentami regionalnymi.</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4E17F0" w:rsidRPr="00800D30" w:rsidTr="006A36A5">
        <w:trPr>
          <w:trHeight w:val="510"/>
          <w:tblHeader/>
        </w:trPr>
        <w:tc>
          <w:tcPr>
            <w:tcW w:w="9062" w:type="dxa"/>
            <w:vAlign w:val="center"/>
          </w:tcPr>
          <w:p w:rsidR="004E17F0" w:rsidRPr="00800D30" w:rsidRDefault="004E17F0" w:rsidP="006A36A5">
            <w:pPr>
              <w:spacing w:line="240" w:lineRule="auto"/>
              <w:jc w:val="left"/>
              <w:rPr>
                <w:b/>
                <w:sz w:val="24"/>
              </w:rPr>
            </w:pPr>
            <w:r w:rsidRPr="00800D30">
              <w:rPr>
                <w:b/>
                <w:sz w:val="24"/>
              </w:rPr>
              <w:t>Kluczowe wyzwania strategiczne</w:t>
            </w:r>
          </w:p>
        </w:tc>
      </w:tr>
      <w:tr w:rsidR="004E17F0" w:rsidTr="006A36A5">
        <w:trPr>
          <w:trHeight w:val="737"/>
        </w:trPr>
        <w:tc>
          <w:tcPr>
            <w:tcW w:w="9062" w:type="dxa"/>
            <w:vAlign w:val="center"/>
          </w:tcPr>
          <w:p w:rsidR="004E17F0" w:rsidRPr="005D3442" w:rsidRDefault="004E17F0" w:rsidP="004E17F0">
            <w:pPr>
              <w:spacing w:line="240" w:lineRule="auto"/>
              <w:jc w:val="left"/>
              <w:rPr>
                <w:rFonts w:cstheme="minorHAnsi"/>
                <w:color w:val="000000"/>
                <w:szCs w:val="20"/>
              </w:rPr>
            </w:pPr>
            <w:r w:rsidRPr="000530A7">
              <w:rPr>
                <w:rFonts w:cstheme="minorHAnsi"/>
                <w:color w:val="000000"/>
                <w:szCs w:val="20"/>
              </w:rPr>
              <w:t>Wyzwanie dla dalszego rozwoju WrOF stanowi równomierny rozwój infrastruktury sportowej w poszczególnych gminach i stworzenie m. in. sieci obiektów sportowo-rekreacyjnych. Oprócz tego kluczowe jest zwrócenie uwagi na budowę obiektów wielofunkcyjnych wraz z zap</w:t>
            </w:r>
            <w:r>
              <w:rPr>
                <w:rFonts w:cstheme="minorHAnsi"/>
                <w:color w:val="000000"/>
                <w:szCs w:val="20"/>
              </w:rPr>
              <w:t>ewnieniem dostępności osobom ze </w:t>
            </w:r>
            <w:r w:rsidRPr="000530A7">
              <w:rPr>
                <w:rFonts w:cstheme="minorHAnsi"/>
                <w:color w:val="000000"/>
                <w:szCs w:val="20"/>
              </w:rPr>
              <w:t xml:space="preserve">szczególnymi potrzebami.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szCs w:val="20"/>
                <w:highlight w:val="yellow"/>
              </w:rPr>
            </w:pPr>
            <w:r w:rsidRPr="000530A7">
              <w:rPr>
                <w:rFonts w:cstheme="minorHAnsi"/>
                <w:color w:val="000000"/>
                <w:szCs w:val="20"/>
              </w:rPr>
              <w:t xml:space="preserve">Poprawa oferty sportowej i rekreacyjnej, możliwa będzie przy jednoczesnym poszerzeniu oferty spędzania czasu i organizacji różnorodnych zajęć dla dzieci, młodzieży, osób dorosłych i seniorów. </w:t>
            </w:r>
          </w:p>
        </w:tc>
      </w:tr>
      <w:tr w:rsidR="004E17F0" w:rsidTr="006A36A5">
        <w:trPr>
          <w:trHeight w:val="737"/>
        </w:trPr>
        <w:tc>
          <w:tcPr>
            <w:tcW w:w="9062" w:type="dxa"/>
            <w:vAlign w:val="center"/>
          </w:tcPr>
          <w:p w:rsidR="004E17F0" w:rsidRPr="000530A7" w:rsidRDefault="004E17F0" w:rsidP="004E17F0">
            <w:pPr>
              <w:spacing w:line="240" w:lineRule="auto"/>
              <w:jc w:val="left"/>
              <w:rPr>
                <w:rFonts w:cstheme="minorHAnsi"/>
                <w:color w:val="000000"/>
                <w:szCs w:val="20"/>
              </w:rPr>
            </w:pPr>
            <w:r w:rsidRPr="000530A7">
              <w:rPr>
                <w:rFonts w:cstheme="minorHAnsi"/>
                <w:color w:val="000000"/>
                <w:szCs w:val="20"/>
              </w:rPr>
              <w:t xml:space="preserve">Dla dalszego rozwoju WrOF pod kątem tworzenia przyjaznego środowiska dla turystów </w:t>
            </w:r>
            <w:r w:rsidRPr="000530A7">
              <w:rPr>
                <w:rFonts w:cstheme="minorHAnsi"/>
                <w:color w:val="000000"/>
                <w:szCs w:val="20"/>
              </w:rPr>
              <w:br/>
              <w:t xml:space="preserve">i mieszkańców konieczny jest rozwój oraz poprawa stanu przestrzeni publicznych, </w:t>
            </w:r>
            <w:r w:rsidRPr="000530A7">
              <w:rPr>
                <w:szCs w:val="20"/>
              </w:rPr>
              <w:t xml:space="preserve">wnętrz podwórzowych,  </w:t>
            </w:r>
            <w:r w:rsidRPr="000530A7">
              <w:rPr>
                <w:rFonts w:cstheme="minorHAnsi"/>
                <w:color w:val="000000"/>
                <w:szCs w:val="20"/>
              </w:rPr>
              <w:t>szlaków, ścieżek, dróg rowerowych, itp.</w:t>
            </w:r>
          </w:p>
        </w:tc>
      </w:tr>
    </w:tbl>
    <w:p w:rsidR="004E17F0" w:rsidRDefault="004E17F0" w:rsidP="004E17F0">
      <w:pPr>
        <w:jc w:val="left"/>
        <w:rPr>
          <w:rFonts w:cstheme="minorHAnsi"/>
          <w:sz w:val="24"/>
        </w:rPr>
      </w:pPr>
    </w:p>
    <w:p w:rsidR="000178B1" w:rsidRPr="00752127" w:rsidRDefault="00C86749" w:rsidP="00752127">
      <w:pPr>
        <w:pStyle w:val="Nagwek2"/>
      </w:pPr>
      <w:bookmarkStart w:id="119" w:name="_Toc115450204"/>
      <w:bookmarkStart w:id="120" w:name="_Toc124767665"/>
      <w:bookmarkStart w:id="121" w:name="_Toc125707450"/>
      <w:bookmarkStart w:id="122" w:name="_Toc143673212"/>
      <w:r w:rsidRPr="00752127">
        <w:t>II.</w:t>
      </w:r>
      <w:r w:rsidR="00187AED" w:rsidRPr="00752127">
        <w:t>9</w:t>
      </w:r>
      <w:r w:rsidR="000178B1" w:rsidRPr="00752127">
        <w:t xml:space="preserve"> Bezpieczeństwo</w:t>
      </w:r>
      <w:r w:rsidR="006D588E" w:rsidRPr="00752127">
        <w:t xml:space="preserve"> i przest</w:t>
      </w:r>
      <w:r w:rsidR="008178C5" w:rsidRPr="00752127">
        <w:t>rzeń</w:t>
      </w:r>
      <w:r w:rsidR="000178B1" w:rsidRPr="00752127">
        <w:t xml:space="preserve"> publiczn</w:t>
      </w:r>
      <w:bookmarkEnd w:id="119"/>
      <w:bookmarkEnd w:id="120"/>
      <w:bookmarkEnd w:id="121"/>
      <w:r w:rsidR="008178C5" w:rsidRPr="00752127">
        <w:t>a</w:t>
      </w:r>
      <w:bookmarkEnd w:id="122"/>
    </w:p>
    <w:p w:rsidR="005F7FB3" w:rsidRPr="004E17F0" w:rsidRDefault="005F7FB3" w:rsidP="004E17F0">
      <w:pPr>
        <w:jc w:val="left"/>
        <w:rPr>
          <w:rFonts w:cstheme="minorHAnsi"/>
          <w:b/>
          <w:color w:val="0070C0"/>
          <w:sz w:val="24"/>
        </w:rPr>
      </w:pPr>
      <w:r w:rsidRPr="004E17F0">
        <w:rPr>
          <w:rFonts w:cs="Calibri"/>
          <w:sz w:val="24"/>
        </w:rPr>
        <w:t>Rozdział podejmuje kwestie związane bezpieczeństwem, przestrzenią publiczną zagrożeniami naturalnym</w:t>
      </w:r>
      <w:r w:rsidR="00DD08F1" w:rsidRPr="004E17F0">
        <w:rPr>
          <w:rFonts w:cs="Calibri"/>
          <w:sz w:val="24"/>
        </w:rPr>
        <w:t>i</w:t>
      </w:r>
      <w:r w:rsidRPr="004E17F0">
        <w:rPr>
          <w:rFonts w:cs="Calibri"/>
          <w:sz w:val="24"/>
        </w:rPr>
        <w:t>, przed jakim</w:t>
      </w:r>
      <w:r w:rsidR="00DD08F1" w:rsidRPr="004E17F0">
        <w:rPr>
          <w:rFonts w:cs="Calibri"/>
          <w:sz w:val="24"/>
        </w:rPr>
        <w:t>i</w:t>
      </w:r>
      <w:r w:rsidRPr="004E17F0">
        <w:rPr>
          <w:rFonts w:cs="Calibri"/>
          <w:sz w:val="24"/>
        </w:rPr>
        <w:t xml:space="preserve"> stoją samorządy WrOF.</w:t>
      </w:r>
    </w:p>
    <w:p w:rsidR="006D588E" w:rsidRPr="001D1207" w:rsidRDefault="007E7686" w:rsidP="004E17F0">
      <w:pPr>
        <w:spacing w:before="240" w:after="0"/>
        <w:jc w:val="left"/>
        <w:rPr>
          <w:rFonts w:cstheme="minorHAnsi"/>
          <w:b/>
          <w:color w:val="000000" w:themeColor="text1"/>
          <w:sz w:val="24"/>
        </w:rPr>
      </w:pPr>
      <w:r w:rsidRPr="001D1207">
        <w:rPr>
          <w:rFonts w:cstheme="minorHAnsi"/>
          <w:b/>
          <w:color w:val="000000" w:themeColor="text1"/>
          <w:sz w:val="24"/>
        </w:rPr>
        <w:t xml:space="preserve">Przestrzenie publiczne </w:t>
      </w:r>
    </w:p>
    <w:p w:rsidR="007E7686" w:rsidRPr="004E17F0" w:rsidRDefault="007E7686" w:rsidP="004E17F0">
      <w:pPr>
        <w:jc w:val="left"/>
        <w:rPr>
          <w:rFonts w:cstheme="minorHAnsi"/>
          <w:color w:val="000000" w:themeColor="text1"/>
          <w:sz w:val="24"/>
          <w:szCs w:val="20"/>
        </w:rPr>
      </w:pPr>
      <w:r w:rsidRPr="004E17F0">
        <w:rPr>
          <w:rFonts w:cstheme="minorHAnsi"/>
          <w:color w:val="000000" w:themeColor="text1"/>
          <w:sz w:val="24"/>
          <w:szCs w:val="20"/>
        </w:rPr>
        <w:t>Przestrzenie publiczne są niezwykle istotnym elementem. Duży nacisk powinien zostać położony na utworzenie i fizyczną odnowę publicznych obszarów miejskich i wiejskich, poprawę ich funkcjonalności i bezpieczeństwa oraz doposażenie, co ma przełożyć się na popra</w:t>
      </w:r>
      <w:r w:rsidR="00666B26" w:rsidRPr="004E17F0">
        <w:rPr>
          <w:rFonts w:cstheme="minorHAnsi"/>
          <w:color w:val="000000" w:themeColor="text1"/>
          <w:sz w:val="24"/>
          <w:szCs w:val="20"/>
        </w:rPr>
        <w:t>wę jakości życia mieszkańców. W </w:t>
      </w:r>
      <w:r w:rsidRPr="004E17F0">
        <w:rPr>
          <w:rFonts w:cstheme="minorHAnsi"/>
          <w:color w:val="000000" w:themeColor="text1"/>
          <w:sz w:val="24"/>
          <w:szCs w:val="20"/>
        </w:rPr>
        <w:t xml:space="preserve">przedsięwzięciach </w:t>
      </w:r>
      <w:r w:rsidR="001D1207">
        <w:rPr>
          <w:rFonts w:cstheme="minorHAnsi"/>
          <w:color w:val="000000" w:themeColor="text1"/>
          <w:sz w:val="24"/>
          <w:szCs w:val="20"/>
        </w:rPr>
        <w:t xml:space="preserve">utworzenia i fizycznej odnowy </w:t>
      </w:r>
      <w:proofErr w:type="spellStart"/>
      <w:r w:rsidR="001D1207">
        <w:rPr>
          <w:rFonts w:cstheme="minorHAnsi"/>
          <w:color w:val="000000" w:themeColor="text1"/>
          <w:sz w:val="24"/>
          <w:szCs w:val="20"/>
        </w:rPr>
        <w:t>ió</w:t>
      </w:r>
      <w:proofErr w:type="spellEnd"/>
      <w:r w:rsidR="001D1207">
        <w:rPr>
          <w:rFonts w:cstheme="minorHAnsi"/>
          <w:color w:val="000000" w:themeColor="text1"/>
          <w:sz w:val="24"/>
          <w:szCs w:val="20"/>
        </w:rPr>
        <w:t> </w:t>
      </w:r>
      <w:r w:rsidRPr="004E17F0">
        <w:rPr>
          <w:rFonts w:cstheme="minorHAnsi"/>
          <w:color w:val="000000" w:themeColor="text1"/>
          <w:sz w:val="24"/>
          <w:szCs w:val="20"/>
        </w:rPr>
        <w:t>bezpieczeństwa przestrzeni publicznej należy zwracać się uwagę na zachowanie i rozwój zielonej infrastruktury, zwłaszcza ochronę drzew w całym cyklu projektowym, w tym poprzez stosowanie standardów ochrony zieleni. Innym aspektem, na który powinien być kładziony nacisk w przedmiotowych przedsięwzięciach jest poprawa kondycji psychofizycznej mieszkańców, w szczególności poprzez rozwój infrastruktury, np. wspo</w:t>
      </w:r>
      <w:r w:rsidR="00192628" w:rsidRPr="004E17F0">
        <w:rPr>
          <w:rFonts w:cstheme="minorHAnsi"/>
          <w:color w:val="000000" w:themeColor="text1"/>
          <w:sz w:val="24"/>
          <w:szCs w:val="20"/>
        </w:rPr>
        <w:t>mnianej już kultury</w:t>
      </w:r>
      <w:r w:rsidRPr="004E17F0">
        <w:rPr>
          <w:rFonts w:cstheme="minorHAnsi"/>
          <w:color w:val="000000" w:themeColor="text1"/>
          <w:sz w:val="24"/>
          <w:szCs w:val="20"/>
        </w:rPr>
        <w:t xml:space="preserve"> czy infrastruktury społecznej i edukacyjnej. Dodatkowo pozytywnym aspektem przedsięwzięcia będzie również dążenie do zwiększania powierzchni biologicznie czynnych i unikanie tworzenia powierzchni uszczelnionych. </w:t>
      </w:r>
    </w:p>
    <w:p w:rsidR="007E7686" w:rsidRPr="004E17F0" w:rsidRDefault="000F5700" w:rsidP="004E17F0">
      <w:pPr>
        <w:spacing w:before="240" w:after="0"/>
        <w:jc w:val="left"/>
        <w:rPr>
          <w:rFonts w:cstheme="minorHAnsi"/>
          <w:b/>
          <w:color w:val="000000" w:themeColor="text1"/>
          <w:sz w:val="24"/>
        </w:rPr>
      </w:pPr>
      <w:r w:rsidRPr="004E17F0">
        <w:rPr>
          <w:rFonts w:cstheme="minorHAnsi"/>
          <w:b/>
          <w:color w:val="000000" w:themeColor="text1"/>
          <w:sz w:val="24"/>
        </w:rPr>
        <w:t>Bezpieczeństwo</w:t>
      </w:r>
    </w:p>
    <w:p w:rsidR="000178B1" w:rsidRPr="004E17F0" w:rsidRDefault="000178B1" w:rsidP="004E17F0">
      <w:pPr>
        <w:jc w:val="left"/>
        <w:rPr>
          <w:sz w:val="24"/>
        </w:rPr>
      </w:pPr>
      <w:r w:rsidRPr="004E17F0">
        <w:rPr>
          <w:rFonts w:cstheme="minorHAnsi"/>
          <w:sz w:val="24"/>
        </w:rPr>
        <w:t>Głównymi podmiotami realizującymi zadania z zakresu bezpieczeństwa jest Policja i Państwowa Straż Pożarna, wspierana przez jednostki Ochotniczej Straży Pożarnej. Ponadto na terenie sześciu jednostek należących do WrOF działa straż miejska lub gminna.</w:t>
      </w:r>
    </w:p>
    <w:p w:rsidR="000178B1" w:rsidRPr="004E17F0" w:rsidRDefault="000178B1" w:rsidP="004E17F0">
      <w:pPr>
        <w:jc w:val="left"/>
        <w:rPr>
          <w:sz w:val="24"/>
        </w:rPr>
      </w:pPr>
      <w:r w:rsidRPr="004E17F0">
        <w:rPr>
          <w:sz w:val="24"/>
        </w:rPr>
        <w:t xml:space="preserve">Teren WrOF objęty jest działalnością pięciu powiatowych komend Policji oraz Państwową Strażą Pożarną. Poza państwowymi jednostkami ratowniczo-gaśniczymi, działają także jednostki Ochotniczej Straży Pożarnej, w tym 35 włączonych do Krajowego Systemu Ratowniczo-Gaśniczego. Dodatkowo funkcjonuje także wiele jednostek OSP nie włączonych do tego systemu, ale pełniących ważne funkcje z punktu widzenia bezpieczeństwa życia mieszkańców. </w:t>
      </w:r>
    </w:p>
    <w:p w:rsidR="000178B1" w:rsidRPr="004E17F0" w:rsidRDefault="000178B1" w:rsidP="004E17F0">
      <w:pPr>
        <w:jc w:val="left"/>
        <w:rPr>
          <w:sz w:val="24"/>
        </w:rPr>
      </w:pPr>
      <w:r w:rsidRPr="004E17F0">
        <w:rPr>
          <w:sz w:val="24"/>
        </w:rPr>
        <w:t>Nad bezpieczeństwem wodnym na terenie WrOF czuwa Dolnośląskie Wodne Ochotnicze Pogotowie Ratunkowe we Wrocławiu (WOPR). Głównym zadaniem WOPR jest niesienie pomocy osobom poszkodowanym w wypadkach na wodzie lub nad wod</w:t>
      </w:r>
      <w:r w:rsidR="00C86749" w:rsidRPr="004E17F0">
        <w:rPr>
          <w:sz w:val="24"/>
        </w:rPr>
        <w:t xml:space="preserve">ą. Poza tym podmiot zajmuje się </w:t>
      </w:r>
      <w:r w:rsidRPr="004E17F0">
        <w:rPr>
          <w:sz w:val="24"/>
        </w:rPr>
        <w:t>organizowaniem szkoleń i ćwiczeń dla ratowników wodnych.</w:t>
      </w:r>
    </w:p>
    <w:p w:rsidR="000178B1" w:rsidRPr="004E17F0" w:rsidRDefault="000178B1" w:rsidP="004E17F0">
      <w:pPr>
        <w:jc w:val="left"/>
        <w:rPr>
          <w:sz w:val="24"/>
        </w:rPr>
      </w:pPr>
      <w:r w:rsidRPr="004E17F0">
        <w:rPr>
          <w:sz w:val="24"/>
        </w:rPr>
        <w:t xml:space="preserve">Bezpieczeństwem na terenie </w:t>
      </w:r>
      <w:r w:rsidR="00233B1E" w:rsidRPr="004E17F0">
        <w:rPr>
          <w:sz w:val="24"/>
        </w:rPr>
        <w:t xml:space="preserve">gmin </w:t>
      </w:r>
      <w:r w:rsidRPr="004E17F0">
        <w:rPr>
          <w:sz w:val="24"/>
        </w:rPr>
        <w:t>WrOF zajmuj</w:t>
      </w:r>
      <w:r w:rsidR="00CC4BDA" w:rsidRPr="004E17F0">
        <w:rPr>
          <w:sz w:val="24"/>
        </w:rPr>
        <w:t>ą</w:t>
      </w:r>
      <w:r w:rsidRPr="004E17F0">
        <w:rPr>
          <w:sz w:val="24"/>
        </w:rPr>
        <w:t xml:space="preserve"> się także Powiatow</w:t>
      </w:r>
      <w:r w:rsidR="00CC4BDA" w:rsidRPr="004E17F0">
        <w:rPr>
          <w:sz w:val="24"/>
        </w:rPr>
        <w:t>e</w:t>
      </w:r>
      <w:r w:rsidRPr="004E17F0">
        <w:rPr>
          <w:sz w:val="24"/>
        </w:rPr>
        <w:t xml:space="preserve"> Stacj</w:t>
      </w:r>
      <w:r w:rsidR="00CC4BDA" w:rsidRPr="004E17F0">
        <w:rPr>
          <w:sz w:val="24"/>
        </w:rPr>
        <w:t>e</w:t>
      </w:r>
      <w:r w:rsidRPr="004E17F0">
        <w:rPr>
          <w:sz w:val="24"/>
        </w:rPr>
        <w:t xml:space="preserve"> Sanitarno-Epidemiologiczn</w:t>
      </w:r>
      <w:r w:rsidR="00CC4BDA" w:rsidRPr="004E17F0">
        <w:rPr>
          <w:sz w:val="24"/>
        </w:rPr>
        <w:t xml:space="preserve">e </w:t>
      </w:r>
      <w:r w:rsidR="00027AF9" w:rsidRPr="004E17F0">
        <w:rPr>
          <w:sz w:val="24"/>
        </w:rPr>
        <w:t xml:space="preserve">(PSSE) </w:t>
      </w:r>
      <w:r w:rsidR="00CC4BDA" w:rsidRPr="004E17F0">
        <w:rPr>
          <w:sz w:val="24"/>
        </w:rPr>
        <w:t>zlokalizowane</w:t>
      </w:r>
      <w:r w:rsidRPr="004E17F0">
        <w:rPr>
          <w:sz w:val="24"/>
        </w:rPr>
        <w:t xml:space="preserve"> w </w:t>
      </w:r>
      <w:r w:rsidR="00027AF9" w:rsidRPr="004E17F0">
        <w:rPr>
          <w:sz w:val="24"/>
        </w:rPr>
        <w:t>Oleśnicy, Oławie, Środ</w:t>
      </w:r>
      <w:r w:rsidR="003B0A45" w:rsidRPr="004E17F0">
        <w:rPr>
          <w:sz w:val="24"/>
        </w:rPr>
        <w:t>zie Śląskiej, Trzebnicy oraz we </w:t>
      </w:r>
      <w:r w:rsidRPr="004E17F0">
        <w:rPr>
          <w:sz w:val="24"/>
        </w:rPr>
        <w:t>Wrocławiu</w:t>
      </w:r>
      <w:r w:rsidR="00CC4BDA" w:rsidRPr="004E17F0">
        <w:rPr>
          <w:sz w:val="24"/>
        </w:rPr>
        <w:t xml:space="preserve">, </w:t>
      </w:r>
      <w:r w:rsidRPr="004E17F0">
        <w:rPr>
          <w:sz w:val="24"/>
        </w:rPr>
        <w:t>któr</w:t>
      </w:r>
      <w:r w:rsidR="00027AF9" w:rsidRPr="004E17F0">
        <w:rPr>
          <w:sz w:val="24"/>
        </w:rPr>
        <w:t>ych</w:t>
      </w:r>
      <w:r w:rsidRPr="004E17F0">
        <w:rPr>
          <w:sz w:val="24"/>
        </w:rPr>
        <w:t xml:space="preserve"> głównym celem jest ochrona zdrowia i życia ludności</w:t>
      </w:r>
      <w:r w:rsidR="00027AF9" w:rsidRPr="004E17F0">
        <w:rPr>
          <w:sz w:val="24"/>
        </w:rPr>
        <w:t>.</w:t>
      </w:r>
    </w:p>
    <w:p w:rsidR="000178B1" w:rsidRPr="004E17F0" w:rsidRDefault="000178B1" w:rsidP="004E17F0">
      <w:pPr>
        <w:jc w:val="left"/>
        <w:rPr>
          <w:rFonts w:cstheme="minorHAnsi"/>
          <w:sz w:val="24"/>
        </w:rPr>
      </w:pPr>
      <w:r w:rsidRPr="004E17F0">
        <w:rPr>
          <w:rFonts w:cstheme="minorHAnsi"/>
          <w:sz w:val="24"/>
        </w:rPr>
        <w:t xml:space="preserve">W celu analizy bezpieczeństwa na terenie WrOF, zbadano kwestie związaną z występowaniem pożarów oraz miejscowych zagrożeń, definiowanych jako inne niż pożar zdarzenia wynikające z rozwoju cywilizacyjnego, działań człowieka lub naturalnych sił przyrody, stwarzające zagrożenie </w:t>
      </w:r>
      <w:r w:rsidR="00F82CFC" w:rsidRPr="004E17F0">
        <w:rPr>
          <w:rFonts w:cstheme="minorHAnsi"/>
          <w:sz w:val="24"/>
        </w:rPr>
        <w:br/>
      </w:r>
      <w:r w:rsidRPr="004E17F0">
        <w:rPr>
          <w:rFonts w:cstheme="minorHAnsi"/>
          <w:sz w:val="24"/>
        </w:rPr>
        <w:t>dla życia, zdrowia, mienia lub środowiska</w:t>
      </w:r>
      <w:r w:rsidRPr="004E17F0">
        <w:rPr>
          <w:rStyle w:val="Odwoanieprzypisudolnego"/>
          <w:rFonts w:cstheme="minorHAnsi"/>
          <w:sz w:val="24"/>
        </w:rPr>
        <w:footnoteReference w:id="100"/>
      </w:r>
      <w:r w:rsidRPr="004E17F0">
        <w:rPr>
          <w:rFonts w:cstheme="minorHAnsi"/>
          <w:sz w:val="24"/>
        </w:rPr>
        <w:t>.</w:t>
      </w:r>
    </w:p>
    <w:p w:rsidR="000178B1" w:rsidRDefault="000178B1" w:rsidP="00575F4C">
      <w:pPr>
        <w:pStyle w:val="nadWrOF"/>
      </w:pPr>
      <w:bookmarkStart w:id="123" w:name="_Toc125101162"/>
      <w:bookmarkStart w:id="124" w:name="_Toc143606968"/>
      <w:r w:rsidRPr="00B27A13">
        <w:t xml:space="preserve">Tabela </w:t>
      </w:r>
      <w:r w:rsidR="00C73793" w:rsidRPr="00B27A13">
        <w:fldChar w:fldCharType="begin"/>
      </w:r>
      <w:r w:rsidRPr="00B27A13">
        <w:instrText xml:space="preserve"> SEQ Tabela \* ARABIC </w:instrText>
      </w:r>
      <w:r w:rsidR="00C73793" w:rsidRPr="00B27A13">
        <w:fldChar w:fldCharType="separate"/>
      </w:r>
      <w:r w:rsidR="00C96A96">
        <w:rPr>
          <w:noProof/>
        </w:rPr>
        <w:t>11</w:t>
      </w:r>
      <w:r w:rsidR="00C73793" w:rsidRPr="00B27A13">
        <w:fldChar w:fldCharType="end"/>
      </w:r>
      <w:r w:rsidRPr="00B27A13">
        <w:t xml:space="preserve"> Pożary i miejscowe zagrożenia ogółem w latach 2018-2021 we WrOF, woj. dolnośląskim i Polsce</w:t>
      </w:r>
      <w:bookmarkEnd w:id="123"/>
      <w:bookmarkEnd w:id="124"/>
    </w:p>
    <w:p w:rsidR="00575F4C" w:rsidRPr="00BF5586" w:rsidRDefault="00575F4C" w:rsidP="00575F4C">
      <w:pPr>
        <w:pStyle w:val="nadWrOF"/>
        <w:rPr>
          <w:i w:val="0"/>
          <w:iCs w:val="0"/>
        </w:rPr>
      </w:pPr>
      <w:r w:rsidRPr="00BF5586">
        <w:rPr>
          <w:rFonts w:cstheme="minorHAnsi"/>
          <w:i w:val="0"/>
          <w:iCs w:val="0"/>
          <w:sz w:val="24"/>
          <w:szCs w:val="24"/>
        </w:rPr>
        <w:t>Pożary ogółem</w:t>
      </w:r>
    </w:p>
    <w:tbl>
      <w:tblPr>
        <w:tblStyle w:val="Tabela-Siatka1"/>
        <w:tblW w:w="9072" w:type="dxa"/>
        <w:tblLayout w:type="fixed"/>
        <w:tblLook w:val="04A0" w:firstRow="1" w:lastRow="0" w:firstColumn="1" w:lastColumn="0" w:noHBand="0" w:noVBand="1"/>
        <w:tblCaption w:val="Pożary ogółem w latach 2018-2021 we WrOF, woj. dolnośląskim i Polsce"/>
        <w:tblDescription w:val="Pożary ogółem w latach 2018 F, woj. dolnośląskim i Polsce. Wyniki omówione w tekście"/>
      </w:tblPr>
      <w:tblGrid>
        <w:gridCol w:w="1132"/>
        <w:gridCol w:w="2646"/>
        <w:gridCol w:w="2647"/>
        <w:gridCol w:w="2647"/>
      </w:tblGrid>
      <w:tr w:rsidR="00575F4C" w:rsidRPr="005B5C76" w:rsidTr="00575F4C">
        <w:trPr>
          <w:trHeight w:val="340"/>
          <w:tblHeader/>
        </w:trPr>
        <w:tc>
          <w:tcPr>
            <w:tcW w:w="1132" w:type="dxa"/>
            <w:noWrap/>
            <w:vAlign w:val="center"/>
            <w:hideMark/>
          </w:tcPr>
          <w:p w:rsidR="00575F4C" w:rsidRPr="005B5C76" w:rsidRDefault="00575F4C" w:rsidP="006A36A5">
            <w:pPr>
              <w:spacing w:line="240" w:lineRule="auto"/>
              <w:jc w:val="left"/>
              <w:rPr>
                <w:rFonts w:cstheme="minorHAnsi"/>
                <w:sz w:val="24"/>
                <w:szCs w:val="24"/>
              </w:rPr>
            </w:pP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WrOF</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woj. dolnośląskie</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Polska</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2018</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4 617</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18 363</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149 434</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2019</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4 054</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15 490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153 520</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2020</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3 240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13 634</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128 754</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2021</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2 920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10 970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106 466</w:t>
            </w:r>
          </w:p>
        </w:tc>
      </w:tr>
    </w:tbl>
    <w:p w:rsidR="00575F4C" w:rsidRPr="00BF5586" w:rsidRDefault="00575F4C" w:rsidP="00575F4C">
      <w:pPr>
        <w:spacing w:before="240" w:after="0" w:line="240" w:lineRule="auto"/>
        <w:rPr>
          <w:sz w:val="24"/>
          <w:szCs w:val="24"/>
        </w:rPr>
      </w:pPr>
      <w:r w:rsidRPr="00BF5586">
        <w:rPr>
          <w:sz w:val="24"/>
          <w:szCs w:val="24"/>
        </w:rPr>
        <w:t>Miejscowe zagrożenia ogółem</w:t>
      </w:r>
    </w:p>
    <w:tbl>
      <w:tblPr>
        <w:tblStyle w:val="Tabela-Siatka1"/>
        <w:tblW w:w="9072" w:type="dxa"/>
        <w:tblLayout w:type="fixed"/>
        <w:tblLook w:val="04A0" w:firstRow="1" w:lastRow="0" w:firstColumn="1" w:lastColumn="0" w:noHBand="0" w:noVBand="1"/>
        <w:tblCaption w:val="Miejscowe zagrożenia ogółem w latach 2018-2021 we WrOF, woj. dolnośląskim i Polsce"/>
        <w:tblDescription w:val="Miejscowe zagrożenia ogółem w latach 2018-2021 we WrOF, woj. dolnośląskim i Polsce. WYniki omówione w tekście."/>
      </w:tblPr>
      <w:tblGrid>
        <w:gridCol w:w="1132"/>
        <w:gridCol w:w="2646"/>
        <w:gridCol w:w="2647"/>
        <w:gridCol w:w="2647"/>
      </w:tblGrid>
      <w:tr w:rsidR="00575F4C" w:rsidRPr="005B5C76" w:rsidTr="00575F4C">
        <w:trPr>
          <w:trHeight w:val="340"/>
          <w:tblHeader/>
        </w:trPr>
        <w:tc>
          <w:tcPr>
            <w:tcW w:w="1132" w:type="dxa"/>
            <w:noWrap/>
            <w:vAlign w:val="center"/>
            <w:hideMark/>
          </w:tcPr>
          <w:p w:rsidR="00575F4C" w:rsidRPr="005B5C76" w:rsidRDefault="00575F4C" w:rsidP="006A36A5">
            <w:pPr>
              <w:spacing w:line="240" w:lineRule="auto"/>
              <w:jc w:val="left"/>
              <w:rPr>
                <w:rFonts w:cstheme="minorHAnsi"/>
                <w:sz w:val="24"/>
                <w:szCs w:val="24"/>
              </w:rPr>
            </w:pP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WrOF</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woj. dolnośląskie</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Polska</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2018</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7 833</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23 876</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311 978</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2019</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7 880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24 471</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316 194</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2020</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9 043</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31 827</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413 865</w:t>
            </w:r>
          </w:p>
        </w:tc>
      </w:tr>
      <w:tr w:rsidR="00575F4C" w:rsidRPr="005B5C76" w:rsidTr="006A36A5">
        <w:trPr>
          <w:trHeight w:val="340"/>
        </w:trPr>
        <w:tc>
          <w:tcPr>
            <w:tcW w:w="1132"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2021</w:t>
            </w:r>
          </w:p>
        </w:tc>
        <w:tc>
          <w:tcPr>
            <w:tcW w:w="2646"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9 060</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28 721</w:t>
            </w:r>
          </w:p>
        </w:tc>
        <w:tc>
          <w:tcPr>
            <w:tcW w:w="2647" w:type="dxa"/>
            <w:noWrap/>
            <w:vAlign w:val="center"/>
            <w:hideMark/>
          </w:tcPr>
          <w:p w:rsidR="00575F4C" w:rsidRPr="005B5C76" w:rsidRDefault="00575F4C" w:rsidP="006A36A5">
            <w:pPr>
              <w:spacing w:line="240" w:lineRule="auto"/>
              <w:jc w:val="left"/>
              <w:rPr>
                <w:rFonts w:cstheme="minorHAnsi"/>
                <w:sz w:val="24"/>
                <w:szCs w:val="24"/>
              </w:rPr>
            </w:pPr>
            <w:r w:rsidRPr="005B5C76">
              <w:rPr>
                <w:rFonts w:cstheme="minorHAnsi"/>
                <w:sz w:val="24"/>
                <w:szCs w:val="24"/>
              </w:rPr>
              <w:t>428 041</w:t>
            </w:r>
          </w:p>
        </w:tc>
      </w:tr>
    </w:tbl>
    <w:p w:rsidR="000178B1" w:rsidRPr="00B27A13" w:rsidRDefault="000178B1" w:rsidP="000178B1">
      <w:pPr>
        <w:pStyle w:val="PODWrof"/>
      </w:pPr>
      <w:r w:rsidRPr="00B27A13">
        <w:t>Źródło: opracowanie wła</w:t>
      </w:r>
      <w:r>
        <w:t xml:space="preserve">sne na podstawie danych BDL GUS </w:t>
      </w:r>
      <w:r w:rsidRPr="009447E1">
        <w:rPr>
          <w:rStyle w:val="podWrOFZnak0"/>
          <w:rFonts w:asciiTheme="minorHAnsi" w:hAnsiTheme="minorHAnsi" w:cstheme="minorHAnsi"/>
          <w:i/>
          <w:iCs/>
        </w:rPr>
        <w:t>[Stan na: 31.12.2021].</w:t>
      </w:r>
    </w:p>
    <w:p w:rsidR="000178B1" w:rsidRPr="00575F4C" w:rsidRDefault="000178B1" w:rsidP="00575F4C">
      <w:pPr>
        <w:jc w:val="left"/>
        <w:rPr>
          <w:sz w:val="24"/>
        </w:rPr>
      </w:pPr>
      <w:r w:rsidRPr="00575F4C">
        <w:rPr>
          <w:rFonts w:cstheme="minorHAnsi"/>
          <w:sz w:val="24"/>
        </w:rPr>
        <w:t>Według danych GUS w latach 2018-2021 odnotowano spadek liczby pożarów na terenie WrOF</w:t>
      </w:r>
      <w:r w:rsidRPr="00575F4C">
        <w:rPr>
          <w:rFonts w:cstheme="minorHAnsi"/>
          <w:sz w:val="24"/>
        </w:rPr>
        <w:br/>
        <w:t>– o blisko 37%. W 2021 r. ich liczba wyniosła niecałe 3 tys. W przypadku miejscowych zagrożeń (dotyczących wypadków komunikacyjnych, zagrożeń medycznych, czynników naturalnych itp.) ich liczba w tym samym okresie uległa zwiększeniu o prawie 16% osiągając poziom 9 060 w 2021 r.</w:t>
      </w:r>
    </w:p>
    <w:p w:rsidR="000178B1" w:rsidRPr="001D1207" w:rsidRDefault="000178B1" w:rsidP="00575F4C">
      <w:pPr>
        <w:pStyle w:val="wyrsynt"/>
        <w:jc w:val="left"/>
        <w:rPr>
          <w:color w:val="000000" w:themeColor="text1"/>
          <w:sz w:val="24"/>
        </w:rPr>
      </w:pPr>
      <w:r w:rsidRPr="001D1207">
        <w:rPr>
          <w:color w:val="000000" w:themeColor="text1"/>
          <w:sz w:val="24"/>
        </w:rPr>
        <w:t>Przestępczość i bezpieczeństwo w przestrzeni publicznej</w:t>
      </w:r>
    </w:p>
    <w:p w:rsidR="000178B1" w:rsidRPr="00575F4C" w:rsidRDefault="000178B1" w:rsidP="00575F4C">
      <w:pPr>
        <w:jc w:val="left"/>
        <w:rPr>
          <w:sz w:val="24"/>
        </w:rPr>
      </w:pPr>
      <w:r w:rsidRPr="00575F4C">
        <w:rPr>
          <w:sz w:val="24"/>
        </w:rPr>
        <w:t>Poziom bezpieczeństwa w przestrzeni publicznej na teren</w:t>
      </w:r>
      <w:r w:rsidR="001D1207">
        <w:rPr>
          <w:sz w:val="24"/>
        </w:rPr>
        <w:t>ie WrOF analizowano w oparciu o </w:t>
      </w:r>
      <w:r w:rsidRPr="00575F4C">
        <w:rPr>
          <w:sz w:val="24"/>
        </w:rPr>
        <w:t>dane dotyczące odnotowywanych przestępstw, wskaźnika ich wykrywalności oraz zdarzeń drogowych. Zgodnie z danymi policyjnymi, liczba przestępstw we WrOF</w:t>
      </w:r>
      <w:r w:rsidR="00D47FA6" w:rsidRPr="00575F4C">
        <w:rPr>
          <w:sz w:val="24"/>
        </w:rPr>
        <w:t xml:space="preserve"> </w:t>
      </w:r>
      <w:r w:rsidRPr="00575F4C">
        <w:rPr>
          <w:sz w:val="24"/>
        </w:rPr>
        <w:t xml:space="preserve">oscylowała w latach 2017-2021 każdego roku wokół 29 tys. Utrzymywała się zatem na względnie stałym poziomie. Wyjątek stanowił 2020 r., w którym </w:t>
      </w:r>
      <w:r w:rsidR="00D47FA6" w:rsidRPr="00575F4C">
        <w:rPr>
          <w:sz w:val="24"/>
        </w:rPr>
        <w:t xml:space="preserve">ich </w:t>
      </w:r>
      <w:r w:rsidRPr="00575F4C">
        <w:rPr>
          <w:sz w:val="24"/>
        </w:rPr>
        <w:t>liczba uległa spadkowi poniżej 27 tys., co spowodow</w:t>
      </w:r>
      <w:r w:rsidR="00D47FA6" w:rsidRPr="00575F4C">
        <w:rPr>
          <w:sz w:val="24"/>
        </w:rPr>
        <w:t>ane było sytuacją pandemiczną i </w:t>
      </w:r>
      <w:r w:rsidRPr="00575F4C">
        <w:rPr>
          <w:sz w:val="24"/>
        </w:rPr>
        <w:t>ograniczeniem poziomu mobilności mieszkańców. Dane dotyczące przestępstw uszczegółowiono, analizując te dotyczące przestępstw popełnianych przez nieletnich. Patrząc na dane statystyczne zauważa się tendencję spadkową liczby osób nieletnich popełniających przestępstwa – ich liczba systematycznie maleje. W 2021 r. przestępstwo popełniło 161 nieletni</w:t>
      </w:r>
      <w:r w:rsidR="003B579C" w:rsidRPr="00575F4C">
        <w:rPr>
          <w:sz w:val="24"/>
        </w:rPr>
        <w:t>ch – to o ponad 50% mniej niż w </w:t>
      </w:r>
      <w:r w:rsidRPr="00575F4C">
        <w:rPr>
          <w:sz w:val="24"/>
        </w:rPr>
        <w:t>2017 r. Niekorzystną tendencję notuje się w przypadku wskaźnika wykrywalności sprawców przestępstw, który spadł z 64,11% w 2017 r. do 61,88% w 2021 r.</w:t>
      </w:r>
    </w:p>
    <w:p w:rsidR="000178B1" w:rsidRDefault="000178B1" w:rsidP="00666B26">
      <w:pPr>
        <w:pStyle w:val="nadWrOF"/>
      </w:pPr>
      <w:bookmarkStart w:id="125" w:name="_Toc125101163"/>
      <w:bookmarkStart w:id="126" w:name="_Toc143606969"/>
      <w:r w:rsidRPr="00B27A13">
        <w:t xml:space="preserve">Tabela </w:t>
      </w:r>
      <w:r w:rsidR="00C73793" w:rsidRPr="00B27A13">
        <w:fldChar w:fldCharType="begin"/>
      </w:r>
      <w:r w:rsidRPr="00B27A13">
        <w:instrText xml:space="preserve"> SEQ Tabela \* ARABIC </w:instrText>
      </w:r>
      <w:r w:rsidR="00C73793" w:rsidRPr="00B27A13">
        <w:fldChar w:fldCharType="separate"/>
      </w:r>
      <w:r w:rsidR="00C96A96">
        <w:rPr>
          <w:noProof/>
        </w:rPr>
        <w:t>12</w:t>
      </w:r>
      <w:r w:rsidR="00C73793" w:rsidRPr="00B27A13">
        <w:rPr>
          <w:noProof/>
        </w:rPr>
        <w:fldChar w:fldCharType="end"/>
      </w:r>
      <w:r w:rsidRPr="00B27A13">
        <w:t xml:space="preserve"> Przestępstwa i zdarzenia w ruchu drogowym w latach 2017-2021 we WrOF</w:t>
      </w:r>
      <w:bookmarkEnd w:id="125"/>
      <w:bookmarkEnd w:id="126"/>
    </w:p>
    <w:p w:rsidR="00575F4C" w:rsidRPr="00BF5586" w:rsidRDefault="00575F4C" w:rsidP="00575F4C">
      <w:pPr>
        <w:spacing w:before="120" w:after="0" w:line="240" w:lineRule="auto"/>
        <w:rPr>
          <w:sz w:val="24"/>
          <w:szCs w:val="24"/>
        </w:rPr>
      </w:pPr>
      <w:r>
        <w:rPr>
          <w:sz w:val="24"/>
          <w:szCs w:val="24"/>
        </w:rPr>
        <w:t>Przestępstwa</w:t>
      </w:r>
    </w:p>
    <w:tbl>
      <w:tblPr>
        <w:tblStyle w:val="Tabela-Siatka1"/>
        <w:tblW w:w="9322" w:type="dxa"/>
        <w:tblLook w:val="04A0" w:firstRow="1" w:lastRow="0" w:firstColumn="1" w:lastColumn="0" w:noHBand="0" w:noVBand="1"/>
        <w:tblCaption w:val="Przestępstwa w latach 2017-2021 we WrOF"/>
        <w:tblDescription w:val="Przestępstwa w latach 2017-2021 we WrOF. Wyniki omówione w tekście"/>
      </w:tblPr>
      <w:tblGrid>
        <w:gridCol w:w="3114"/>
        <w:gridCol w:w="1076"/>
        <w:gridCol w:w="1218"/>
        <w:gridCol w:w="1218"/>
        <w:gridCol w:w="1218"/>
        <w:gridCol w:w="1478"/>
      </w:tblGrid>
      <w:tr w:rsidR="00575F4C" w:rsidRPr="005B5C76" w:rsidTr="006A36A5">
        <w:trPr>
          <w:trHeight w:val="510"/>
          <w:tblHeader/>
        </w:trPr>
        <w:tc>
          <w:tcPr>
            <w:tcW w:w="3114" w:type="dxa"/>
            <w:vAlign w:val="center"/>
          </w:tcPr>
          <w:p w:rsidR="00575F4C" w:rsidRPr="005B5C76" w:rsidRDefault="00575F4C" w:rsidP="006A36A5">
            <w:pPr>
              <w:spacing w:line="240" w:lineRule="auto"/>
              <w:jc w:val="left"/>
              <w:rPr>
                <w:rFonts w:cstheme="minorHAnsi"/>
                <w:sz w:val="24"/>
                <w:szCs w:val="24"/>
              </w:rPr>
            </w:pP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2017</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2018</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2019</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2020</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2021</w:t>
            </w:r>
          </w:p>
        </w:tc>
      </w:tr>
      <w:tr w:rsidR="00575F4C" w:rsidRPr="005B5C76" w:rsidTr="006A36A5">
        <w:trPr>
          <w:trHeight w:val="283"/>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Ogólna liczba przestępstw</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29 785</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28 913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28 682</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26 670</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29 882</w:t>
            </w:r>
          </w:p>
        </w:tc>
      </w:tr>
      <w:tr w:rsidR="00575F4C" w:rsidRPr="005B5C76" w:rsidTr="006A36A5">
        <w:trPr>
          <w:trHeight w:val="283"/>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 xml:space="preserve">Liczba nieletnich </w:t>
            </w:r>
          </w:p>
          <w:p w:rsidR="00575F4C" w:rsidRPr="005B5C76" w:rsidRDefault="00575F4C" w:rsidP="006A36A5">
            <w:pPr>
              <w:spacing w:line="240" w:lineRule="auto"/>
              <w:jc w:val="left"/>
              <w:rPr>
                <w:rFonts w:cstheme="minorHAnsi"/>
                <w:sz w:val="24"/>
                <w:szCs w:val="24"/>
              </w:rPr>
            </w:pPr>
            <w:r w:rsidRPr="005B5C76">
              <w:rPr>
                <w:rFonts w:cstheme="minorHAnsi"/>
                <w:sz w:val="24"/>
                <w:szCs w:val="24"/>
              </w:rPr>
              <w:t>popełniających przestępstwa</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336</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303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240</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230</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161</w:t>
            </w:r>
          </w:p>
        </w:tc>
      </w:tr>
      <w:tr w:rsidR="00575F4C" w:rsidRPr="005B5C76" w:rsidTr="006A36A5">
        <w:trPr>
          <w:trHeight w:val="283"/>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Wskaźnik wykrywalności sprawców przestępstw stwierdzonych przez Policję</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64,11%</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61,05%</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62,33%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61,07%</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61,88%</w:t>
            </w:r>
          </w:p>
        </w:tc>
      </w:tr>
    </w:tbl>
    <w:p w:rsidR="00575F4C" w:rsidRPr="005B5C76" w:rsidRDefault="00575F4C" w:rsidP="00575F4C">
      <w:pPr>
        <w:spacing w:before="240" w:after="0" w:line="240" w:lineRule="auto"/>
        <w:rPr>
          <w:rFonts w:cstheme="minorHAnsi"/>
          <w:sz w:val="24"/>
          <w:szCs w:val="24"/>
        </w:rPr>
      </w:pPr>
      <w:r w:rsidRPr="005B5C76">
        <w:rPr>
          <w:rFonts w:cstheme="minorHAnsi"/>
          <w:sz w:val="24"/>
          <w:szCs w:val="24"/>
        </w:rPr>
        <w:t>Zdarzenia drogowe</w:t>
      </w:r>
      <w:r w:rsidRPr="005B5C76">
        <w:rPr>
          <w:rFonts w:cstheme="minorHAnsi"/>
          <w:sz w:val="24"/>
          <w:szCs w:val="24"/>
          <w:vertAlign w:val="superscript"/>
        </w:rPr>
        <w:footnoteReference w:id="101"/>
      </w:r>
    </w:p>
    <w:p w:rsidR="00575F4C" w:rsidRPr="005B5C76" w:rsidRDefault="00575F4C" w:rsidP="00575F4C">
      <w:pPr>
        <w:spacing w:after="0" w:line="240" w:lineRule="auto"/>
        <w:rPr>
          <w:sz w:val="2"/>
          <w:szCs w:val="2"/>
        </w:rPr>
      </w:pPr>
    </w:p>
    <w:tbl>
      <w:tblPr>
        <w:tblStyle w:val="Tabela-Siatka1"/>
        <w:tblW w:w="9322" w:type="dxa"/>
        <w:tblLook w:val="04A0" w:firstRow="1" w:lastRow="0" w:firstColumn="1" w:lastColumn="0" w:noHBand="0" w:noVBand="1"/>
        <w:tblCaption w:val="zdarzenia w ruchu drogowym w latach 2017-2021 we WrOF"/>
        <w:tblDescription w:val="zdarzenia w ruchu drogowym w latach 2017-2021 we WrOF. WYniki omówione w tekście"/>
      </w:tblPr>
      <w:tblGrid>
        <w:gridCol w:w="3114"/>
        <w:gridCol w:w="1076"/>
        <w:gridCol w:w="1218"/>
        <w:gridCol w:w="1218"/>
        <w:gridCol w:w="1218"/>
        <w:gridCol w:w="1478"/>
      </w:tblGrid>
      <w:tr w:rsidR="00575F4C" w:rsidRPr="005B5C76" w:rsidTr="006A36A5">
        <w:trPr>
          <w:trHeight w:val="227"/>
          <w:tblHeader/>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Liczba zdarzeń drogowych ogółem</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18 142</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17 825</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18 881</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16 025</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17 766</w:t>
            </w:r>
          </w:p>
        </w:tc>
      </w:tr>
      <w:tr w:rsidR="00575F4C" w:rsidRPr="005B5C76" w:rsidTr="006A36A5">
        <w:trPr>
          <w:trHeight w:val="227"/>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Liczba wypadków</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913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943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816</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654</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842</w:t>
            </w:r>
          </w:p>
        </w:tc>
      </w:tr>
      <w:tr w:rsidR="00575F4C" w:rsidRPr="005B5C76" w:rsidTr="006A36A5">
        <w:trPr>
          <w:trHeight w:val="227"/>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Liczba zabitych</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53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66</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53</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44</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38</w:t>
            </w:r>
          </w:p>
        </w:tc>
      </w:tr>
      <w:tr w:rsidR="00575F4C" w:rsidRPr="005B5C76" w:rsidTr="006A36A5">
        <w:trPr>
          <w:trHeight w:val="227"/>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Liczba rannych</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1 158</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1 127</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974</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725</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967</w:t>
            </w:r>
          </w:p>
        </w:tc>
      </w:tr>
      <w:tr w:rsidR="00575F4C" w:rsidRPr="005B5C76" w:rsidTr="006A36A5">
        <w:trPr>
          <w:trHeight w:val="227"/>
        </w:trPr>
        <w:tc>
          <w:tcPr>
            <w:tcW w:w="3114"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Liczba kolizji</w:t>
            </w:r>
          </w:p>
        </w:tc>
        <w:tc>
          <w:tcPr>
            <w:tcW w:w="1076"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17 187</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16 882</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18 065</w:t>
            </w:r>
          </w:p>
        </w:tc>
        <w:tc>
          <w:tcPr>
            <w:tcW w:w="121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15 371</w:t>
            </w:r>
          </w:p>
        </w:tc>
        <w:tc>
          <w:tcPr>
            <w:tcW w:w="1478" w:type="dxa"/>
            <w:vAlign w:val="center"/>
          </w:tcPr>
          <w:p w:rsidR="00575F4C" w:rsidRPr="005B5C76" w:rsidRDefault="00575F4C" w:rsidP="006A36A5">
            <w:pPr>
              <w:spacing w:line="240" w:lineRule="auto"/>
              <w:jc w:val="left"/>
              <w:rPr>
                <w:rFonts w:cstheme="minorHAnsi"/>
                <w:sz w:val="24"/>
                <w:szCs w:val="24"/>
              </w:rPr>
            </w:pPr>
            <w:r w:rsidRPr="005B5C76">
              <w:rPr>
                <w:rFonts w:cstheme="minorHAnsi"/>
                <w:sz w:val="24"/>
                <w:szCs w:val="24"/>
              </w:rPr>
              <w:t>16 924</w:t>
            </w:r>
          </w:p>
        </w:tc>
      </w:tr>
    </w:tbl>
    <w:p w:rsidR="000178B1" w:rsidRPr="00B27A13" w:rsidRDefault="000178B1" w:rsidP="000178B1">
      <w:pPr>
        <w:pStyle w:val="PODWrof"/>
      </w:pPr>
      <w:r w:rsidRPr="00B27A13">
        <w:t>Źródło: opracowanie włas</w:t>
      </w:r>
      <w:r w:rsidR="00C244C1">
        <w:t>ne na podstawie danych Policji</w:t>
      </w:r>
      <w:r w:rsidR="00575F4C">
        <w:t xml:space="preserve"> </w:t>
      </w:r>
      <w:r w:rsidR="00C244C1" w:rsidRPr="005D6782">
        <w:rPr>
          <w:rStyle w:val="podWrOFZnak0"/>
          <w:rFonts w:asciiTheme="minorHAnsi" w:hAnsiTheme="minorHAnsi" w:cstheme="minorHAnsi"/>
          <w:i/>
          <w:iCs/>
        </w:rPr>
        <w:t>[Stan na: 31.12.2021].</w:t>
      </w:r>
    </w:p>
    <w:p w:rsidR="000178B1" w:rsidRPr="00575F4C" w:rsidRDefault="000178B1" w:rsidP="00575F4C">
      <w:pPr>
        <w:jc w:val="left"/>
        <w:rPr>
          <w:rFonts w:cstheme="minorHAnsi"/>
          <w:sz w:val="24"/>
        </w:rPr>
      </w:pPr>
      <w:r w:rsidRPr="00575F4C">
        <w:rPr>
          <w:rFonts w:cstheme="minorHAnsi"/>
          <w:sz w:val="24"/>
        </w:rPr>
        <w:t>Jednym z aspektów wpływających na poziom odczuwanego bezpieczeństwa wśród mieszkańców jest oświetlenie miejskie i gminne. Ze wzglę</w:t>
      </w:r>
      <w:r w:rsidR="001D1207">
        <w:rPr>
          <w:rFonts w:cstheme="minorHAnsi"/>
          <w:sz w:val="24"/>
        </w:rPr>
        <w:t>du na ogólnoświatowy problem z </w:t>
      </w:r>
      <w:r w:rsidRPr="00575F4C">
        <w:rPr>
          <w:rFonts w:cstheme="minorHAnsi"/>
          <w:sz w:val="24"/>
        </w:rPr>
        <w:t>dostępnością surowców i energii elektrycznej, koszty ponoszone na oświetlanie ulic są wysokie. Czasowe wyłączanie oświetlenia ulicznego w wybranych godzinach jest krótkotrwałym rozwiązaniem – szczególnie w miesiącach jesienno-zimowych, w których ograniczanie oświetlenia może być nie</w:t>
      </w:r>
      <w:r w:rsidR="003B579C" w:rsidRPr="00575F4C">
        <w:rPr>
          <w:rFonts w:cstheme="minorHAnsi"/>
          <w:sz w:val="24"/>
        </w:rPr>
        <w:t>bezpieczne dla </w:t>
      </w:r>
      <w:r w:rsidRPr="00575F4C">
        <w:rPr>
          <w:rFonts w:cstheme="minorHAnsi"/>
          <w:sz w:val="24"/>
        </w:rPr>
        <w:t>uczestników ruchu drogowego. Ponadto brak dostatecznego oświetlenia wpływa na subiektywne poczucie bezpieczeństwa wśród mieszkańców. Z tego względu lepszym rozwiązaniem jest modernizacja, ale również budowa nowego systemu oświetlenia, z uwzględnieniem</w:t>
      </w:r>
      <w:r w:rsidR="001D1207">
        <w:rPr>
          <w:rFonts w:cstheme="minorHAnsi"/>
          <w:sz w:val="24"/>
        </w:rPr>
        <w:t xml:space="preserve"> rozwiązań energooszczędnych. W </w:t>
      </w:r>
      <w:r w:rsidRPr="00575F4C">
        <w:rPr>
          <w:rFonts w:cstheme="minorHAnsi"/>
          <w:sz w:val="24"/>
        </w:rPr>
        <w:t xml:space="preserve">gminach WrOF istnieje potrzeba w tym zakresie, a zastosowanie nowoczesnych technologii pozwoli na zredukowanie ponoszonych kosztów energii oraz poprawę poczucia bezpieczeństwa wśród mieszkańców. W ostatnich latach odnotowuje się stopniowy wzrost wydatków przeznaczonych na oświetlenie ulic, placów i dróg. Według danych GUS w 2017 r. wydatkowano na ten cel około 61 mln zł, a w 2021 r. o 10% więcej – ponad 67 mln zł. Zmniejszenie kwoty wydatków przeznaczonych na ten cel w 2021 r. w porównaniu do 2017 r. wykazano w </w:t>
      </w:r>
      <w:r w:rsidR="00183027" w:rsidRPr="00575F4C">
        <w:rPr>
          <w:rFonts w:cstheme="minorHAnsi"/>
          <w:sz w:val="24"/>
        </w:rPr>
        <w:t xml:space="preserve">gminach: </w:t>
      </w:r>
      <w:r w:rsidRPr="00575F4C">
        <w:rPr>
          <w:rFonts w:cstheme="minorHAnsi"/>
          <w:sz w:val="24"/>
        </w:rPr>
        <w:t>Czernic</w:t>
      </w:r>
      <w:r w:rsidR="00183027" w:rsidRPr="00575F4C">
        <w:rPr>
          <w:rFonts w:cstheme="minorHAnsi"/>
          <w:sz w:val="24"/>
        </w:rPr>
        <w:t>a</w:t>
      </w:r>
      <w:r w:rsidRPr="00575F4C">
        <w:rPr>
          <w:rFonts w:cstheme="minorHAnsi"/>
          <w:sz w:val="24"/>
        </w:rPr>
        <w:t>, Długołę</w:t>
      </w:r>
      <w:r w:rsidR="00183027" w:rsidRPr="00575F4C">
        <w:rPr>
          <w:rFonts w:cstheme="minorHAnsi"/>
          <w:sz w:val="24"/>
        </w:rPr>
        <w:t>ka</w:t>
      </w:r>
      <w:r w:rsidRPr="00575F4C">
        <w:rPr>
          <w:rFonts w:cstheme="minorHAnsi"/>
          <w:sz w:val="24"/>
        </w:rPr>
        <w:t>, Oleśnic</w:t>
      </w:r>
      <w:r w:rsidR="00183027" w:rsidRPr="00575F4C">
        <w:rPr>
          <w:rFonts w:cstheme="minorHAnsi"/>
          <w:sz w:val="24"/>
        </w:rPr>
        <w:t>a</w:t>
      </w:r>
      <w:r w:rsidRPr="00575F4C">
        <w:rPr>
          <w:rFonts w:cstheme="minorHAnsi"/>
          <w:sz w:val="24"/>
        </w:rPr>
        <w:t xml:space="preserve"> (gmina wiejska), Oław</w:t>
      </w:r>
      <w:r w:rsidR="00183027" w:rsidRPr="00575F4C">
        <w:rPr>
          <w:rFonts w:cstheme="minorHAnsi"/>
          <w:sz w:val="24"/>
        </w:rPr>
        <w:t>a</w:t>
      </w:r>
      <w:r w:rsidRPr="00575F4C">
        <w:rPr>
          <w:rFonts w:cstheme="minorHAnsi"/>
          <w:sz w:val="24"/>
        </w:rPr>
        <w:t xml:space="preserve"> (gmina wiejska) i Trzebnic</w:t>
      </w:r>
      <w:r w:rsidR="00183027" w:rsidRPr="00575F4C">
        <w:rPr>
          <w:rFonts w:cstheme="minorHAnsi"/>
          <w:sz w:val="24"/>
        </w:rPr>
        <w:t>a</w:t>
      </w:r>
      <w:r w:rsidRPr="00575F4C">
        <w:rPr>
          <w:rFonts w:cstheme="minorHAnsi"/>
          <w:sz w:val="24"/>
        </w:rPr>
        <w:t>.</w:t>
      </w:r>
    </w:p>
    <w:p w:rsidR="000178B1" w:rsidRPr="00575F4C" w:rsidRDefault="000178B1" w:rsidP="00575F4C">
      <w:pPr>
        <w:jc w:val="left"/>
        <w:rPr>
          <w:rFonts w:cstheme="minorHAnsi"/>
          <w:sz w:val="24"/>
        </w:rPr>
      </w:pPr>
      <w:r w:rsidRPr="00575F4C">
        <w:rPr>
          <w:rFonts w:cstheme="minorHAnsi"/>
          <w:sz w:val="24"/>
        </w:rPr>
        <w:t xml:space="preserve">Poziom odczuwanego bezpieczeństwa wzmacnia również obecność monitoringu miejskiego i gminnego. System kamer pozwala na zachowanie porządku publicznego oraz usprawnia działania różnych służb w sytuacjach kryzysowych. Na terenie WrOF widać zróżnicowanie jeżeli chodzi o posiadanie monitoringu wizyjnego – wykorzystuje się go głównie na terenach miejskich. Z tego względu zachodzi potrzeba rozbudowania lub stworzenia systemu monitoringu na terenach tego pozbawionych, ze szczególnym wskazaniem obszarów wiejskich. </w:t>
      </w:r>
    </w:p>
    <w:p w:rsidR="000178B1" w:rsidRPr="00575F4C" w:rsidRDefault="000178B1" w:rsidP="00575F4C">
      <w:pPr>
        <w:jc w:val="left"/>
        <w:rPr>
          <w:rFonts w:cstheme="minorHAnsi"/>
          <w:sz w:val="24"/>
        </w:rPr>
      </w:pPr>
      <w:r w:rsidRPr="00575F4C">
        <w:rPr>
          <w:rFonts w:cstheme="minorHAnsi"/>
          <w:sz w:val="24"/>
        </w:rPr>
        <w:t>Ponadto wpływ na poczucie bezpieczeństwa, ma również stan i jakość przestrzeni publicznych. Realizacja działań zmierzających w kierunku poprawy bezpieczeństwa publicznego związana jest z takim kształtowaniem przestrzeni publicznej, która ograniczać będzie możliwości wystąpienia zdarzeń negatywnych, jak również przyczyni się do zmniejszenia kosztów, strat oraz wystąpienia zagrożenia dl</w:t>
      </w:r>
      <w:r w:rsidR="001D1207">
        <w:rPr>
          <w:rFonts w:cstheme="minorHAnsi"/>
          <w:sz w:val="24"/>
        </w:rPr>
        <w:t>a życia, zdrowia, mienia, jak i </w:t>
      </w:r>
      <w:r w:rsidRPr="00575F4C">
        <w:rPr>
          <w:rFonts w:cstheme="minorHAnsi"/>
          <w:sz w:val="24"/>
        </w:rPr>
        <w:t>środowiska. Kształtowanie bezpiecznych oraz wysokiej jak</w:t>
      </w:r>
      <w:r w:rsidR="001D1207">
        <w:rPr>
          <w:rFonts w:cstheme="minorHAnsi"/>
          <w:sz w:val="24"/>
        </w:rPr>
        <w:t>ości przestrzeni publicznych (w </w:t>
      </w:r>
      <w:r w:rsidRPr="00575F4C">
        <w:rPr>
          <w:rFonts w:cstheme="minorHAnsi"/>
          <w:sz w:val="24"/>
        </w:rPr>
        <w:t>tym wnętrz podwórzowych) stanowi istotne wyzwanie w kontekście poprawy jakości życia mieszkańców WrOF oraz zwiększenie poziomu</w:t>
      </w:r>
      <w:r w:rsidR="001D1207">
        <w:rPr>
          <w:rFonts w:cstheme="minorHAnsi"/>
          <w:sz w:val="24"/>
        </w:rPr>
        <w:t xml:space="preserve"> odczuwanego bezpieczeństwa. We </w:t>
      </w:r>
      <w:r w:rsidRPr="00575F4C">
        <w:rPr>
          <w:rFonts w:cstheme="minorHAnsi"/>
          <w:sz w:val="24"/>
        </w:rPr>
        <w:t>WrOF konieczna jest zatem fizyczna odnowa przestrzeni publicz</w:t>
      </w:r>
      <w:r w:rsidR="00666B26" w:rsidRPr="00575F4C">
        <w:rPr>
          <w:rFonts w:cstheme="minorHAnsi"/>
          <w:sz w:val="24"/>
        </w:rPr>
        <w:t>nych m.in. podwórek, deptaków i </w:t>
      </w:r>
      <w:r w:rsidRPr="00575F4C">
        <w:rPr>
          <w:rFonts w:cstheme="minorHAnsi"/>
          <w:sz w:val="24"/>
        </w:rPr>
        <w:t>parków, tak aby użytkownicy czuli się tam bezpiecznie.</w:t>
      </w:r>
    </w:p>
    <w:p w:rsidR="000178B1" w:rsidRPr="00575F4C" w:rsidRDefault="000178B1" w:rsidP="00575F4C">
      <w:pPr>
        <w:spacing w:before="240" w:after="0"/>
        <w:jc w:val="left"/>
        <w:rPr>
          <w:rFonts w:cstheme="minorHAnsi"/>
          <w:b/>
          <w:color w:val="276E8B"/>
          <w:sz w:val="24"/>
        </w:rPr>
      </w:pPr>
      <w:r w:rsidRPr="00575F4C">
        <w:rPr>
          <w:rFonts w:cstheme="minorHAnsi"/>
          <w:b/>
          <w:color w:val="276E8B"/>
          <w:sz w:val="24"/>
        </w:rPr>
        <w:t>Zagrożenia naturalne</w:t>
      </w:r>
    </w:p>
    <w:p w:rsidR="000178B1" w:rsidRPr="00575F4C" w:rsidRDefault="000178B1" w:rsidP="00575F4C">
      <w:pPr>
        <w:jc w:val="left"/>
        <w:rPr>
          <w:sz w:val="24"/>
        </w:rPr>
      </w:pPr>
      <w:r w:rsidRPr="00575F4C">
        <w:rPr>
          <w:sz w:val="24"/>
        </w:rPr>
        <w:t>Jednym z istotnych zagrożeń naturalnych we WrOF jest możliwość wystąpienia powodzi. Tereny obejmujące WrOF są narażone na zagrożenia naturalne wynikające z położenia geograficznego obszaru i postępujących zmian klimatycznych. Głównym zagrożeniem dla obszaru są powodzie, co wynika z</w:t>
      </w:r>
      <w:r w:rsidR="00223971" w:rsidRPr="00575F4C">
        <w:rPr>
          <w:sz w:val="24"/>
        </w:rPr>
        <w:t> </w:t>
      </w:r>
      <w:r w:rsidRPr="00575F4C">
        <w:rPr>
          <w:sz w:val="24"/>
        </w:rPr>
        <w:t>obecności rzek, takich jak m.in.: Odra, Oława, Bystrzyca, Strzegomka, Barycz, Czarna Woda, Ślęża oraz Widawa</w:t>
      </w:r>
      <w:r w:rsidR="006C123F" w:rsidRPr="00575F4C">
        <w:rPr>
          <w:sz w:val="24"/>
        </w:rPr>
        <w:t xml:space="preserve"> oraz ich dopływy</w:t>
      </w:r>
      <w:r w:rsidRPr="00575F4C">
        <w:rPr>
          <w:sz w:val="24"/>
        </w:rPr>
        <w:t xml:space="preserve">. Według </w:t>
      </w:r>
      <w:r w:rsidRPr="00575F4C">
        <w:rPr>
          <w:i/>
          <w:sz w:val="24"/>
        </w:rPr>
        <w:t>Wstępnej oceny ryzyka powodziowego</w:t>
      </w:r>
      <w:r w:rsidRPr="00575F4C">
        <w:rPr>
          <w:sz w:val="24"/>
        </w:rPr>
        <w:t>, obszary wokół wymienionych rzek są szczególnie narażone na niebezpieczeństwo wystąpienia powodzi. Przyczyną powodzi rzecznych są długotrwałe opady deszczu i topniejący wiosną śnieg (powodzie wiosenne spowodowane topnieniem śniegu od wielu lat praktycznie nie występują na terenie WrOF). Wynika to przede wszystkim z ocieplania się klimatu. Nie oznacza to jednak, że tego typ</w:t>
      </w:r>
      <w:r w:rsidR="001D1207">
        <w:rPr>
          <w:sz w:val="24"/>
        </w:rPr>
        <w:t>u powódź na pewno nie wystąpi w </w:t>
      </w:r>
      <w:r w:rsidRPr="00575F4C">
        <w:rPr>
          <w:sz w:val="24"/>
        </w:rPr>
        <w:t>przyszłości. Część terenów WrOF jest także narażona na wystąpienie powodzi w przypadku zniszczenia budowli piętrzących.</w:t>
      </w:r>
    </w:p>
    <w:p w:rsidR="000178B1" w:rsidRPr="00575F4C" w:rsidRDefault="000178B1" w:rsidP="00575F4C">
      <w:pPr>
        <w:jc w:val="left"/>
        <w:rPr>
          <w:rFonts w:cstheme="minorHAnsi"/>
          <w:sz w:val="24"/>
        </w:rPr>
      </w:pPr>
      <w:r w:rsidRPr="00575F4C">
        <w:rPr>
          <w:rFonts w:cstheme="minorHAnsi"/>
          <w:sz w:val="24"/>
        </w:rPr>
        <w:t>Obszary dotknięte zagrożeniem powodziowym zajmują dość duż</w:t>
      </w:r>
      <w:r w:rsidR="009447E1" w:rsidRPr="00575F4C">
        <w:rPr>
          <w:rFonts w:cstheme="minorHAnsi"/>
          <w:sz w:val="24"/>
        </w:rPr>
        <w:t>ą powierzchnię terenów WrOF. Co </w:t>
      </w:r>
      <w:r w:rsidRPr="00575F4C">
        <w:rPr>
          <w:rFonts w:cstheme="minorHAnsi"/>
          <w:sz w:val="24"/>
        </w:rPr>
        <w:t>roku dochodzi do mniejszych lub większych podtopień powodujących straty materialne. Budowa wałów przeciwpowodziowych nie zawsze jest wystarczająca – ważną kwestią jest zwiększenie poziomu retencjonowania wody. W tym kontekście kluczowe jest także wyeliminowanie lub zmniejszenie zagospodarowania obszarów szczególnie narażonych na powódź.</w:t>
      </w:r>
    </w:p>
    <w:p w:rsidR="000178B1" w:rsidRPr="00575F4C" w:rsidRDefault="000178B1" w:rsidP="00575F4C">
      <w:pPr>
        <w:jc w:val="left"/>
        <w:rPr>
          <w:rFonts w:cstheme="minorHAnsi"/>
          <w:sz w:val="24"/>
        </w:rPr>
      </w:pPr>
      <w:r w:rsidRPr="00575F4C">
        <w:rPr>
          <w:rFonts w:cstheme="minorHAnsi"/>
          <w:sz w:val="24"/>
        </w:rPr>
        <w:t>Gwałtowne deszcze nawalne pojawiające się po okresach suszy, będą powodować zwiększone ryzyko powodziowe. Coraz większe zagrożenie stanowią tzw. powodzie miejskie będące skutkiem deszczy nawalnych. Powodzie tego typu mają charakter lokalny i występują na skutek niemożności odprowadzania wód opadowych w terenach zurbanizowanych – ze względu na zbyt duże uszczelnienie nawierzchni (</w:t>
      </w:r>
      <w:r w:rsidR="005057A3" w:rsidRPr="00575F4C">
        <w:rPr>
          <w:rFonts w:cstheme="minorHAnsi"/>
          <w:sz w:val="24"/>
        </w:rPr>
        <w:t xml:space="preserve">tzw. </w:t>
      </w:r>
      <w:r w:rsidRPr="00575F4C">
        <w:rPr>
          <w:rFonts w:cstheme="minorHAnsi"/>
          <w:sz w:val="24"/>
        </w:rPr>
        <w:t>powszechna „</w:t>
      </w:r>
      <w:proofErr w:type="spellStart"/>
      <w:r w:rsidRPr="00575F4C">
        <w:rPr>
          <w:rFonts w:cstheme="minorHAnsi"/>
          <w:sz w:val="24"/>
        </w:rPr>
        <w:t>betonoza</w:t>
      </w:r>
      <w:proofErr w:type="spellEnd"/>
      <w:r w:rsidRPr="00575F4C">
        <w:rPr>
          <w:rFonts w:cstheme="minorHAnsi"/>
          <w:sz w:val="24"/>
        </w:rPr>
        <w:t>”). Powódź miejska jest dużym zagrożeniem, które może w</w:t>
      </w:r>
      <w:r w:rsidR="00223971" w:rsidRPr="00575F4C">
        <w:rPr>
          <w:rFonts w:cstheme="minorHAnsi"/>
          <w:sz w:val="24"/>
        </w:rPr>
        <w:t> </w:t>
      </w:r>
      <w:r w:rsidRPr="00575F4C">
        <w:rPr>
          <w:rFonts w:cstheme="minorHAnsi"/>
          <w:sz w:val="24"/>
        </w:rPr>
        <w:t>przyszłości osiągnąć krytyczną częstotliwość występowania</w:t>
      </w:r>
      <w:r w:rsidRPr="00575F4C">
        <w:rPr>
          <w:rFonts w:cstheme="minorHAnsi"/>
          <w:sz w:val="24"/>
          <w:vertAlign w:val="superscript"/>
        </w:rPr>
        <w:footnoteReference w:id="102"/>
      </w:r>
      <w:r w:rsidRPr="00575F4C">
        <w:rPr>
          <w:rFonts w:cstheme="minorHAnsi"/>
          <w:sz w:val="24"/>
        </w:rPr>
        <w:t>.</w:t>
      </w:r>
    </w:p>
    <w:p w:rsidR="000178B1" w:rsidRPr="00575F4C" w:rsidRDefault="000178B1" w:rsidP="00575F4C">
      <w:pPr>
        <w:jc w:val="left"/>
        <w:rPr>
          <w:rFonts w:cstheme="minorHAnsi"/>
          <w:sz w:val="24"/>
        </w:rPr>
      </w:pPr>
      <w:r w:rsidRPr="00575F4C">
        <w:rPr>
          <w:rFonts w:cstheme="minorHAnsi"/>
          <w:sz w:val="24"/>
        </w:rPr>
        <w:t xml:space="preserve">Drugim ekstremalnym zjawiskiem pogodowym, związanym ze zmianami klimatycznymi, jest susza. Według </w:t>
      </w:r>
      <w:r w:rsidRPr="00575F4C">
        <w:rPr>
          <w:rFonts w:cstheme="minorHAnsi"/>
          <w:i/>
          <w:sz w:val="24"/>
        </w:rPr>
        <w:t>Planu przeciwdziałania skutkom suszy</w:t>
      </w:r>
      <w:r w:rsidRPr="00575F4C">
        <w:rPr>
          <w:rFonts w:cstheme="minorHAnsi"/>
          <w:sz w:val="24"/>
        </w:rPr>
        <w:t xml:space="preserve"> obszar WrOF jest w większości silnie lub ekstremalnie zagrożony wystąpieniem suszy (łączne zagrożenie suszą). Aby przeciwdziałać wskazanym zagrożeniom należy również prowadzić działania mające na celu zwiększenie ilości oraz czasu retencji wód na gruntach rolnych i leśnych czy retencjonowanie i zagospodarowanie wód opadowych, a także roztopowych na terenach zurbanizowanych.</w:t>
      </w:r>
      <w:r w:rsidR="00D47FA6" w:rsidRPr="00575F4C">
        <w:rPr>
          <w:rFonts w:cstheme="minorHAnsi"/>
          <w:sz w:val="24"/>
        </w:rPr>
        <w:t xml:space="preserve"> </w:t>
      </w:r>
      <w:r w:rsidR="001D1207">
        <w:rPr>
          <w:rFonts w:cstheme="minorHAnsi"/>
          <w:sz w:val="24"/>
        </w:rPr>
        <w:t>W </w:t>
      </w:r>
      <w:r w:rsidRPr="00575F4C">
        <w:rPr>
          <w:rFonts w:cstheme="minorHAnsi"/>
          <w:sz w:val="24"/>
        </w:rPr>
        <w:t>zakresie zagrożenia suszą rolniczą, cały obszar WrOF zaliczono do klasy IV – ekstremalnie zagrożone (poza Wrocławiem, który zaliczono do klasy III – silnie zagrożone). Zagrożenie suszą hydrogeologiczną jest mocno zróżnicowane na terenie całego WrOF. Natomiast zagrożenie suszą hydrologiczną jest niskie (klasa I</w:t>
      </w:r>
      <w:r w:rsidR="00D47FA6" w:rsidRPr="00575F4C">
        <w:rPr>
          <w:rFonts w:cstheme="minorHAnsi"/>
          <w:sz w:val="24"/>
        </w:rPr>
        <w:t xml:space="preserve"> – słabo za</w:t>
      </w:r>
      <w:r w:rsidR="003B579C" w:rsidRPr="00575F4C">
        <w:rPr>
          <w:rFonts w:cstheme="minorHAnsi"/>
          <w:sz w:val="24"/>
        </w:rPr>
        <w:t>grożone) – jedynie w południowo</w:t>
      </w:r>
      <w:r w:rsidR="00D47FA6" w:rsidRPr="00575F4C">
        <w:rPr>
          <w:rFonts w:cstheme="minorHAnsi"/>
          <w:sz w:val="24"/>
        </w:rPr>
        <w:t>-</w:t>
      </w:r>
      <w:r w:rsidR="003B579C" w:rsidRPr="00575F4C">
        <w:rPr>
          <w:rFonts w:cstheme="minorHAnsi"/>
          <w:sz w:val="24"/>
        </w:rPr>
        <w:t>zachodniej</w:t>
      </w:r>
      <w:r w:rsidRPr="00575F4C">
        <w:rPr>
          <w:rFonts w:cstheme="minorHAnsi"/>
          <w:sz w:val="24"/>
        </w:rPr>
        <w:t xml:space="preserve"> części WrOF występują tereny zaliczone do klasy II – umiarkowanie zagrożone.</w:t>
      </w:r>
    </w:p>
    <w:p w:rsidR="000178B1" w:rsidRDefault="000178B1" w:rsidP="00575F4C">
      <w:pPr>
        <w:jc w:val="left"/>
        <w:rPr>
          <w:rFonts w:cstheme="minorHAnsi"/>
          <w:sz w:val="24"/>
        </w:rPr>
      </w:pPr>
      <w:r w:rsidRPr="00575F4C">
        <w:rPr>
          <w:rFonts w:cstheme="minorHAnsi"/>
          <w:sz w:val="24"/>
        </w:rPr>
        <w:t>Upały są szczególnie uciążliwe dla mieszkańców terenów gęsto zabudowanych, takich jak miasta, w których występuje zjawisko tzw. wysp ciepła, powodujących podwyższenie temperatury powietrza w mieście. Ponadto Wrocław i jego okoliczne tereny są szczególnie narażone na zjawisko suszy, ze względu na położenie w tzw. wrocławsko-opolskim obszarze ciepła, w którym średnia roczna temperatura powietrza jest wyższa, niż w innych częściach kraju. Aby przystosować się do zmian klimatu, koniecznym jest rozwój zielonej i niebieskiej infrastruktury, poprawiającej bezpieczeństwo i jakość życia we WrOF. Rozwój tej infrastruktury zminimalizuje negatywny wpływ miejskiej wyspy ciepła oraz pomoże ogranicz</w:t>
      </w:r>
      <w:r w:rsidR="00CA57D6" w:rsidRPr="00575F4C">
        <w:rPr>
          <w:rFonts w:cstheme="minorHAnsi"/>
          <w:sz w:val="24"/>
        </w:rPr>
        <w:t>yć gwałtowne powodzie miejskie.</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575F4C" w:rsidRPr="00800D30" w:rsidTr="006A36A5">
        <w:trPr>
          <w:trHeight w:val="510"/>
          <w:tblHeader/>
        </w:trPr>
        <w:tc>
          <w:tcPr>
            <w:tcW w:w="9062" w:type="dxa"/>
            <w:vAlign w:val="center"/>
          </w:tcPr>
          <w:p w:rsidR="00575F4C" w:rsidRPr="00800D30" w:rsidRDefault="00575F4C" w:rsidP="006A36A5">
            <w:pPr>
              <w:spacing w:line="240" w:lineRule="auto"/>
              <w:jc w:val="left"/>
              <w:rPr>
                <w:b/>
                <w:sz w:val="24"/>
              </w:rPr>
            </w:pPr>
            <w:r w:rsidRPr="00800D30">
              <w:rPr>
                <w:b/>
                <w:sz w:val="24"/>
              </w:rPr>
              <w:t>Kluczowe wyzwania strategiczne</w:t>
            </w:r>
          </w:p>
        </w:tc>
      </w:tr>
      <w:tr w:rsidR="00575F4C" w:rsidTr="00575F4C">
        <w:trPr>
          <w:trHeight w:val="737"/>
        </w:trPr>
        <w:tc>
          <w:tcPr>
            <w:tcW w:w="9062" w:type="dxa"/>
            <w:vAlign w:val="center"/>
          </w:tcPr>
          <w:p w:rsidR="00575F4C" w:rsidRDefault="00575F4C" w:rsidP="00575F4C">
            <w:pPr>
              <w:spacing w:line="240" w:lineRule="auto"/>
              <w:jc w:val="left"/>
              <w:rPr>
                <w:rFonts w:cstheme="minorHAnsi"/>
                <w:szCs w:val="20"/>
              </w:rPr>
            </w:pPr>
            <w:r w:rsidRPr="00DB52CE">
              <w:rPr>
                <w:rFonts w:cstheme="minorHAnsi"/>
                <w:szCs w:val="20"/>
              </w:rPr>
              <w:t xml:space="preserve">Jednym z istotnych wyzwań na terenie WrOF będzie zapewnienie </w:t>
            </w:r>
          </w:p>
          <w:p w:rsidR="00575F4C" w:rsidRDefault="00575F4C" w:rsidP="00575F4C">
            <w:pPr>
              <w:spacing w:line="240" w:lineRule="auto"/>
              <w:jc w:val="left"/>
              <w:rPr>
                <w:rFonts w:cstheme="minorHAnsi"/>
                <w:szCs w:val="20"/>
              </w:rPr>
            </w:pPr>
            <w:r w:rsidRPr="00DB52CE">
              <w:rPr>
                <w:rFonts w:cstheme="minorHAnsi"/>
                <w:szCs w:val="20"/>
              </w:rPr>
              <w:t xml:space="preserve">bezpieczeństwa komunikacyjnego. Dotyczy to przede wszystkim transportu </w:t>
            </w:r>
          </w:p>
          <w:p w:rsidR="00575F4C" w:rsidRPr="00DB52CE" w:rsidRDefault="00575F4C" w:rsidP="00575F4C">
            <w:pPr>
              <w:spacing w:line="240" w:lineRule="auto"/>
              <w:jc w:val="left"/>
              <w:rPr>
                <w:rFonts w:cstheme="minorHAnsi"/>
                <w:szCs w:val="20"/>
              </w:rPr>
            </w:pPr>
            <w:r w:rsidRPr="00DB52CE">
              <w:rPr>
                <w:rFonts w:cstheme="minorHAnsi"/>
                <w:szCs w:val="20"/>
              </w:rPr>
              <w:t>drogowego – samochodowego, rowerowego oraz pieszego. W najbliższych latach, w celu poprawy bezpieczeństwa, należy zadbać w pierwszej kolejności o bezpieczeństwo pieszych i rowerzystów – poprzez odpowiednie rozwiązania architektoniczne.</w:t>
            </w:r>
          </w:p>
        </w:tc>
      </w:tr>
      <w:tr w:rsidR="00575F4C" w:rsidTr="00575F4C">
        <w:trPr>
          <w:trHeight w:val="737"/>
        </w:trPr>
        <w:tc>
          <w:tcPr>
            <w:tcW w:w="9062" w:type="dxa"/>
            <w:vAlign w:val="center"/>
          </w:tcPr>
          <w:p w:rsidR="00575F4C" w:rsidRPr="00DB52CE" w:rsidRDefault="00575F4C" w:rsidP="00575F4C">
            <w:pPr>
              <w:spacing w:line="240" w:lineRule="auto"/>
              <w:jc w:val="left"/>
              <w:rPr>
                <w:rFonts w:cstheme="minorHAnsi"/>
                <w:szCs w:val="20"/>
              </w:rPr>
            </w:pPr>
            <w:r>
              <w:rPr>
                <w:rFonts w:cstheme="minorHAnsi"/>
                <w:szCs w:val="20"/>
              </w:rPr>
              <w:t>Szczególnie istotne są</w:t>
            </w:r>
            <w:r w:rsidRPr="00882397">
              <w:rPr>
                <w:rFonts w:cstheme="minorHAnsi"/>
                <w:color w:val="000000" w:themeColor="text1"/>
                <w:szCs w:val="20"/>
              </w:rPr>
              <w:t xml:space="preserve"> przedsięwzięcia</w:t>
            </w:r>
            <w:r>
              <w:rPr>
                <w:rFonts w:cstheme="minorHAnsi"/>
                <w:color w:val="000000" w:themeColor="text1"/>
                <w:szCs w:val="20"/>
              </w:rPr>
              <w:t xml:space="preserve"> związane z utworzeniem, </w:t>
            </w:r>
            <w:r w:rsidRPr="00882397">
              <w:rPr>
                <w:rFonts w:cstheme="minorHAnsi"/>
                <w:color w:val="000000" w:themeColor="text1"/>
                <w:szCs w:val="20"/>
              </w:rPr>
              <w:t>fizyczn</w:t>
            </w:r>
            <w:r>
              <w:rPr>
                <w:rFonts w:cstheme="minorHAnsi"/>
                <w:color w:val="000000" w:themeColor="text1"/>
                <w:szCs w:val="20"/>
              </w:rPr>
              <w:t>ą</w:t>
            </w:r>
            <w:r w:rsidRPr="00882397">
              <w:rPr>
                <w:rFonts w:cstheme="minorHAnsi"/>
                <w:color w:val="000000" w:themeColor="text1"/>
                <w:szCs w:val="20"/>
              </w:rPr>
              <w:t xml:space="preserve"> odnow</w:t>
            </w:r>
            <w:r>
              <w:rPr>
                <w:rFonts w:cstheme="minorHAnsi"/>
                <w:color w:val="000000" w:themeColor="text1"/>
                <w:szCs w:val="20"/>
              </w:rPr>
              <w:t>ą i </w:t>
            </w:r>
            <w:r w:rsidRPr="00882397">
              <w:rPr>
                <w:rFonts w:cstheme="minorHAnsi"/>
                <w:color w:val="000000" w:themeColor="text1"/>
                <w:szCs w:val="20"/>
              </w:rPr>
              <w:t>bezpieczeństw</w:t>
            </w:r>
            <w:r>
              <w:rPr>
                <w:rFonts w:cstheme="minorHAnsi"/>
                <w:color w:val="000000" w:themeColor="text1"/>
                <w:szCs w:val="20"/>
              </w:rPr>
              <w:t>em wszelkich przestrzeni publicznych.</w:t>
            </w:r>
          </w:p>
        </w:tc>
      </w:tr>
      <w:tr w:rsidR="00575F4C" w:rsidTr="00575F4C">
        <w:trPr>
          <w:trHeight w:val="737"/>
        </w:trPr>
        <w:tc>
          <w:tcPr>
            <w:tcW w:w="9062" w:type="dxa"/>
            <w:vAlign w:val="center"/>
          </w:tcPr>
          <w:p w:rsidR="00575F4C" w:rsidRPr="00DB52CE" w:rsidRDefault="00575F4C" w:rsidP="00575F4C">
            <w:pPr>
              <w:spacing w:line="240" w:lineRule="auto"/>
              <w:jc w:val="left"/>
              <w:rPr>
                <w:rFonts w:cstheme="minorHAnsi"/>
                <w:szCs w:val="20"/>
                <w:highlight w:val="yellow"/>
              </w:rPr>
            </w:pPr>
            <w:r w:rsidRPr="00DB52CE">
              <w:rPr>
                <w:rFonts w:cstheme="minorHAnsi"/>
                <w:szCs w:val="20"/>
              </w:rPr>
              <w:t>Z punktu widzenia zwiększenia poczucia bezpieczeństwa mieszkańców i porządku publicznego istotne jest rozbudowanie monitoringu w gminach WrOF.</w:t>
            </w:r>
          </w:p>
        </w:tc>
      </w:tr>
      <w:tr w:rsidR="00575F4C" w:rsidTr="00575F4C">
        <w:trPr>
          <w:trHeight w:val="737"/>
        </w:trPr>
        <w:tc>
          <w:tcPr>
            <w:tcW w:w="9062" w:type="dxa"/>
            <w:vAlign w:val="center"/>
          </w:tcPr>
          <w:p w:rsidR="00575F4C" w:rsidRPr="00DB52CE" w:rsidRDefault="00575F4C" w:rsidP="00575F4C">
            <w:pPr>
              <w:spacing w:line="240" w:lineRule="auto"/>
              <w:jc w:val="left"/>
              <w:rPr>
                <w:rFonts w:cstheme="minorHAnsi"/>
                <w:szCs w:val="20"/>
                <w:highlight w:val="yellow"/>
              </w:rPr>
            </w:pPr>
            <w:r w:rsidRPr="00DB52CE">
              <w:rPr>
                <w:rFonts w:cstheme="minorHAnsi"/>
                <w:szCs w:val="20"/>
              </w:rPr>
              <w:t>Postępujące zmiany klimatu i identyfikowane problemy związane z zagrożeniem powodzią i suszą, wiążą się z koniecznością dostosowania obecnej infrastruktury technicznej do tych zmian, wsparcia mieszkańców w tym zakresie oraz zapobiegania możliwym negatywnym skutkom wystąpienia zjawisk ekstremalnych.</w:t>
            </w:r>
          </w:p>
        </w:tc>
      </w:tr>
      <w:tr w:rsidR="00575F4C" w:rsidTr="00575F4C">
        <w:trPr>
          <w:trHeight w:val="737"/>
        </w:trPr>
        <w:tc>
          <w:tcPr>
            <w:tcW w:w="9062" w:type="dxa"/>
            <w:vAlign w:val="center"/>
          </w:tcPr>
          <w:p w:rsidR="00575F4C" w:rsidRPr="00DB52CE" w:rsidRDefault="00575F4C" w:rsidP="00575F4C">
            <w:pPr>
              <w:autoSpaceDE w:val="0"/>
              <w:autoSpaceDN w:val="0"/>
              <w:adjustRightInd w:val="0"/>
              <w:spacing w:line="240" w:lineRule="auto"/>
              <w:jc w:val="left"/>
              <w:rPr>
                <w:rFonts w:cstheme="minorHAnsi"/>
                <w:szCs w:val="20"/>
              </w:rPr>
            </w:pPr>
            <w:r w:rsidRPr="00DB52CE">
              <w:rPr>
                <w:rFonts w:cstheme="minorHAnsi"/>
                <w:szCs w:val="20"/>
              </w:rPr>
              <w:t>Konflikt na Ukrainie przypomniał o konieczności utrzymywania infrastruktury obronnej. Problemem całego kraju, w tym Wrocławskiego Obszaru Funkcjonalnego, jest niedostosowanie infrastruktury obronnej - brakuje m.in. schronów, a te istniejące często nie nadają się do użytku. Zapewnienie bezpieczeństwa mieszkańcom w razie nieprzewidzianych sytuacji jest dużym wyzwaniem. Z tego względu konieczne jest modernizowanie i rozwijanie infrastruktury obronnej.</w:t>
            </w:r>
          </w:p>
        </w:tc>
      </w:tr>
    </w:tbl>
    <w:p w:rsidR="000178B1" w:rsidRPr="00666B26" w:rsidRDefault="00DB52CE" w:rsidP="00D47FA6">
      <w:pPr>
        <w:pStyle w:val="Nagwek2"/>
        <w:spacing w:before="480"/>
      </w:pPr>
      <w:bookmarkStart w:id="127" w:name="_Toc124767666"/>
      <w:bookmarkStart w:id="128" w:name="_Toc125707452"/>
      <w:bookmarkStart w:id="129" w:name="_Toc143673213"/>
      <w:r w:rsidRPr="00666B26">
        <w:t>II.</w:t>
      </w:r>
      <w:r w:rsidR="00187AED" w:rsidRPr="00666B26">
        <w:t>10</w:t>
      </w:r>
      <w:r w:rsidR="000178B1" w:rsidRPr="00666B26">
        <w:t xml:space="preserve"> Polityka społeczna</w:t>
      </w:r>
      <w:bookmarkEnd w:id="127"/>
      <w:bookmarkEnd w:id="128"/>
      <w:bookmarkEnd w:id="129"/>
    </w:p>
    <w:p w:rsidR="000178B1" w:rsidRPr="00575F4C" w:rsidRDefault="000178B1" w:rsidP="00575F4C">
      <w:pPr>
        <w:jc w:val="left"/>
        <w:rPr>
          <w:rFonts w:cs="Calibri"/>
          <w:sz w:val="24"/>
        </w:rPr>
      </w:pPr>
      <w:r w:rsidRPr="00575F4C">
        <w:rPr>
          <w:rFonts w:cs="Calibri"/>
          <w:sz w:val="24"/>
        </w:rPr>
        <w:t>Rozdział podejmuje kwestie najważnie</w:t>
      </w:r>
      <w:r w:rsidR="00DB52CE" w:rsidRPr="00575F4C">
        <w:rPr>
          <w:rFonts w:cs="Calibri"/>
          <w:sz w:val="24"/>
        </w:rPr>
        <w:t>jszych problemów społecznych i </w:t>
      </w:r>
      <w:r w:rsidRPr="00575F4C">
        <w:rPr>
          <w:rFonts w:cs="Calibri"/>
          <w:sz w:val="24"/>
        </w:rPr>
        <w:t>wyzwań, przed jakim stoją samorządy WrOF w stosunku do polityki społecznej.</w:t>
      </w:r>
    </w:p>
    <w:p w:rsidR="000178B1" w:rsidRPr="00575F4C" w:rsidRDefault="000178B1" w:rsidP="00575F4C">
      <w:pPr>
        <w:spacing w:before="240" w:after="0"/>
        <w:jc w:val="left"/>
        <w:rPr>
          <w:rFonts w:cstheme="minorHAnsi"/>
          <w:b/>
          <w:color w:val="000000" w:themeColor="text1"/>
          <w:sz w:val="24"/>
        </w:rPr>
      </w:pPr>
      <w:r w:rsidRPr="00575F4C">
        <w:rPr>
          <w:rFonts w:cstheme="minorHAnsi"/>
          <w:b/>
          <w:color w:val="000000" w:themeColor="text1"/>
          <w:sz w:val="24"/>
        </w:rPr>
        <w:t>Pomoc społeczna</w:t>
      </w:r>
    </w:p>
    <w:p w:rsidR="000178B1" w:rsidRPr="00575F4C" w:rsidRDefault="000178B1" w:rsidP="00575F4C">
      <w:pPr>
        <w:spacing w:after="120"/>
        <w:jc w:val="left"/>
        <w:rPr>
          <w:rFonts w:cs="Calibri"/>
          <w:sz w:val="24"/>
        </w:rPr>
      </w:pPr>
      <w:r w:rsidRPr="00575F4C">
        <w:rPr>
          <w:rFonts w:cs="Calibri"/>
          <w:sz w:val="24"/>
        </w:rPr>
        <w:t>Podstawowym miernikiem skali udzielanej pomocy społecznej jest liczba beneficjentów środowiskowej pomocy społecznej (świadczenia realizowane przez ośrodki pomocy społecznej w miejscu zamieszkania świadczeniobiorcy) na 10 tys. mieszkańców.</w:t>
      </w:r>
      <w:r w:rsidR="00AC7054" w:rsidRPr="00575F4C">
        <w:rPr>
          <w:rFonts w:cs="Calibri"/>
          <w:sz w:val="24"/>
        </w:rPr>
        <w:t xml:space="preserve"> </w:t>
      </w:r>
      <w:r w:rsidR="001D1207">
        <w:rPr>
          <w:rFonts w:cs="Calibri"/>
          <w:sz w:val="24"/>
        </w:rPr>
        <w:t>W Polsce w </w:t>
      </w:r>
      <w:r w:rsidR="003A6136" w:rsidRPr="00575F4C">
        <w:rPr>
          <w:rFonts w:cs="Calibri"/>
          <w:sz w:val="24"/>
        </w:rPr>
        <w:t>2020 r. liczba beneficjentów środowiskowej pomocy społecznej w przeliczeniu na 10 tys. mieszkańców wyniosła 414, natomiast we Wrocławskim Obszar</w:t>
      </w:r>
      <w:r w:rsidR="001D1207">
        <w:rPr>
          <w:rFonts w:cs="Calibri"/>
          <w:sz w:val="24"/>
        </w:rPr>
        <w:t>ze Funkcjonalnym 151, tj. o </w:t>
      </w:r>
      <w:r w:rsidR="003A6136" w:rsidRPr="00575F4C">
        <w:rPr>
          <w:rFonts w:cs="Calibri"/>
          <w:sz w:val="24"/>
        </w:rPr>
        <w:t>ponad połowę mniej,</w:t>
      </w:r>
      <w:r w:rsidR="00D47FA6" w:rsidRPr="00575F4C">
        <w:rPr>
          <w:rFonts w:cs="Calibri"/>
          <w:sz w:val="24"/>
        </w:rPr>
        <w:t xml:space="preserve"> co </w:t>
      </w:r>
      <w:r w:rsidR="003A6136" w:rsidRPr="00575F4C">
        <w:rPr>
          <w:rFonts w:cs="Calibri"/>
          <w:sz w:val="24"/>
        </w:rPr>
        <w:t xml:space="preserve">może </w:t>
      </w:r>
      <w:r w:rsidR="00D47FA6" w:rsidRPr="00575F4C">
        <w:rPr>
          <w:rFonts w:cs="Calibri"/>
          <w:sz w:val="24"/>
        </w:rPr>
        <w:t xml:space="preserve">świadczyć o </w:t>
      </w:r>
      <w:r w:rsidR="003A6136" w:rsidRPr="00575F4C">
        <w:rPr>
          <w:rFonts w:cs="Calibri"/>
          <w:sz w:val="24"/>
        </w:rPr>
        <w:t>mniejszym natężeniu skali problemów społecznych mieszkańców, większej zasobności materialnej oraz większej aktywności społeczno-zawodowej mieszkańców obszaru</w:t>
      </w:r>
      <w:r w:rsidR="004E22EF" w:rsidRPr="00575F4C">
        <w:rPr>
          <w:rFonts w:cs="Calibri"/>
          <w:sz w:val="24"/>
        </w:rPr>
        <w:t>.</w:t>
      </w:r>
      <w:r w:rsidR="00D47FA6" w:rsidRPr="00575F4C">
        <w:rPr>
          <w:rFonts w:cs="Calibri"/>
          <w:sz w:val="24"/>
        </w:rPr>
        <w:t xml:space="preserve"> </w:t>
      </w:r>
      <w:r w:rsidR="00EB70C3" w:rsidRPr="00575F4C">
        <w:rPr>
          <w:rFonts w:cs="Calibri"/>
          <w:sz w:val="24"/>
        </w:rPr>
        <w:t>Największa liczba beneficjentów środowiskowej pomocy społecznej, w przeliczeniu na 10 tys. mieszkańców, występuje w</w:t>
      </w:r>
      <w:r w:rsidR="001D1207">
        <w:rPr>
          <w:rFonts w:cs="Calibri"/>
          <w:sz w:val="24"/>
        </w:rPr>
        <w:t> </w:t>
      </w:r>
      <w:r w:rsidR="00EB70C3" w:rsidRPr="00575F4C">
        <w:rPr>
          <w:rFonts w:cs="Calibri"/>
          <w:sz w:val="24"/>
        </w:rPr>
        <w:t>gminie: Zawonia</w:t>
      </w:r>
      <w:r w:rsidR="005057A3" w:rsidRPr="00575F4C">
        <w:rPr>
          <w:rFonts w:cs="Calibri"/>
          <w:sz w:val="24"/>
        </w:rPr>
        <w:t xml:space="preserve"> </w:t>
      </w:r>
      <w:r w:rsidR="00D47FA6" w:rsidRPr="00575F4C">
        <w:rPr>
          <w:rFonts w:cs="Calibri"/>
          <w:sz w:val="24"/>
        </w:rPr>
        <w:t xml:space="preserve">– </w:t>
      </w:r>
      <w:r w:rsidR="00EB70C3" w:rsidRPr="00575F4C">
        <w:rPr>
          <w:rFonts w:cs="Calibri"/>
          <w:sz w:val="24"/>
        </w:rPr>
        <w:t>620 osób, Dobroszyc</w:t>
      </w:r>
      <w:r w:rsidR="00D47FA6" w:rsidRPr="00575F4C">
        <w:rPr>
          <w:rFonts w:cs="Calibri"/>
          <w:sz w:val="24"/>
        </w:rPr>
        <w:t xml:space="preserve">e – </w:t>
      </w:r>
      <w:r w:rsidR="00EB70C3" w:rsidRPr="00575F4C">
        <w:rPr>
          <w:rFonts w:cs="Calibri"/>
          <w:sz w:val="24"/>
        </w:rPr>
        <w:t>436</w:t>
      </w:r>
      <w:r w:rsidR="00D47FA6" w:rsidRPr="00575F4C">
        <w:rPr>
          <w:rFonts w:cs="Calibri"/>
          <w:sz w:val="24"/>
        </w:rPr>
        <w:t xml:space="preserve"> oraz </w:t>
      </w:r>
      <w:r w:rsidR="00EB70C3" w:rsidRPr="00575F4C">
        <w:rPr>
          <w:rFonts w:cs="Calibri"/>
          <w:sz w:val="24"/>
        </w:rPr>
        <w:t>Sobótka</w:t>
      </w:r>
      <w:r w:rsidR="00D47FA6" w:rsidRPr="00575F4C">
        <w:rPr>
          <w:rFonts w:cs="Calibri"/>
          <w:sz w:val="24"/>
        </w:rPr>
        <w:t xml:space="preserve"> – </w:t>
      </w:r>
      <w:r w:rsidR="00EB70C3" w:rsidRPr="00575F4C">
        <w:rPr>
          <w:rFonts w:cs="Calibri"/>
          <w:sz w:val="24"/>
        </w:rPr>
        <w:t>299. Natomiast najmniej zamieszkuje gminy: Miękinia, Długołęka</w:t>
      </w:r>
      <w:r w:rsidR="00D47FA6" w:rsidRPr="00575F4C">
        <w:rPr>
          <w:rFonts w:cs="Calibri"/>
          <w:sz w:val="24"/>
        </w:rPr>
        <w:t xml:space="preserve"> i </w:t>
      </w:r>
      <w:r w:rsidRPr="00575F4C">
        <w:rPr>
          <w:rFonts w:cs="Calibri"/>
          <w:sz w:val="24"/>
        </w:rPr>
        <w:t>Kąty Wrocławskie. Można zauważyć</w:t>
      </w:r>
      <w:r w:rsidR="003B579C" w:rsidRPr="00575F4C">
        <w:rPr>
          <w:rFonts w:cs="Calibri"/>
          <w:sz w:val="24"/>
        </w:rPr>
        <w:t>, że </w:t>
      </w:r>
      <w:r w:rsidRPr="00575F4C">
        <w:rPr>
          <w:rFonts w:cs="Calibri"/>
          <w:sz w:val="24"/>
        </w:rPr>
        <w:t>im samorząd zlokalizowany jest dalej od Wrocławia, tym skala korzystania ze wsparcia służb pomocy społecznej jest większa.</w:t>
      </w:r>
    </w:p>
    <w:p w:rsidR="001611AF" w:rsidRPr="00575F4C" w:rsidRDefault="000178B1" w:rsidP="00575F4C">
      <w:pPr>
        <w:spacing w:after="120"/>
        <w:jc w:val="left"/>
        <w:rPr>
          <w:rFonts w:cs="Calibri"/>
          <w:sz w:val="24"/>
        </w:rPr>
      </w:pPr>
      <w:r w:rsidRPr="00575F4C">
        <w:rPr>
          <w:rFonts w:cs="Calibri"/>
          <w:sz w:val="24"/>
        </w:rPr>
        <w:t>Analizując przyczyny udzielania świadczeń w ramach pomocy społecznej na obszarze WrOF</w:t>
      </w:r>
      <w:r w:rsidR="00AC7054" w:rsidRPr="00575F4C">
        <w:rPr>
          <w:rFonts w:cs="Calibri"/>
          <w:sz w:val="24"/>
        </w:rPr>
        <w:t xml:space="preserve"> </w:t>
      </w:r>
      <w:r w:rsidRPr="00575F4C">
        <w:rPr>
          <w:rFonts w:cs="Calibri"/>
          <w:sz w:val="24"/>
        </w:rPr>
        <w:t>zauważa się, że najliczniejszą grupą otrzymującą wsparcie byli beneficjenci świadczeń pobieranych z uwagi na długotrwałą lub ciężką chorobę. Blisko co trzecia rodzina (30%</w:t>
      </w:r>
      <w:r w:rsidR="00627A41" w:rsidRPr="00575F4C">
        <w:rPr>
          <w:rFonts w:cs="Calibri"/>
          <w:sz w:val="24"/>
        </w:rPr>
        <w:t xml:space="preserve"> </w:t>
      </w:r>
      <w:r w:rsidR="002332D4" w:rsidRPr="00575F4C">
        <w:rPr>
          <w:rFonts w:cs="Calibri"/>
          <w:sz w:val="24"/>
        </w:rPr>
        <w:t>tj.</w:t>
      </w:r>
      <w:r w:rsidRPr="00575F4C">
        <w:rPr>
          <w:rFonts w:cs="Calibri"/>
          <w:sz w:val="24"/>
        </w:rPr>
        <w:t xml:space="preserve"> 6 658 rodzin) z obszaru WrOF, korzystająca ze wsparcia pomocy społecznej, otrzymywała świadczenia ze </w:t>
      </w:r>
      <w:r w:rsidR="00752127" w:rsidRPr="00575F4C">
        <w:rPr>
          <w:rFonts w:cs="Calibri"/>
          <w:sz w:val="24"/>
        </w:rPr>
        <w:t>względu na ten fakt. W </w:t>
      </w:r>
      <w:r w:rsidRPr="00575F4C">
        <w:rPr>
          <w:rFonts w:cs="Calibri"/>
          <w:sz w:val="24"/>
        </w:rPr>
        <w:t>drugiej kolejności przyczyną udzielania świadczeń było ubóstwo (20%, 4 443 rodzin), a trzecią grupą były rodziny z osobą dotkniętą niepełnosprawnością (16,4%</w:t>
      </w:r>
      <w:r w:rsidR="00D603D4" w:rsidRPr="00575F4C">
        <w:rPr>
          <w:rFonts w:cs="Calibri"/>
          <w:sz w:val="24"/>
        </w:rPr>
        <w:t>,</w:t>
      </w:r>
      <w:r w:rsidR="00627A41" w:rsidRPr="00575F4C">
        <w:rPr>
          <w:rFonts w:cs="Calibri"/>
          <w:sz w:val="24"/>
        </w:rPr>
        <w:t xml:space="preserve"> </w:t>
      </w:r>
      <w:r w:rsidRPr="00575F4C">
        <w:rPr>
          <w:rFonts w:cs="Calibri"/>
          <w:sz w:val="24"/>
        </w:rPr>
        <w:t>3 641 rodzin). Ponadto znaczną grupę beneficjentów środowiskowej pomocy społecznej stanowią osoby zmagające się z</w:t>
      </w:r>
      <w:r w:rsidR="00AC7054" w:rsidRPr="00575F4C">
        <w:rPr>
          <w:rFonts w:cs="Calibri"/>
          <w:sz w:val="24"/>
        </w:rPr>
        <w:t> </w:t>
      </w:r>
      <w:r w:rsidR="00752127" w:rsidRPr="00575F4C">
        <w:rPr>
          <w:rFonts w:cs="Calibri"/>
          <w:sz w:val="24"/>
        </w:rPr>
        <w:t xml:space="preserve">bezradnością w sprawach </w:t>
      </w:r>
      <w:r w:rsidRPr="00575F4C">
        <w:rPr>
          <w:rFonts w:cs="Calibri"/>
          <w:sz w:val="24"/>
        </w:rPr>
        <w:t xml:space="preserve">opiekuńczo-wychowawczych i prowadzenia gospodarstwa domowego, zwłaszcza w rodzinach niepełnych lub wielodzietnych (13% ogółu) oraz osoby bezrobotne (11,1%). Są to grupy odbiorców, do których należy kierować wsparcie w ramach wspólnych przedsięwzięć </w:t>
      </w:r>
      <w:r w:rsidR="00D603D4" w:rsidRPr="00575F4C">
        <w:rPr>
          <w:rFonts w:cs="Calibri"/>
          <w:sz w:val="24"/>
        </w:rPr>
        <w:t>gmin</w:t>
      </w:r>
      <w:r w:rsidR="00AC7054" w:rsidRPr="00575F4C">
        <w:rPr>
          <w:rFonts w:cs="Calibri"/>
          <w:sz w:val="24"/>
        </w:rPr>
        <w:t xml:space="preserve"> </w:t>
      </w:r>
      <w:r w:rsidRPr="00575F4C">
        <w:rPr>
          <w:rFonts w:cs="Calibri"/>
          <w:sz w:val="24"/>
        </w:rPr>
        <w:t>WrOF.</w:t>
      </w:r>
    </w:p>
    <w:p w:rsidR="000C188D" w:rsidRPr="00575F4C" w:rsidRDefault="000178B1" w:rsidP="00575F4C">
      <w:pPr>
        <w:spacing w:after="120"/>
        <w:jc w:val="left"/>
        <w:rPr>
          <w:rFonts w:cs="Calibri"/>
          <w:sz w:val="24"/>
        </w:rPr>
      </w:pPr>
      <w:r w:rsidRPr="00575F4C">
        <w:rPr>
          <w:rFonts w:cs="Calibri"/>
          <w:sz w:val="24"/>
        </w:rPr>
        <w:t xml:space="preserve">W zdecydowanej większości </w:t>
      </w:r>
      <w:r w:rsidR="000C188D" w:rsidRPr="00575F4C">
        <w:rPr>
          <w:rFonts w:cs="Calibri"/>
          <w:sz w:val="24"/>
        </w:rPr>
        <w:t xml:space="preserve">gmin </w:t>
      </w:r>
      <w:r w:rsidRPr="00575F4C">
        <w:rPr>
          <w:rFonts w:cs="Calibri"/>
          <w:sz w:val="24"/>
        </w:rPr>
        <w:t xml:space="preserve">WrOF, w tym we Wrocławiu, przyczyny udzielania świadczeń są podobne – w 13 z 19 </w:t>
      </w:r>
      <w:r w:rsidR="000C188D" w:rsidRPr="00575F4C">
        <w:rPr>
          <w:rFonts w:cs="Calibri"/>
          <w:sz w:val="24"/>
        </w:rPr>
        <w:t xml:space="preserve">gmin </w:t>
      </w:r>
      <w:r w:rsidRPr="00575F4C">
        <w:rPr>
          <w:rFonts w:cs="Calibri"/>
          <w:sz w:val="24"/>
        </w:rPr>
        <w:t>główną przyczyną jest długotrwała lub ciężka choroba, a odsetek rodzin objętych wsparciem ze względu na tę przyczynę waha się od 21% (</w:t>
      </w:r>
      <w:r w:rsidR="00627A41" w:rsidRPr="00575F4C">
        <w:rPr>
          <w:rFonts w:cs="Calibri"/>
          <w:sz w:val="24"/>
        </w:rPr>
        <w:t xml:space="preserve">gmina </w:t>
      </w:r>
      <w:r w:rsidRPr="00575F4C">
        <w:rPr>
          <w:rFonts w:cs="Calibri"/>
          <w:sz w:val="24"/>
        </w:rPr>
        <w:t>Kobierzyce) do 38% (</w:t>
      </w:r>
      <w:r w:rsidR="00627A41" w:rsidRPr="00575F4C">
        <w:rPr>
          <w:rFonts w:cs="Calibri"/>
          <w:sz w:val="24"/>
        </w:rPr>
        <w:t xml:space="preserve">gmina </w:t>
      </w:r>
      <w:r w:rsidRPr="00575F4C">
        <w:rPr>
          <w:rFonts w:cs="Calibri"/>
          <w:sz w:val="24"/>
        </w:rPr>
        <w:t>Oława - miasto).</w:t>
      </w:r>
    </w:p>
    <w:p w:rsidR="00D555AC" w:rsidRPr="00575F4C" w:rsidRDefault="005B2896" w:rsidP="00575F4C">
      <w:pPr>
        <w:spacing w:after="120"/>
        <w:jc w:val="left"/>
        <w:rPr>
          <w:rFonts w:cs="Calibri"/>
          <w:sz w:val="24"/>
        </w:rPr>
      </w:pPr>
      <w:r w:rsidRPr="00575F4C">
        <w:rPr>
          <w:rFonts w:cs="Calibri"/>
          <w:sz w:val="24"/>
        </w:rPr>
        <w:t>Priorytetem gmin WrOF powinno być zwiększenie nakładów na realizację pomocy w formie</w:t>
      </w:r>
      <w:r w:rsidR="00AC7054" w:rsidRPr="00575F4C">
        <w:rPr>
          <w:rFonts w:cs="Calibri"/>
          <w:sz w:val="24"/>
        </w:rPr>
        <w:t xml:space="preserve"> </w:t>
      </w:r>
      <w:r w:rsidR="00401116" w:rsidRPr="00575F4C">
        <w:rPr>
          <w:rFonts w:cs="Calibri"/>
          <w:sz w:val="24"/>
        </w:rPr>
        <w:t>usług opiekuńczych, w tym specjalistycznych</w:t>
      </w:r>
      <w:r w:rsidR="00E809F7" w:rsidRPr="00575F4C">
        <w:rPr>
          <w:rFonts w:cs="Calibri"/>
          <w:sz w:val="24"/>
        </w:rPr>
        <w:t xml:space="preserve"> oraz usług asystenckich</w:t>
      </w:r>
      <w:r w:rsidR="00401116" w:rsidRPr="00575F4C">
        <w:rPr>
          <w:rFonts w:cs="Calibri"/>
          <w:sz w:val="24"/>
        </w:rPr>
        <w:t>. U</w:t>
      </w:r>
      <w:r w:rsidR="00401116" w:rsidRPr="00575F4C">
        <w:rPr>
          <w:rFonts w:eastAsia="Calibri" w:cs="Arial"/>
          <w:sz w:val="24"/>
        </w:rPr>
        <w:t>słu</w:t>
      </w:r>
      <w:r w:rsidR="003B579C" w:rsidRPr="00575F4C">
        <w:rPr>
          <w:rFonts w:eastAsia="Calibri" w:cs="Arial"/>
          <w:sz w:val="24"/>
        </w:rPr>
        <w:t>gi opiekuńcze są świadczone dla </w:t>
      </w:r>
      <w:r w:rsidR="00401116" w:rsidRPr="00575F4C">
        <w:rPr>
          <w:rFonts w:eastAsia="Calibri" w:cs="Arial"/>
          <w:sz w:val="24"/>
        </w:rPr>
        <w:t xml:space="preserve">osób potrzebujących wsparcia w codziennym funkcjonowaniu, a usługi asystenckie w szczególności dla osób z </w:t>
      </w:r>
      <w:r w:rsidR="000C188D" w:rsidRPr="00575F4C">
        <w:rPr>
          <w:rFonts w:eastAsia="Calibri" w:cs="Arial"/>
          <w:sz w:val="24"/>
        </w:rPr>
        <w:t>niepełnosprawnościami</w:t>
      </w:r>
      <w:r w:rsidRPr="00575F4C">
        <w:rPr>
          <w:rFonts w:eastAsia="Calibri" w:cs="Arial"/>
          <w:sz w:val="24"/>
        </w:rPr>
        <w:t>.</w:t>
      </w:r>
      <w:r w:rsidR="00AC7054" w:rsidRPr="00575F4C">
        <w:rPr>
          <w:rFonts w:eastAsia="Calibri" w:cs="Arial"/>
          <w:sz w:val="24"/>
        </w:rPr>
        <w:t xml:space="preserve"> </w:t>
      </w:r>
      <w:r w:rsidR="000178B1" w:rsidRPr="00575F4C">
        <w:rPr>
          <w:rFonts w:cs="Calibri"/>
          <w:sz w:val="24"/>
        </w:rPr>
        <w:t>Dostęp do usług opiekuńczych i asystenckich świadczonych przez samorządy skupione we WrOF powinien być jednym z priorytetów w polityce lokalnej, na co wskazują również wyniki przeprowadzonych badań jakościowych. Respondenci podkreślali, iż aktualny poziom rozwoju</w:t>
      </w:r>
      <w:r w:rsidR="00AC7054" w:rsidRPr="00575F4C">
        <w:rPr>
          <w:rFonts w:cs="Calibri"/>
          <w:sz w:val="24"/>
        </w:rPr>
        <w:t xml:space="preserve"> </w:t>
      </w:r>
      <w:r w:rsidR="000178B1" w:rsidRPr="00575F4C">
        <w:rPr>
          <w:rFonts w:cs="Calibri"/>
          <w:sz w:val="24"/>
        </w:rPr>
        <w:t xml:space="preserve">i dostępności usług społecznych nie jest adekwatny do wyzwań, z jakimi mierzy się WrOF, </w:t>
      </w:r>
      <w:r w:rsidR="00E61AB0" w:rsidRPr="00575F4C">
        <w:rPr>
          <w:rFonts w:cs="Calibri"/>
          <w:sz w:val="24"/>
        </w:rPr>
        <w:t xml:space="preserve">zwłaszcza </w:t>
      </w:r>
      <w:r w:rsidR="000178B1" w:rsidRPr="00575F4C">
        <w:rPr>
          <w:rFonts w:cs="Calibri"/>
          <w:sz w:val="24"/>
        </w:rPr>
        <w:t>wyzwań związanych w szczególności ze wzrostem liczby osób w wieku poprodukcyjnym</w:t>
      </w:r>
      <w:r w:rsidR="00AC7054" w:rsidRPr="00575F4C">
        <w:rPr>
          <w:rFonts w:cs="Calibri"/>
          <w:sz w:val="24"/>
        </w:rPr>
        <w:t>,</w:t>
      </w:r>
      <w:r w:rsidR="00401116" w:rsidRPr="00575F4C">
        <w:rPr>
          <w:rFonts w:cs="Calibri"/>
          <w:sz w:val="24"/>
        </w:rPr>
        <w:t xml:space="preserve"> jak również z duż</w:t>
      </w:r>
      <w:r w:rsidR="00E61AB0" w:rsidRPr="00575F4C">
        <w:rPr>
          <w:rFonts w:cs="Calibri"/>
          <w:sz w:val="24"/>
        </w:rPr>
        <w:t xml:space="preserve">ym napływem </w:t>
      </w:r>
      <w:r w:rsidR="0080533F" w:rsidRPr="00575F4C">
        <w:rPr>
          <w:rFonts w:cs="Calibri"/>
          <w:sz w:val="24"/>
        </w:rPr>
        <w:t>migrantów i uchodźców</w:t>
      </w:r>
      <w:r w:rsidR="00582536" w:rsidRPr="00575F4C">
        <w:rPr>
          <w:rFonts w:cs="Calibri"/>
          <w:sz w:val="24"/>
        </w:rPr>
        <w:t>, którzy mają prawo do świadczeń</w:t>
      </w:r>
      <w:r w:rsidR="000178B1" w:rsidRPr="00575F4C">
        <w:rPr>
          <w:rFonts w:cs="Calibri"/>
          <w:sz w:val="24"/>
        </w:rPr>
        <w:t xml:space="preserve">.  </w:t>
      </w:r>
    </w:p>
    <w:p w:rsidR="00BD31C3" w:rsidRPr="00575F4C" w:rsidRDefault="00A9297C" w:rsidP="00575F4C">
      <w:pPr>
        <w:spacing w:after="120"/>
        <w:jc w:val="left"/>
        <w:rPr>
          <w:rFonts w:cs="Calibri"/>
          <w:sz w:val="24"/>
        </w:rPr>
      </w:pPr>
      <w:r w:rsidRPr="00575F4C">
        <w:rPr>
          <w:rFonts w:cs="Calibri"/>
          <w:sz w:val="24"/>
        </w:rPr>
        <w:t xml:space="preserve">Pomimo braku formalnych zdiagnozowanych potrzeb, z zakresu usług opieki </w:t>
      </w:r>
      <w:proofErr w:type="spellStart"/>
      <w:r w:rsidRPr="00575F4C">
        <w:rPr>
          <w:rFonts w:cs="Calibri"/>
          <w:sz w:val="24"/>
        </w:rPr>
        <w:t>wytchnieniowej</w:t>
      </w:r>
      <w:proofErr w:type="spellEnd"/>
      <w:r w:rsidRPr="00575F4C">
        <w:rPr>
          <w:rFonts w:cs="Calibri"/>
          <w:sz w:val="24"/>
        </w:rPr>
        <w:t>, informacje pozyskane w ramach wywiadów pogłębionych dowodzą, iż potrzeby s</w:t>
      </w:r>
      <w:r w:rsidR="005A00B1" w:rsidRPr="00575F4C">
        <w:rPr>
          <w:rFonts w:cs="Calibri"/>
          <w:sz w:val="24"/>
        </w:rPr>
        <w:t>ą</w:t>
      </w:r>
      <w:r w:rsidR="00AC7054" w:rsidRPr="00575F4C">
        <w:rPr>
          <w:rFonts w:cs="Calibri"/>
          <w:sz w:val="24"/>
        </w:rPr>
        <w:t xml:space="preserve"> ogromne i że </w:t>
      </w:r>
      <w:r w:rsidRPr="00575F4C">
        <w:rPr>
          <w:rFonts w:cs="Calibri"/>
          <w:sz w:val="24"/>
        </w:rPr>
        <w:t xml:space="preserve">istnieje potrzeba dalszego rozszerzania zakresu i dostępności usług opieki </w:t>
      </w:r>
      <w:proofErr w:type="spellStart"/>
      <w:r w:rsidRPr="00575F4C">
        <w:rPr>
          <w:rFonts w:cs="Calibri"/>
          <w:sz w:val="24"/>
        </w:rPr>
        <w:t>wytchnieniowej</w:t>
      </w:r>
      <w:proofErr w:type="spellEnd"/>
      <w:r w:rsidRPr="00575F4C">
        <w:rPr>
          <w:rFonts w:cs="Calibri"/>
          <w:sz w:val="24"/>
        </w:rPr>
        <w:t xml:space="preserve">, która również </w:t>
      </w:r>
      <w:r w:rsidR="00BD31C3" w:rsidRPr="00575F4C">
        <w:rPr>
          <w:rFonts w:cs="Calibri"/>
          <w:sz w:val="24"/>
        </w:rPr>
        <w:t>jest ważnym aspektem</w:t>
      </w:r>
      <w:r w:rsidRPr="00575F4C">
        <w:rPr>
          <w:rFonts w:cs="Calibri"/>
          <w:sz w:val="24"/>
        </w:rPr>
        <w:t xml:space="preserve">. </w:t>
      </w:r>
      <w:r w:rsidR="00174FBA" w:rsidRPr="00575F4C">
        <w:rPr>
          <w:rFonts w:cs="Calibri"/>
          <w:sz w:val="24"/>
        </w:rPr>
        <w:t>Usługa tego typu</w:t>
      </w:r>
      <w:r w:rsidR="00BD31C3" w:rsidRPr="00575F4C">
        <w:rPr>
          <w:rFonts w:cs="Calibri"/>
          <w:sz w:val="24"/>
        </w:rPr>
        <w:t xml:space="preserve"> wspiera faktycznych opiekunów osoby niesamodzielnej (np. długotrwale chorej, z niepełnosprawnościami). Najczęściej takim opiekunem jest członek rodziny, który zazwyczaj całodobowo zapewnia opiekę takiej osobie. Dzięki tego typu wsparciu osoba niesamodzielna ma zapewnią profesjonalną opiekę, a jej opiekun, może w tym czasie realizować własne potrzeby, na które podczas sprawowania opieki nie ma ani czasu ani możliwości. </w:t>
      </w:r>
    </w:p>
    <w:p w:rsidR="00554C75" w:rsidRPr="00575F4C" w:rsidRDefault="00BD31C3" w:rsidP="00575F4C">
      <w:pPr>
        <w:spacing w:after="120"/>
        <w:jc w:val="left"/>
        <w:rPr>
          <w:rFonts w:cs="Calibri"/>
          <w:sz w:val="24"/>
        </w:rPr>
      </w:pPr>
      <w:r w:rsidRPr="00575F4C">
        <w:rPr>
          <w:rFonts w:cs="Calibri"/>
          <w:sz w:val="24"/>
        </w:rPr>
        <w:t xml:space="preserve">Usługa opieki </w:t>
      </w:r>
      <w:proofErr w:type="spellStart"/>
      <w:r w:rsidRPr="00575F4C">
        <w:rPr>
          <w:rFonts w:cs="Calibri"/>
          <w:sz w:val="24"/>
        </w:rPr>
        <w:t>wytchnieniowej</w:t>
      </w:r>
      <w:proofErr w:type="spellEnd"/>
      <w:r w:rsidRPr="00575F4C">
        <w:rPr>
          <w:rFonts w:cs="Calibri"/>
          <w:sz w:val="24"/>
        </w:rPr>
        <w:t xml:space="preserve"> stwarza również opiekunom osób</w:t>
      </w:r>
      <w:r w:rsidR="00AC7054" w:rsidRPr="00575F4C">
        <w:rPr>
          <w:rFonts w:cs="Calibri"/>
          <w:sz w:val="24"/>
        </w:rPr>
        <w:t xml:space="preserve"> </w:t>
      </w:r>
      <w:r w:rsidRPr="00575F4C">
        <w:rPr>
          <w:rFonts w:cs="Calibri"/>
          <w:sz w:val="24"/>
        </w:rPr>
        <w:t>z</w:t>
      </w:r>
      <w:r w:rsidR="00AC7054" w:rsidRPr="00575F4C">
        <w:rPr>
          <w:rFonts w:cs="Calibri"/>
          <w:sz w:val="24"/>
        </w:rPr>
        <w:t xml:space="preserve"> </w:t>
      </w:r>
      <w:r w:rsidRPr="00575F4C">
        <w:rPr>
          <w:rFonts w:cs="Calibri"/>
          <w:sz w:val="24"/>
        </w:rPr>
        <w:t>niepełnosprawnościami, niesamodzielnymi lub przewlekle, długotrwale chorych możliwość samorealizacji oraz funkcjonowania w życiu zawodowym i społecznym. Ponadto daje możliwość odpoczynku lub nabycia kompetencji.</w:t>
      </w:r>
    </w:p>
    <w:p w:rsidR="00E809F7" w:rsidRPr="00575F4C" w:rsidRDefault="00BD31C3" w:rsidP="00575F4C">
      <w:pPr>
        <w:spacing w:after="120"/>
        <w:jc w:val="left"/>
        <w:rPr>
          <w:sz w:val="24"/>
        </w:rPr>
      </w:pPr>
      <w:r w:rsidRPr="00575F4C">
        <w:rPr>
          <w:rFonts w:cs="Calibri"/>
          <w:sz w:val="24"/>
        </w:rPr>
        <w:t>Usługi asystenckie świadczone są przez asystentów na rzecz osób z niepełnosprawnościami, umożliwiając stałe lub okresowe wsparcie tych osób w wykonywaniu podstawowych czynności dnia codziennego, niezbędnych do ich aktywnego funkcjonowania społecznego, zawodowego lub edukacyjnego</w:t>
      </w:r>
      <w:r w:rsidRPr="00575F4C">
        <w:rPr>
          <w:rStyle w:val="Odwoanieprzypisudolnego"/>
          <w:rFonts w:cs="Calibri"/>
          <w:sz w:val="24"/>
        </w:rPr>
        <w:footnoteReference w:id="103"/>
      </w:r>
      <w:r w:rsidRPr="00575F4C">
        <w:rPr>
          <w:rFonts w:cs="Calibri"/>
          <w:sz w:val="24"/>
        </w:rPr>
        <w:t>. Bardzo ważnym instrumentem wspierającym jest asystent osoby niepełnosprawnej, gdyż</w:t>
      </w:r>
      <w:r w:rsidR="00AC7054" w:rsidRPr="00575F4C">
        <w:rPr>
          <w:rFonts w:cs="Calibri"/>
          <w:sz w:val="24"/>
        </w:rPr>
        <w:t xml:space="preserve"> </w:t>
      </w:r>
      <w:r w:rsidRPr="00575F4C">
        <w:rPr>
          <w:sz w:val="24"/>
        </w:rPr>
        <w:t>znacząco</w:t>
      </w:r>
      <w:r w:rsidR="00AC7054" w:rsidRPr="00575F4C">
        <w:rPr>
          <w:sz w:val="24"/>
        </w:rPr>
        <w:t xml:space="preserve"> </w:t>
      </w:r>
      <w:r w:rsidRPr="00575F4C">
        <w:rPr>
          <w:sz w:val="24"/>
        </w:rPr>
        <w:t>wpływa na pod</w:t>
      </w:r>
      <w:r w:rsidR="001D1207">
        <w:rPr>
          <w:sz w:val="24"/>
        </w:rPr>
        <w:t>niesienie jakości życia osoby z </w:t>
      </w:r>
      <w:r w:rsidRPr="00575F4C">
        <w:rPr>
          <w:sz w:val="24"/>
        </w:rPr>
        <w:t>niepełnosprawnością, rodziny (bliskich) takiej osoby oraz zapobiega wykluczeniu społecznemu. Dlatego powinien to być priorytet w ramach wspólnych działań gmin WrOF.</w:t>
      </w:r>
    </w:p>
    <w:p w:rsidR="00E809F7" w:rsidRPr="00575F4C" w:rsidRDefault="00BD31C3" w:rsidP="00575F4C">
      <w:pPr>
        <w:spacing w:after="120"/>
        <w:jc w:val="left"/>
        <w:rPr>
          <w:rFonts w:cs="Calibri"/>
          <w:sz w:val="24"/>
        </w:rPr>
      </w:pPr>
      <w:r w:rsidRPr="00575F4C">
        <w:rPr>
          <w:rFonts w:cs="Calibri"/>
          <w:sz w:val="24"/>
        </w:rPr>
        <w:t xml:space="preserve">Zwiększenie dostępu do usług społecznych w postaci usług opiekuńczych, asystenckich oraz opieki </w:t>
      </w:r>
      <w:proofErr w:type="spellStart"/>
      <w:r w:rsidRPr="00575F4C">
        <w:rPr>
          <w:rFonts w:cs="Calibri"/>
          <w:sz w:val="24"/>
        </w:rPr>
        <w:t>wytchnieniowej</w:t>
      </w:r>
      <w:proofErr w:type="spellEnd"/>
      <w:r w:rsidR="00AC7054" w:rsidRPr="00575F4C">
        <w:rPr>
          <w:rFonts w:cs="Calibri"/>
          <w:sz w:val="24"/>
        </w:rPr>
        <w:t xml:space="preserve"> </w:t>
      </w:r>
      <w:r w:rsidRPr="00575F4C">
        <w:rPr>
          <w:rFonts w:cs="Calibri"/>
          <w:sz w:val="24"/>
        </w:rPr>
        <w:t>świadczonych przez gminy</w:t>
      </w:r>
      <w:r w:rsidR="00AC7054" w:rsidRPr="00575F4C">
        <w:rPr>
          <w:rFonts w:cs="Calibri"/>
          <w:sz w:val="24"/>
        </w:rPr>
        <w:t xml:space="preserve"> </w:t>
      </w:r>
      <w:r w:rsidRPr="00575F4C">
        <w:rPr>
          <w:rFonts w:cs="Calibri"/>
          <w:sz w:val="24"/>
        </w:rPr>
        <w:t xml:space="preserve">WrOF powinno być jednym z ważniejszych </w:t>
      </w:r>
      <w:r w:rsidR="00752127" w:rsidRPr="00575F4C">
        <w:rPr>
          <w:rFonts w:cs="Calibri"/>
          <w:sz w:val="24"/>
        </w:rPr>
        <w:t>priorytetów w </w:t>
      </w:r>
      <w:r w:rsidRPr="00575F4C">
        <w:rPr>
          <w:rFonts w:cs="Calibri"/>
          <w:sz w:val="24"/>
        </w:rPr>
        <w:t>polityce lokalnej. Wskazują na to również wyniki przeprowadzonych badań jakościowych</w:t>
      </w:r>
      <w:r w:rsidR="00AC7054" w:rsidRPr="00575F4C">
        <w:rPr>
          <w:rFonts w:cs="Calibri"/>
          <w:sz w:val="24"/>
        </w:rPr>
        <w:t>, w </w:t>
      </w:r>
      <w:r w:rsidRPr="00575F4C">
        <w:rPr>
          <w:rFonts w:cs="Calibri"/>
          <w:sz w:val="24"/>
        </w:rPr>
        <w:t xml:space="preserve">których respondenci podkreślali, iż aktualny poziom rozwoju i dostępności usług społecznych nie jest  wystarczający w stosunku do potrzeb mieszkańców WrOF. </w:t>
      </w:r>
    </w:p>
    <w:p w:rsidR="005F7FB3" w:rsidRPr="00575F4C" w:rsidRDefault="001611AF" w:rsidP="00575F4C">
      <w:pPr>
        <w:spacing w:after="120"/>
        <w:jc w:val="left"/>
        <w:rPr>
          <w:rFonts w:cs="Calibri"/>
          <w:sz w:val="24"/>
        </w:rPr>
      </w:pPr>
      <w:r w:rsidRPr="00575F4C">
        <w:rPr>
          <w:rFonts w:cs="Calibri"/>
          <w:sz w:val="24"/>
        </w:rPr>
        <w:t>Ważnym wyzwaniem dla samorządowych służb pomocy społecznej jest rozszerzenie dostępu do usług publicznych z zakresu pomocy społecznej</w:t>
      </w:r>
      <w:r w:rsidR="00AC7054" w:rsidRPr="00575F4C">
        <w:rPr>
          <w:rFonts w:cs="Calibri"/>
          <w:sz w:val="24"/>
        </w:rPr>
        <w:t xml:space="preserve"> </w:t>
      </w:r>
      <w:r w:rsidRPr="00575F4C">
        <w:rPr>
          <w:rFonts w:cs="Calibri"/>
          <w:sz w:val="24"/>
        </w:rPr>
        <w:t>dedykowanej osobom zagrożonym wykluczeniem społecznym. Jednym z wniosków wynikłych z prac diagnostycznych, w ramach których przeprowadzono wywiady pogłębione z przedstawicielami samorządów WrOF, jest konieczność wzmocnienia instrumentu wsparcia, jakim jest asystent rodziny. Do jego zadań należy wszechstronna pomoc rodzinom (z dziećmi) o niskich kompetencjach społecznych, które napotykają bariery w prawidłowym funkcjonowaniu. Rozwój tej formy wsparcia podniesie znacznie jakość usług publicznych na obszarze WrOF.</w:t>
      </w:r>
      <w:r w:rsidR="00AC7054" w:rsidRPr="00575F4C">
        <w:rPr>
          <w:rFonts w:cs="Calibri"/>
          <w:sz w:val="24"/>
        </w:rPr>
        <w:t xml:space="preserve"> </w:t>
      </w:r>
      <w:r w:rsidRPr="00575F4C">
        <w:rPr>
          <w:rFonts w:cs="Calibri"/>
          <w:sz w:val="24"/>
        </w:rPr>
        <w:t>Praca asystentów powinna być wspierana przez odpowiednich specjalistów (np. terapeutów, doradców zawodowych itp.).</w:t>
      </w:r>
    </w:p>
    <w:p w:rsidR="00575F4C" w:rsidRDefault="00575F4C" w:rsidP="00575F4C">
      <w:pPr>
        <w:spacing w:before="240" w:after="0"/>
        <w:jc w:val="left"/>
        <w:rPr>
          <w:rFonts w:cstheme="minorHAnsi"/>
          <w:b/>
          <w:color w:val="000000" w:themeColor="text1"/>
          <w:sz w:val="24"/>
        </w:rPr>
      </w:pPr>
      <w:r>
        <w:rPr>
          <w:rFonts w:cstheme="minorHAnsi"/>
          <w:b/>
          <w:color w:val="000000" w:themeColor="text1"/>
          <w:sz w:val="24"/>
        </w:rPr>
        <w:br w:type="page"/>
      </w:r>
    </w:p>
    <w:p w:rsidR="000178B1" w:rsidRPr="00575F4C" w:rsidRDefault="000178B1" w:rsidP="00575F4C">
      <w:pPr>
        <w:spacing w:before="240" w:after="0"/>
        <w:jc w:val="left"/>
        <w:rPr>
          <w:rFonts w:cstheme="minorHAnsi"/>
          <w:b/>
          <w:color w:val="000000" w:themeColor="text1"/>
          <w:sz w:val="24"/>
        </w:rPr>
      </w:pPr>
      <w:r w:rsidRPr="00575F4C">
        <w:rPr>
          <w:rFonts w:cstheme="minorHAnsi"/>
          <w:b/>
          <w:color w:val="000000" w:themeColor="text1"/>
          <w:sz w:val="24"/>
        </w:rPr>
        <w:t>Piecza zastępcza</w:t>
      </w:r>
    </w:p>
    <w:p w:rsidR="000178B1" w:rsidRPr="00575F4C" w:rsidRDefault="000178B1" w:rsidP="00575F4C">
      <w:pPr>
        <w:jc w:val="left"/>
        <w:rPr>
          <w:sz w:val="24"/>
        </w:rPr>
      </w:pPr>
      <w:r w:rsidRPr="00575F4C">
        <w:rPr>
          <w:sz w:val="24"/>
        </w:rPr>
        <w:t xml:space="preserve">Ważnym ogniwem wsparcia dla dzieci i młodzieży, znajdujących się w problemowej sytuacji rodzinnej </w:t>
      </w:r>
      <w:r w:rsidR="001439CD" w:rsidRPr="00575F4C">
        <w:rPr>
          <w:sz w:val="24"/>
        </w:rPr>
        <w:t>jest</w:t>
      </w:r>
      <w:r w:rsidRPr="00575F4C">
        <w:rPr>
          <w:sz w:val="24"/>
        </w:rPr>
        <w:t xml:space="preserve"> system pieczy zastępczej. Samorządy WrOF powinny upowszechniać pieczę zastępczą, tworząc warunki do rozbudowywania jej systemu (rodzinnej lub instytucjonalnej formy opieki sprawowana nad dziećmi w przypadku niem</w:t>
      </w:r>
      <w:r w:rsidR="001D1207">
        <w:rPr>
          <w:sz w:val="24"/>
        </w:rPr>
        <w:t>ożności zapewnienia im opieki i </w:t>
      </w:r>
      <w:r w:rsidRPr="00575F4C">
        <w:rPr>
          <w:sz w:val="24"/>
        </w:rPr>
        <w:t xml:space="preserve">wychowania przez rodziców). Jest to ten rodzaj zadania publicznego, który wykazuje duży potencjał w ujęciu wspólnych działań samorządów </w:t>
      </w:r>
      <w:r w:rsidR="0014730D" w:rsidRPr="00575F4C">
        <w:rPr>
          <w:sz w:val="24"/>
        </w:rPr>
        <w:t>gminnych</w:t>
      </w:r>
      <w:r w:rsidR="001D1207">
        <w:rPr>
          <w:sz w:val="24"/>
        </w:rPr>
        <w:t>, a także budowaniu relacji i </w:t>
      </w:r>
      <w:r w:rsidRPr="00575F4C">
        <w:rPr>
          <w:sz w:val="24"/>
        </w:rPr>
        <w:t>partnerstw z organizacjami pozarządowymi oraz osobami fizycznymi (rodzinami), którzy taką pieczę zastępczą mogą świadczyć.</w:t>
      </w:r>
    </w:p>
    <w:p w:rsidR="000178B1" w:rsidRPr="00575F4C" w:rsidRDefault="000178B1" w:rsidP="00575F4C">
      <w:pPr>
        <w:spacing w:after="0"/>
        <w:jc w:val="left"/>
        <w:rPr>
          <w:rFonts w:cs="Calibri"/>
          <w:sz w:val="24"/>
        </w:rPr>
      </w:pPr>
      <w:r w:rsidRPr="00575F4C">
        <w:rPr>
          <w:sz w:val="24"/>
        </w:rPr>
        <w:t xml:space="preserve">Rodzinna piecza zastępcza funkcjonuje w formie rodzinnych domów dziecka oraz rodzin zastępczych. </w:t>
      </w:r>
      <w:r w:rsidRPr="00575F4C">
        <w:rPr>
          <w:rFonts w:cs="Calibri"/>
          <w:sz w:val="24"/>
        </w:rPr>
        <w:t>Rodzinne domy dziecka to forma rodzinnej pieczy zastępczej, która zapewnia dziecku całodobową opiekę i wychowanie. W 2021 r. w skali kraju funkcjonowały 724 tego typy placówki, obejmując opieką ponad 5 tys. dzieci. We WrOF funkcjonuje 18 rodzinnych domów dziecka, mających pod opieką 116 dzieci. Największą koncentrację rodzinnych domów dz</w:t>
      </w:r>
      <w:r w:rsidR="00AC7054" w:rsidRPr="00575F4C">
        <w:rPr>
          <w:rFonts w:cs="Calibri"/>
          <w:sz w:val="24"/>
        </w:rPr>
        <w:t>iecka zanotowano we Wrocławiu i </w:t>
      </w:r>
      <w:r w:rsidRPr="00575F4C">
        <w:rPr>
          <w:rFonts w:cs="Calibri"/>
          <w:sz w:val="24"/>
        </w:rPr>
        <w:t>samorządach powiatu wrocławskiego. Łącznie jest ich  jest ich 9, z 58 dzi</w:t>
      </w:r>
      <w:r w:rsidR="00EA5CF6" w:rsidRPr="00575F4C">
        <w:rPr>
          <w:rFonts w:cs="Calibri"/>
          <w:sz w:val="24"/>
        </w:rPr>
        <w:t>ećmi pod opieką. W 2017 roku na </w:t>
      </w:r>
      <w:r w:rsidRPr="00575F4C">
        <w:rPr>
          <w:rFonts w:cs="Calibri"/>
          <w:sz w:val="24"/>
        </w:rPr>
        <w:t>analizowanym obszarze funkcjonowało 1 207 rodzin zastępczych, mających pod opieką 1 572 dzieci.  W 2021 r. ich liczba zmalała i wyniosła 1 125, z 1 490 dziećmi pod opieką. Na uwagę zasługuje stabilna liczba rodzinnych domów dziecka, przy spadku liczby rodzin zastępczych.  W skali całego obszaru WrOF liczba rodzin zastępczych zmniejszyła się o nieco ponad 6 pp</w:t>
      </w:r>
      <w:r w:rsidR="00362096" w:rsidRPr="00575F4C">
        <w:rPr>
          <w:rFonts w:cs="Calibri"/>
          <w:sz w:val="24"/>
        </w:rPr>
        <w:t>.</w:t>
      </w:r>
      <w:r w:rsidR="001D1207">
        <w:rPr>
          <w:rFonts w:cs="Calibri"/>
          <w:sz w:val="24"/>
        </w:rPr>
        <w:t>, natomiast w </w:t>
      </w:r>
      <w:r w:rsidRPr="00575F4C">
        <w:rPr>
          <w:rFonts w:cs="Calibri"/>
          <w:sz w:val="24"/>
        </w:rPr>
        <w:t>przypadku Wrocławia spadek wyniósł ponad 13 pp. Ograniczenie ich liczb jest pokłosiem procesów demograficznych, a także niskiej efektywności dostępnych narzędzi</w:t>
      </w:r>
      <w:r w:rsidRPr="00575F4C">
        <w:rPr>
          <w:rStyle w:val="Odwoanieprzypisudolnego"/>
          <w:rFonts w:cs="Calibri"/>
          <w:sz w:val="24"/>
        </w:rPr>
        <w:footnoteReference w:id="104"/>
      </w:r>
      <w:r w:rsidRPr="00575F4C">
        <w:rPr>
          <w:rFonts w:cs="Calibri"/>
          <w:sz w:val="24"/>
        </w:rPr>
        <w:t>, których zadaniem jest wspieranie rodzinnych form pieczy zastępczej (takich jak np. powoływanie koordynatorów rodzinnej pieczy zastępczej i otaczanie rodzin zastępczych pomocą asystentów rodziny).</w:t>
      </w:r>
    </w:p>
    <w:p w:rsidR="000178B1" w:rsidRPr="00575F4C" w:rsidRDefault="000178B1" w:rsidP="00575F4C">
      <w:pPr>
        <w:spacing w:before="120" w:after="120"/>
        <w:jc w:val="left"/>
        <w:rPr>
          <w:rFonts w:cs="Calibri"/>
          <w:sz w:val="24"/>
        </w:rPr>
      </w:pPr>
      <w:r w:rsidRPr="00575F4C">
        <w:rPr>
          <w:rFonts w:cs="Calibri"/>
          <w:sz w:val="24"/>
        </w:rPr>
        <w:t>Na obszarze WrOF realizowana jest usługa publiczna instytu</w:t>
      </w:r>
      <w:r w:rsidR="001D1207">
        <w:rPr>
          <w:rFonts w:cs="Calibri"/>
          <w:sz w:val="24"/>
        </w:rPr>
        <w:t>cjonalnej pieczy zastępczej. Na </w:t>
      </w:r>
      <w:r w:rsidRPr="00575F4C">
        <w:rPr>
          <w:rFonts w:cs="Calibri"/>
          <w:sz w:val="24"/>
        </w:rPr>
        <w:t>obszarze WrOF placówki typu rodzinnego funkcjonują jedynie we Wro</w:t>
      </w:r>
      <w:r w:rsidR="00DB52CE" w:rsidRPr="00575F4C">
        <w:rPr>
          <w:rFonts w:cs="Calibri"/>
          <w:sz w:val="24"/>
        </w:rPr>
        <w:t xml:space="preserve">cławiu. Według stanu </w:t>
      </w:r>
      <w:r w:rsidRPr="00575F4C">
        <w:rPr>
          <w:rFonts w:cs="Calibri"/>
          <w:sz w:val="24"/>
        </w:rPr>
        <w:t xml:space="preserve">na 2021 rok jest ich 11, w których sprawuje się opiekę nad 64 wychowankami. W porównaniu do 2017 roku zanotowano w tym obszarze dość wyraźny spadek (z 15 do 11).  </w:t>
      </w:r>
    </w:p>
    <w:p w:rsidR="000178B1" w:rsidRPr="00575F4C" w:rsidRDefault="000178B1" w:rsidP="00575F4C">
      <w:pPr>
        <w:jc w:val="left"/>
        <w:rPr>
          <w:rFonts w:cs="Calibri"/>
          <w:sz w:val="24"/>
        </w:rPr>
      </w:pPr>
      <w:r w:rsidRPr="00575F4C">
        <w:rPr>
          <w:rFonts w:cs="Calibri"/>
          <w:sz w:val="24"/>
        </w:rPr>
        <w:t>W 2021 roku na obszarze WrOF funkcjonowało 12 placówek socjalizacyjnych, zapewniających  całodobową opiekę i wychowanie dzieciom powyżej 10. roku życia, których powrót do domu nie jest możliwy. Największą ich li</w:t>
      </w:r>
      <w:r w:rsidR="001D1207">
        <w:rPr>
          <w:rFonts w:cs="Calibri"/>
          <w:sz w:val="24"/>
        </w:rPr>
        <w:t>czbę zanotowano we Wrocławiu. W </w:t>
      </w:r>
      <w:r w:rsidRPr="00575F4C">
        <w:rPr>
          <w:rFonts w:cs="Calibri"/>
          <w:sz w:val="24"/>
        </w:rPr>
        <w:t>poró</w:t>
      </w:r>
      <w:r w:rsidR="001D1207">
        <w:rPr>
          <w:rFonts w:cs="Calibri"/>
          <w:sz w:val="24"/>
        </w:rPr>
        <w:t xml:space="preserve">wnaniu do roku 2017 spadła ona </w:t>
      </w:r>
      <w:r w:rsidRPr="00575F4C">
        <w:rPr>
          <w:rFonts w:cs="Calibri"/>
          <w:sz w:val="24"/>
        </w:rPr>
        <w:t>z 14 do 12 placówek.</w:t>
      </w:r>
    </w:p>
    <w:p w:rsidR="00752127" w:rsidRPr="00575F4C" w:rsidRDefault="000178B1" w:rsidP="00575F4C">
      <w:pPr>
        <w:jc w:val="left"/>
        <w:rPr>
          <w:rFonts w:cstheme="minorHAnsi"/>
          <w:b/>
          <w:color w:val="276E8B"/>
          <w:sz w:val="24"/>
        </w:rPr>
      </w:pPr>
      <w:r w:rsidRPr="00575F4C">
        <w:rPr>
          <w:rFonts w:cs="Calibri"/>
          <w:sz w:val="24"/>
        </w:rPr>
        <w:t>Dodatkowo na terenie WrOF w 2021 roku prowadziło działalność 35 placówek typu specjalistyczno-terapeutycznego. Zapewniają one opiekę nad dziećmi o indywidualnych potrzebach. W 2021 roku wszystkie tego typu placówki prowadziły działalność we Wrocławiu. Uwzględniając 3 formy instytucjonalnej pieczy z</w:t>
      </w:r>
      <w:r w:rsidR="00AC7054" w:rsidRPr="00575F4C">
        <w:rPr>
          <w:rFonts w:cs="Calibri"/>
          <w:sz w:val="24"/>
        </w:rPr>
        <w:t>a</w:t>
      </w:r>
      <w:r w:rsidRPr="00575F4C">
        <w:rPr>
          <w:rFonts w:cs="Calibri"/>
          <w:sz w:val="24"/>
        </w:rPr>
        <w:t>stępczej zauważa się spadek liczby placówek pełniących te funkcje. Zjawisko to zwi</w:t>
      </w:r>
      <w:r w:rsidR="001D1207">
        <w:rPr>
          <w:rFonts w:cs="Calibri"/>
          <w:sz w:val="24"/>
        </w:rPr>
        <w:t>ązane jest najprawdopodobniej z </w:t>
      </w:r>
      <w:r w:rsidRPr="00575F4C">
        <w:rPr>
          <w:rFonts w:cs="Calibri"/>
          <w:sz w:val="24"/>
        </w:rPr>
        <w:t xml:space="preserve">prowadzoną polityką </w:t>
      </w:r>
      <w:proofErr w:type="spellStart"/>
      <w:r w:rsidRPr="00575F4C">
        <w:rPr>
          <w:rFonts w:cs="Calibri"/>
          <w:sz w:val="24"/>
        </w:rPr>
        <w:t>deinstytuc</w:t>
      </w:r>
      <w:r w:rsidR="00801B43" w:rsidRPr="00575F4C">
        <w:rPr>
          <w:rFonts w:cs="Calibri"/>
          <w:sz w:val="24"/>
        </w:rPr>
        <w:t>jonalizacji</w:t>
      </w:r>
      <w:proofErr w:type="spellEnd"/>
      <w:r w:rsidR="00801B43" w:rsidRPr="00575F4C">
        <w:rPr>
          <w:rFonts w:cs="Calibri"/>
          <w:sz w:val="24"/>
        </w:rPr>
        <w:t xml:space="preserve"> pieczy zastępczej i </w:t>
      </w:r>
      <w:r w:rsidRPr="00575F4C">
        <w:rPr>
          <w:rFonts w:cs="Calibri"/>
          <w:sz w:val="24"/>
        </w:rPr>
        <w:t>dążeniem do upowszechnienia form rodzinnych.</w:t>
      </w:r>
    </w:p>
    <w:p w:rsidR="000178B1" w:rsidRPr="00575F4C" w:rsidRDefault="000178B1" w:rsidP="00575F4C">
      <w:pPr>
        <w:spacing w:before="240" w:after="0"/>
        <w:jc w:val="left"/>
        <w:rPr>
          <w:rFonts w:cstheme="minorHAnsi"/>
          <w:b/>
          <w:color w:val="000000" w:themeColor="text1"/>
          <w:sz w:val="24"/>
        </w:rPr>
      </w:pPr>
      <w:r w:rsidRPr="00575F4C">
        <w:rPr>
          <w:rFonts w:cstheme="minorHAnsi"/>
          <w:b/>
          <w:color w:val="000000" w:themeColor="text1"/>
          <w:sz w:val="24"/>
        </w:rPr>
        <w:t>Placówki stacjonarnej pomocy społecznej</w:t>
      </w:r>
    </w:p>
    <w:p w:rsidR="0014730D" w:rsidRPr="00575F4C" w:rsidRDefault="0014730D" w:rsidP="00575F4C">
      <w:pPr>
        <w:jc w:val="left"/>
        <w:rPr>
          <w:sz w:val="24"/>
        </w:rPr>
      </w:pPr>
      <w:r w:rsidRPr="00575F4C">
        <w:rPr>
          <w:rFonts w:cs="Calibri"/>
          <w:sz w:val="24"/>
        </w:rPr>
        <w:t>Jedną ze szczególnych form pomocy społecznej jest opieka w stacjonarnych placówkach pomocy społecznej. Zalicza się do nich: d</w:t>
      </w:r>
      <w:r w:rsidRPr="00575F4C">
        <w:rPr>
          <w:sz w:val="24"/>
        </w:rPr>
        <w:t>omy pomocy społecznej, rodzinne domy pomocy, dzienne domy opieki, placówki prowadzone w ramach działalności gospodarczej lub statutowej, środowiskowe domy samopomocy, mieszkania chronione, domy dla matek, noclegownie, schroniska dla bezdomnych.</w:t>
      </w:r>
    </w:p>
    <w:p w:rsidR="000178B1" w:rsidRPr="00575F4C" w:rsidRDefault="000178B1" w:rsidP="00575F4C">
      <w:pPr>
        <w:spacing w:after="120"/>
        <w:jc w:val="left"/>
        <w:rPr>
          <w:rFonts w:cs="Calibri"/>
          <w:sz w:val="24"/>
        </w:rPr>
      </w:pPr>
      <w:r w:rsidRPr="00575F4C">
        <w:rPr>
          <w:rFonts w:cs="Calibri"/>
          <w:sz w:val="24"/>
        </w:rPr>
        <w:t>W 2021 roku na terenie WrOF działało łącznie 35 takich podmiotów wraz z filiami (w 2017 roku 26). Około 17% (w liczbach bezwzględnych 6) placówek stanowiły podmioty zapewniające całodobową opiekę osobom niepełnosprawnym, przewlekle chor</w:t>
      </w:r>
      <w:r w:rsidR="00AC7054" w:rsidRPr="00575F4C">
        <w:rPr>
          <w:rFonts w:cs="Calibri"/>
          <w:sz w:val="24"/>
        </w:rPr>
        <w:t xml:space="preserve">ym lub osobom w podeszłym wieku. </w:t>
      </w:r>
      <w:r w:rsidRPr="00575F4C">
        <w:rPr>
          <w:rFonts w:cs="Calibri"/>
          <w:sz w:val="24"/>
        </w:rPr>
        <w:t xml:space="preserve">W ujęciu terytorialnym najwięcej placówek było zlokalizowanych we </w:t>
      </w:r>
      <w:r w:rsidR="00AC7054" w:rsidRPr="00575F4C">
        <w:rPr>
          <w:rFonts w:cs="Calibri"/>
          <w:sz w:val="24"/>
        </w:rPr>
        <w:t>Wrocławiu (24), Siechnicach (2)</w:t>
      </w:r>
      <w:r w:rsidRPr="00575F4C">
        <w:rPr>
          <w:rFonts w:cs="Calibri"/>
          <w:sz w:val="24"/>
        </w:rPr>
        <w:t xml:space="preserve"> oraz Obornikach Śląskich (2). Analiza dynamiki liczby placówek w latach 2017-2021 wskazuje na znaczny wzrost ich liczby. Dla obszaru WrOF wyniósł on 35%, co w liczbach bezwzględnych oznacza, iż w badanym czasookresie powstało dodatkowo 9 placówek. W porównaniu do skali krajowej jest </w:t>
      </w:r>
      <w:r w:rsidRPr="00575F4C">
        <w:rPr>
          <w:rFonts w:cs="Calibri"/>
          <w:sz w:val="24"/>
        </w:rPr>
        <w:br/>
        <w:t>to wynik ponad dwukrotnie wyższy (w Polsce wyniósł 16%). Wzrost liczby placówek stacjonarnej pomocy społecznej jest uwarunkowany rosnącym popytem na tego rodzaju usługi pomocowe. Nawiązując do danych demograficznych (starzenie się społeczeństwa) oraz przyczyn udzielania wsparcia z pomocy społecznej (długotrwała choroba) można wysnuć wniosek, że liczba tego typu placówek musi dalej wzrastać. Za tą tezą przemawia również fakt, że na terenie WrOF wskaźnik liczby mieszkańców (w przeliczeniu na 1</w:t>
      </w:r>
      <w:r w:rsidR="00AC7054" w:rsidRPr="00575F4C">
        <w:rPr>
          <w:rFonts w:cs="Calibri"/>
          <w:sz w:val="24"/>
        </w:rPr>
        <w:t xml:space="preserve"> </w:t>
      </w:r>
      <w:r w:rsidRPr="00575F4C">
        <w:rPr>
          <w:rFonts w:cs="Calibri"/>
          <w:sz w:val="24"/>
        </w:rPr>
        <w:t xml:space="preserve">000 osób) do liczby tego typu placówek jest mniej korzystny niż wskaźnik dla województwa, jak i kraju (WrOF - 28,75; województwo dolnośląskie - 20,87; Polska </w:t>
      </w:r>
      <w:r w:rsidRPr="00575F4C">
        <w:rPr>
          <w:rFonts w:cs="Calibri"/>
          <w:sz w:val="24"/>
        </w:rPr>
        <w:br/>
        <w:t>- 18,48).</w:t>
      </w:r>
    </w:p>
    <w:p w:rsidR="000178B1" w:rsidRPr="00575F4C" w:rsidRDefault="000178B1" w:rsidP="00575F4C">
      <w:pPr>
        <w:spacing w:before="240" w:after="0"/>
        <w:jc w:val="left"/>
        <w:rPr>
          <w:rFonts w:cstheme="minorHAnsi"/>
          <w:b/>
          <w:color w:val="000000" w:themeColor="text1"/>
          <w:sz w:val="24"/>
        </w:rPr>
      </w:pPr>
      <w:r w:rsidRPr="00575F4C">
        <w:rPr>
          <w:rFonts w:cstheme="minorHAnsi"/>
          <w:b/>
          <w:color w:val="000000" w:themeColor="text1"/>
          <w:sz w:val="24"/>
        </w:rPr>
        <w:t>Ochrona zdrowia</w:t>
      </w:r>
    </w:p>
    <w:p w:rsidR="00B76684" w:rsidRPr="00575F4C" w:rsidRDefault="000178B1" w:rsidP="00575F4C">
      <w:pPr>
        <w:spacing w:afterLines="80" w:after="192"/>
        <w:jc w:val="left"/>
        <w:rPr>
          <w:rFonts w:cs="Calibri"/>
          <w:sz w:val="24"/>
        </w:rPr>
      </w:pPr>
      <w:r w:rsidRPr="00575F4C">
        <w:rPr>
          <w:rFonts w:cs="Calibri"/>
          <w:sz w:val="24"/>
        </w:rPr>
        <w:t>Dostęp do placówek medycznych oraz programów profilaktycznych stanowi ważny element oceny jakości życia mieszkańców. Ochrona zdrowia realizowana jest na obszarze WrOF między innymi</w:t>
      </w:r>
      <w:r w:rsidR="002670B6" w:rsidRPr="00575F4C">
        <w:rPr>
          <w:rFonts w:cs="Calibri"/>
          <w:sz w:val="24"/>
        </w:rPr>
        <w:t xml:space="preserve"> </w:t>
      </w:r>
      <w:r w:rsidRPr="00575F4C">
        <w:rPr>
          <w:rFonts w:cs="Calibri"/>
          <w:sz w:val="24"/>
        </w:rPr>
        <w:t>przez podmioty lecznicze udzielające świadczeń zdrowotnych w zakresie podstawowej opieki zdrowotnej. Ogólna liczba przychodni na obszarze WrOF w 2021 r. wynosiła 744.</w:t>
      </w:r>
      <w:r w:rsidR="00B72619" w:rsidRPr="00575F4C">
        <w:rPr>
          <w:rFonts w:cs="Calibri"/>
          <w:sz w:val="24"/>
        </w:rPr>
        <w:t xml:space="preserve"> </w:t>
      </w:r>
      <w:r w:rsidRPr="00575F4C">
        <w:rPr>
          <w:rFonts w:cs="Calibri"/>
          <w:sz w:val="24"/>
        </w:rPr>
        <w:t xml:space="preserve">W przeliczeniu na 10 tys. mieszkańców najwyższy wskaźnik dostępności przychodni </w:t>
      </w:r>
      <w:r w:rsidR="00AC7054" w:rsidRPr="00575F4C">
        <w:rPr>
          <w:rFonts w:cs="Calibri"/>
          <w:sz w:val="24"/>
        </w:rPr>
        <w:t>odnotowano we Wrocławiu (9,1) i </w:t>
      </w:r>
      <w:r w:rsidRPr="00575F4C">
        <w:rPr>
          <w:rFonts w:cs="Calibri"/>
          <w:sz w:val="24"/>
        </w:rPr>
        <w:t>Trzebnicy (6,5). Najniższ</w:t>
      </w:r>
      <w:r w:rsidR="00B72619" w:rsidRPr="00575F4C">
        <w:rPr>
          <w:rFonts w:cs="Calibri"/>
          <w:sz w:val="24"/>
        </w:rPr>
        <w:t>a</w:t>
      </w:r>
      <w:r w:rsidRPr="00575F4C">
        <w:rPr>
          <w:rFonts w:cs="Calibri"/>
          <w:sz w:val="24"/>
        </w:rPr>
        <w:t xml:space="preserve"> dostępność przychodni </w:t>
      </w:r>
      <w:r w:rsidR="00B72619" w:rsidRPr="00575F4C">
        <w:rPr>
          <w:rFonts w:cs="Calibri"/>
          <w:sz w:val="24"/>
        </w:rPr>
        <w:t>występuje w gminach:</w:t>
      </w:r>
      <w:r w:rsidRPr="00575F4C">
        <w:rPr>
          <w:rFonts w:cs="Calibri"/>
          <w:sz w:val="24"/>
        </w:rPr>
        <w:t xml:space="preserve"> Wiszni</w:t>
      </w:r>
      <w:r w:rsidR="00B72619" w:rsidRPr="00575F4C">
        <w:rPr>
          <w:rFonts w:cs="Calibri"/>
          <w:sz w:val="24"/>
        </w:rPr>
        <w:t>a</w:t>
      </w:r>
      <w:r w:rsidRPr="00575F4C">
        <w:rPr>
          <w:rFonts w:cs="Calibri"/>
          <w:sz w:val="24"/>
        </w:rPr>
        <w:t xml:space="preserve"> Mał</w:t>
      </w:r>
      <w:r w:rsidR="00B72619" w:rsidRPr="00575F4C">
        <w:rPr>
          <w:rFonts w:cs="Calibri"/>
          <w:sz w:val="24"/>
        </w:rPr>
        <w:t>a</w:t>
      </w:r>
      <w:r w:rsidRPr="00575F4C">
        <w:rPr>
          <w:rFonts w:cs="Calibri"/>
          <w:sz w:val="24"/>
        </w:rPr>
        <w:t xml:space="preserve"> (1,9), Oław</w:t>
      </w:r>
      <w:r w:rsidR="00B72619" w:rsidRPr="00575F4C">
        <w:rPr>
          <w:rFonts w:cs="Calibri"/>
          <w:sz w:val="24"/>
        </w:rPr>
        <w:t>a</w:t>
      </w:r>
      <w:r w:rsidRPr="00575F4C">
        <w:rPr>
          <w:rFonts w:cs="Calibri"/>
          <w:sz w:val="24"/>
        </w:rPr>
        <w:t xml:space="preserve"> (gmina wiejska - 2,0) oraz Czernic</w:t>
      </w:r>
      <w:r w:rsidR="00B72619" w:rsidRPr="00575F4C">
        <w:rPr>
          <w:rFonts w:cs="Calibri"/>
          <w:sz w:val="24"/>
        </w:rPr>
        <w:t>a</w:t>
      </w:r>
      <w:r w:rsidRPr="00575F4C">
        <w:rPr>
          <w:rFonts w:cs="Calibri"/>
          <w:sz w:val="24"/>
        </w:rPr>
        <w:t xml:space="preserve"> (2,7). Analizując dynamikę zmiany wartości wskaźnika zaobserwować można zwiększenie się dostępności placów</w:t>
      </w:r>
      <w:r w:rsidR="00AC7054" w:rsidRPr="00575F4C">
        <w:rPr>
          <w:rFonts w:cs="Calibri"/>
          <w:sz w:val="24"/>
        </w:rPr>
        <w:t>ek w jednostkach usytuowanych w </w:t>
      </w:r>
      <w:r w:rsidRPr="00575F4C">
        <w:rPr>
          <w:rFonts w:cs="Calibri"/>
          <w:sz w:val="24"/>
        </w:rPr>
        <w:t xml:space="preserve">centralnej części WrOF. W miarę oddalania się od Wrocławia wartość wskaźnika maleje (w tych </w:t>
      </w:r>
      <w:r w:rsidR="00EA5CF6" w:rsidRPr="00575F4C">
        <w:rPr>
          <w:rFonts w:cs="Calibri"/>
          <w:sz w:val="24"/>
        </w:rPr>
        <w:t>lokalizacjach zmniejszyła się w </w:t>
      </w:r>
      <w:r w:rsidRPr="00575F4C">
        <w:rPr>
          <w:rFonts w:cs="Calibri"/>
          <w:sz w:val="24"/>
        </w:rPr>
        <w:t>omawianym okresie liczba przychodni).</w:t>
      </w:r>
    </w:p>
    <w:p w:rsidR="00554C75" w:rsidRPr="00575F4C" w:rsidRDefault="00582536" w:rsidP="00575F4C">
      <w:pPr>
        <w:jc w:val="left"/>
        <w:rPr>
          <w:sz w:val="24"/>
        </w:rPr>
      </w:pPr>
      <w:r w:rsidRPr="00575F4C">
        <w:rPr>
          <w:sz w:val="24"/>
        </w:rPr>
        <w:t>Badania ankietowe dały obraz dostępności lekarzy. Poza oczywistym warunkiem ilości lekarzy specjalistów, nie bez znaczenia jest ograniczona dostępność związana z brakiem inf</w:t>
      </w:r>
      <w:r w:rsidR="005A00B1" w:rsidRPr="00575F4C">
        <w:rPr>
          <w:sz w:val="24"/>
        </w:rPr>
        <w:t>r</w:t>
      </w:r>
      <w:r w:rsidRPr="00575F4C">
        <w:rPr>
          <w:sz w:val="24"/>
        </w:rPr>
        <w:t>astruktury w</w:t>
      </w:r>
      <w:r w:rsidR="00666B26" w:rsidRPr="00575F4C">
        <w:rPr>
          <w:sz w:val="24"/>
        </w:rPr>
        <w:t> </w:t>
      </w:r>
      <w:r w:rsidRPr="00575F4C">
        <w:rPr>
          <w:sz w:val="24"/>
        </w:rPr>
        <w:t>gminach dalej oddalonych od Wrocławia jak np.</w:t>
      </w:r>
      <w:r w:rsidR="001D1207">
        <w:rPr>
          <w:sz w:val="24"/>
        </w:rPr>
        <w:t xml:space="preserve"> wyposażone, nowoczesne i </w:t>
      </w:r>
      <w:r w:rsidRPr="00575F4C">
        <w:rPr>
          <w:sz w:val="24"/>
        </w:rPr>
        <w:t>dostosowane budynki ośrodków zdrowia.</w:t>
      </w:r>
    </w:p>
    <w:p w:rsidR="000178B1" w:rsidRPr="00522CB5" w:rsidRDefault="000178B1" w:rsidP="000178B1">
      <w:pPr>
        <w:pStyle w:val="nadWrOF"/>
      </w:pPr>
      <w:bookmarkStart w:id="130" w:name="_Toc125100977"/>
      <w:bookmarkStart w:id="131" w:name="_Toc143606985"/>
      <w:r>
        <w:t xml:space="preserve">Wykres </w:t>
      </w:r>
      <w:r w:rsidR="00C73793">
        <w:rPr>
          <w:noProof/>
        </w:rPr>
        <w:fldChar w:fldCharType="begin"/>
      </w:r>
      <w:r>
        <w:rPr>
          <w:noProof/>
        </w:rPr>
        <w:instrText xml:space="preserve"> SEQ Wykres \* ARABIC </w:instrText>
      </w:r>
      <w:r w:rsidR="00C73793">
        <w:rPr>
          <w:noProof/>
        </w:rPr>
        <w:fldChar w:fldCharType="separate"/>
      </w:r>
      <w:r w:rsidR="00C96A96">
        <w:rPr>
          <w:noProof/>
        </w:rPr>
        <w:t>4</w:t>
      </w:r>
      <w:r w:rsidR="00C73793">
        <w:rPr>
          <w:noProof/>
        </w:rPr>
        <w:fldChar w:fldCharType="end"/>
      </w:r>
      <w:r>
        <w:t xml:space="preserve"> Ocena d</w:t>
      </w:r>
      <w:r w:rsidRPr="00522CB5">
        <w:t>ostępnoś</w:t>
      </w:r>
      <w:r>
        <w:t>ci</w:t>
      </w:r>
      <w:r w:rsidRPr="00522CB5">
        <w:t xml:space="preserve"> lekarzy rodzinnych i specjalistów na obszarze WrOF</w:t>
      </w:r>
      <w:bookmarkEnd w:id="130"/>
      <w:bookmarkEnd w:id="131"/>
    </w:p>
    <w:p w:rsidR="000178B1" w:rsidRPr="003077BC" w:rsidRDefault="00D9130F" w:rsidP="000178B1">
      <w:pPr>
        <w:pStyle w:val="PODWrof"/>
      </w:pPr>
      <w:r>
        <w:rPr>
          <w:noProof/>
          <w:lang w:eastAsia="pl-PL"/>
        </w:rPr>
        <w:drawing>
          <wp:inline distT="0" distB="0" distL="0" distR="0" wp14:anchorId="209637CE" wp14:editId="3DE7A849">
            <wp:extent cx="5760000" cy="1764000"/>
            <wp:effectExtent l="0" t="0" r="12700" b="8255"/>
            <wp:docPr id="89" name="Wykres 89" descr="Ocena dostępności lekarzy rodzinnych i specjalistów na obszarze WrOF" title="Ocena dostępności lekarzy rodzinnych i specjalistów na obszarze WrOF"/>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178B1" w:rsidRPr="003077BC">
        <w:t>Źródło: opracowanie własne na podstawie wyników badania, n=1066.</w:t>
      </w:r>
    </w:p>
    <w:p w:rsidR="000178B1" w:rsidRPr="00575F4C" w:rsidRDefault="000178B1" w:rsidP="00575F4C">
      <w:pPr>
        <w:jc w:val="left"/>
        <w:rPr>
          <w:rFonts w:cs="Calibri"/>
          <w:b/>
          <w:sz w:val="24"/>
        </w:rPr>
      </w:pPr>
      <w:r w:rsidRPr="00575F4C">
        <w:rPr>
          <w:rFonts w:cs="Calibri"/>
          <w:sz w:val="24"/>
        </w:rPr>
        <w:t xml:space="preserve">Ważnym czynnikiem powiązanym z usługami zdrowotnymi jest dostępność aptek. Okres pandemii pokazał, iż placówki te poza profesjonalnym poradnictwem, mogą też pełnić inne funkcje, np. punktów szczepień. </w:t>
      </w:r>
    </w:p>
    <w:p w:rsidR="000178B1" w:rsidRPr="001D1207" w:rsidRDefault="000178B1" w:rsidP="00575F4C">
      <w:pPr>
        <w:spacing w:before="240" w:after="0"/>
        <w:jc w:val="left"/>
        <w:rPr>
          <w:rFonts w:cstheme="minorHAnsi"/>
          <w:b/>
          <w:color w:val="000000" w:themeColor="text1"/>
          <w:sz w:val="24"/>
        </w:rPr>
      </w:pPr>
      <w:r w:rsidRPr="001D1207">
        <w:rPr>
          <w:rFonts w:cstheme="minorHAnsi"/>
          <w:b/>
          <w:color w:val="000000" w:themeColor="text1"/>
          <w:sz w:val="24"/>
        </w:rPr>
        <w:t>Opieka żłobkowa</w:t>
      </w:r>
    </w:p>
    <w:p w:rsidR="000178B1" w:rsidRPr="001D1207" w:rsidRDefault="000178B1" w:rsidP="00575F4C">
      <w:pPr>
        <w:jc w:val="left"/>
        <w:rPr>
          <w:rFonts w:cs="Calibri"/>
          <w:color w:val="000000" w:themeColor="text1"/>
          <w:sz w:val="24"/>
        </w:rPr>
      </w:pPr>
      <w:r w:rsidRPr="001D1207">
        <w:rPr>
          <w:color w:val="000000" w:themeColor="text1"/>
          <w:sz w:val="24"/>
        </w:rPr>
        <w:t xml:space="preserve">Podając za danymi BDL GUS za rok 2021 opieka ta </w:t>
      </w:r>
      <w:r w:rsidRPr="001D1207">
        <w:rPr>
          <w:rFonts w:cs="Calibri"/>
          <w:color w:val="000000" w:themeColor="text1"/>
          <w:sz w:val="24"/>
        </w:rPr>
        <w:t>zapewniana jest na obszarze WrOF przez 249 żłobki, 1 oddział żłobkowy (w Trzebnicy) oraz 44 kluby dziecięce. Dla porównania, w roku 2017 funkcjonowało 185 żłobków, 4 oddziały żłobkowe (w Trzebnicy) oraz 15 klubów dziecięcych. Widoczny jest znaczny wzrost liczby placówek opieki nad dziećmi w wieku do lat 3. Żłobków przybyło o 25,7%, a klubów dziecięcych o 65,9%.</w:t>
      </w:r>
    </w:p>
    <w:p w:rsidR="000178B1" w:rsidRPr="00575F4C" w:rsidRDefault="000178B1" w:rsidP="00575F4C">
      <w:pPr>
        <w:jc w:val="left"/>
        <w:rPr>
          <w:rFonts w:cs="Calibri"/>
          <w:sz w:val="24"/>
        </w:rPr>
      </w:pPr>
      <w:r w:rsidRPr="00575F4C">
        <w:rPr>
          <w:rFonts w:cs="Calibri"/>
          <w:sz w:val="24"/>
        </w:rPr>
        <w:t>Z danych BDL GUS za 2021 rok wynika, że 30,2% dzieci na obszarze WrOF objętych było opieką żłobkową, przy czym w Polsce to zaledwie 15,5%, a w województwie dolnośląskim 23%. Jedyną gminą, na terenie której mieszkańcy nie mogą skorzystać z usług oferowanych przez placówki żłobkowe, jest Zawonia.</w:t>
      </w:r>
    </w:p>
    <w:p w:rsidR="000178B1" w:rsidRPr="00575F4C" w:rsidRDefault="000178B1" w:rsidP="00575F4C">
      <w:pPr>
        <w:spacing w:after="120"/>
        <w:jc w:val="left"/>
        <w:rPr>
          <w:rFonts w:cs="Calibri"/>
          <w:sz w:val="24"/>
        </w:rPr>
      </w:pPr>
      <w:r w:rsidRPr="00575F4C">
        <w:rPr>
          <w:rFonts w:cs="Calibri"/>
          <w:sz w:val="24"/>
        </w:rPr>
        <w:t xml:space="preserve">Opieka nad dziećmi do lat 3 jest ważną usługą z punktu widzenia powrotu matek i ojców na rynek pracy po  urodzeniu dziecka. W skali WrOF w 2021 roku najwyższy odsetek dzieci objętych opieką w żłobkach występuje w </w:t>
      </w:r>
      <w:r w:rsidR="00CF1563" w:rsidRPr="00575F4C">
        <w:rPr>
          <w:rFonts w:cs="Calibri"/>
          <w:sz w:val="24"/>
        </w:rPr>
        <w:t xml:space="preserve">gminach: </w:t>
      </w:r>
      <w:r w:rsidRPr="00575F4C">
        <w:rPr>
          <w:rFonts w:cs="Calibri"/>
          <w:sz w:val="24"/>
        </w:rPr>
        <w:t>Kobierzyc</w:t>
      </w:r>
      <w:r w:rsidR="00CF1563" w:rsidRPr="00575F4C">
        <w:rPr>
          <w:rFonts w:cs="Calibri"/>
          <w:sz w:val="24"/>
        </w:rPr>
        <w:t>e</w:t>
      </w:r>
      <w:r w:rsidRPr="00575F4C">
        <w:rPr>
          <w:rFonts w:cs="Calibri"/>
          <w:sz w:val="24"/>
        </w:rPr>
        <w:t xml:space="preserve"> (45,5%), Oleśnic</w:t>
      </w:r>
      <w:r w:rsidR="00CF1563" w:rsidRPr="00575F4C">
        <w:rPr>
          <w:rFonts w:cs="Calibri"/>
          <w:sz w:val="24"/>
        </w:rPr>
        <w:t>a</w:t>
      </w:r>
      <w:r w:rsidRPr="00575F4C">
        <w:rPr>
          <w:rFonts w:cs="Calibri"/>
          <w:sz w:val="24"/>
        </w:rPr>
        <w:t xml:space="preserve"> (miasto 36,4%) oraz </w:t>
      </w:r>
      <w:r w:rsidR="00CF1563" w:rsidRPr="00575F4C">
        <w:rPr>
          <w:rFonts w:cs="Calibri"/>
          <w:sz w:val="24"/>
        </w:rPr>
        <w:t xml:space="preserve">we </w:t>
      </w:r>
      <w:r w:rsidRPr="00575F4C">
        <w:rPr>
          <w:rFonts w:cs="Calibri"/>
          <w:sz w:val="24"/>
        </w:rPr>
        <w:t>Wrocławiu (32,7%). Najmniej dzieci korzystało ze żłobków w</w:t>
      </w:r>
      <w:r w:rsidR="00CF1563" w:rsidRPr="00575F4C">
        <w:rPr>
          <w:rFonts w:cs="Calibri"/>
          <w:sz w:val="24"/>
        </w:rPr>
        <w:t xml:space="preserve"> gminie</w:t>
      </w:r>
      <w:r w:rsidRPr="00575F4C">
        <w:rPr>
          <w:rFonts w:cs="Calibri"/>
          <w:sz w:val="24"/>
        </w:rPr>
        <w:t xml:space="preserve"> Oleśnic</w:t>
      </w:r>
      <w:r w:rsidR="00CF1563" w:rsidRPr="00575F4C">
        <w:rPr>
          <w:rFonts w:cs="Calibri"/>
          <w:sz w:val="24"/>
        </w:rPr>
        <w:t>a</w:t>
      </w:r>
      <w:r w:rsidRPr="00575F4C">
        <w:rPr>
          <w:rFonts w:cs="Calibri"/>
          <w:sz w:val="24"/>
        </w:rPr>
        <w:t xml:space="preserve"> (gmina wiejska 2%) oraz Oław</w:t>
      </w:r>
      <w:r w:rsidR="00CF1563" w:rsidRPr="00575F4C">
        <w:rPr>
          <w:rFonts w:cs="Calibri"/>
          <w:sz w:val="24"/>
        </w:rPr>
        <w:t>a</w:t>
      </w:r>
      <w:r w:rsidRPr="00575F4C">
        <w:rPr>
          <w:rFonts w:cs="Calibri"/>
          <w:sz w:val="24"/>
        </w:rPr>
        <w:t xml:space="preserve"> (gmina wiejska 6,5%).  Biorąc pod uwagę lata 2017-2021 nastąpił wzrost odsetka dzieci objętych opieką żłobkową.  Największy </w:t>
      </w:r>
      <w:r w:rsidR="00D14449" w:rsidRPr="00575F4C">
        <w:rPr>
          <w:rFonts w:cs="Calibri"/>
          <w:sz w:val="24"/>
        </w:rPr>
        <w:t xml:space="preserve">wzrost </w:t>
      </w:r>
      <w:r w:rsidRPr="00575F4C">
        <w:rPr>
          <w:rFonts w:cs="Calibri"/>
          <w:sz w:val="24"/>
        </w:rPr>
        <w:t>w latach 2017-2021 odnotowano w Trzebnicy i wyniósł on 23,6%, przy czym opiekę żłobkową zapewnia się tam dla 32,5% dzieci w wieku do lat 3. Powołując się na zapisy Dolnośląskiej Strategii Integracji Społecznej na lata 2021-2030 w zakresie opieki nad dziećmi do lat 3</w:t>
      </w:r>
      <w:r w:rsidR="00AC7054" w:rsidRPr="00575F4C">
        <w:rPr>
          <w:rFonts w:cs="Calibri"/>
          <w:sz w:val="24"/>
        </w:rPr>
        <w:t>,</w:t>
      </w:r>
      <w:r w:rsidRPr="00575F4C">
        <w:rPr>
          <w:rFonts w:cs="Calibri"/>
          <w:sz w:val="24"/>
        </w:rPr>
        <w:t xml:space="preserve"> można przewidywać systematyczny rozwój infrastruktury opieki żłobkowej, ponieważ stanowi ona obszar jeszcze nie w pełni zagospodarowany, szczególnie jeśli wzięte zostaną pod uwagę dysproporcje pomiędzy terenami miejskimi oraz wiejskimi.</w:t>
      </w:r>
    </w:p>
    <w:p w:rsidR="000178B1" w:rsidRPr="00575F4C" w:rsidRDefault="000178B1" w:rsidP="00575F4C">
      <w:pPr>
        <w:jc w:val="left"/>
        <w:rPr>
          <w:rFonts w:cs="Calibri"/>
          <w:sz w:val="24"/>
        </w:rPr>
      </w:pPr>
      <w:r w:rsidRPr="00575F4C">
        <w:rPr>
          <w:rFonts w:cs="Calibri"/>
          <w:sz w:val="24"/>
        </w:rPr>
        <w:t>Istotnych informacji w zakresie dostępności instytucjonalnych form opieki i wychowania</w:t>
      </w:r>
      <w:r w:rsidR="00AC7054" w:rsidRPr="00575F4C">
        <w:rPr>
          <w:rFonts w:cs="Calibri"/>
          <w:sz w:val="24"/>
        </w:rPr>
        <w:t xml:space="preserve"> </w:t>
      </w:r>
      <w:r w:rsidRPr="00575F4C">
        <w:rPr>
          <w:rFonts w:cs="Calibri"/>
          <w:sz w:val="24"/>
        </w:rPr>
        <w:t>dostarczają badania ankietowe.</w:t>
      </w:r>
      <w:r w:rsidR="00AC7054" w:rsidRPr="00575F4C">
        <w:rPr>
          <w:rFonts w:cs="Calibri"/>
          <w:sz w:val="24"/>
        </w:rPr>
        <w:t xml:space="preserve"> </w:t>
      </w:r>
      <w:r w:rsidRPr="00575F4C">
        <w:rPr>
          <w:rFonts w:cs="Calibri"/>
          <w:sz w:val="24"/>
        </w:rPr>
        <w:t>Pokazały one, że mieszkańcy podobnie oceniają dostępność przedszkoli (63,1% ocen „dobrze” i „bardzo dobrze”) oraz</w:t>
      </w:r>
      <w:r w:rsidR="001D1207">
        <w:rPr>
          <w:rFonts w:cs="Calibri"/>
          <w:sz w:val="24"/>
        </w:rPr>
        <w:t xml:space="preserve"> żłobków (60,1% ocen „dobrze” i </w:t>
      </w:r>
      <w:r w:rsidRPr="00575F4C">
        <w:rPr>
          <w:rFonts w:cs="Calibri"/>
          <w:sz w:val="24"/>
        </w:rPr>
        <w:t>„bardzo dobrze”). Jedynie blisko 1 na 10 ankietowanych negatywnie wyraża się o dostępności usług opieki nad dziećmi w wieku do lat 3. Respondenci</w:t>
      </w:r>
      <w:r w:rsidRPr="00575F4C">
        <w:rPr>
          <w:rStyle w:val="Odwoanieprzypisudolnego"/>
          <w:rFonts w:cs="Calibri"/>
          <w:sz w:val="24"/>
        </w:rPr>
        <w:footnoteReference w:id="105"/>
      </w:r>
      <w:r w:rsidRPr="00575F4C">
        <w:rPr>
          <w:rFonts w:cs="Calibri"/>
          <w:sz w:val="24"/>
        </w:rPr>
        <w:t xml:space="preserve"> zostali poproszeni także o ocenę najsłabszych stron zamieszkiwanej gminy i jej barier rozwojowych. Więcej niż co czwarty badany wskazywał niską dostępność do świadczeń medycznych (26,9%) oraz zbyt małą liczbę miejsc w żłobkach i przedszkolach (26,0%).</w:t>
      </w:r>
    </w:p>
    <w:p w:rsidR="000178B1" w:rsidRPr="00575F4C" w:rsidRDefault="000178B1" w:rsidP="00575F4C">
      <w:pPr>
        <w:pStyle w:val="nadWrOF"/>
        <w:rPr>
          <w:sz w:val="24"/>
        </w:rPr>
      </w:pPr>
      <w:bookmarkStart w:id="132" w:name="_Toc125100978"/>
      <w:bookmarkStart w:id="133" w:name="_Toc143606986"/>
      <w:r w:rsidRPr="00575F4C">
        <w:rPr>
          <w:sz w:val="24"/>
        </w:rPr>
        <w:t xml:space="preserve">Wykres </w:t>
      </w:r>
      <w:r w:rsidR="00C73793" w:rsidRPr="00575F4C">
        <w:rPr>
          <w:noProof/>
          <w:sz w:val="24"/>
        </w:rPr>
        <w:fldChar w:fldCharType="begin"/>
      </w:r>
      <w:r w:rsidRPr="00575F4C">
        <w:rPr>
          <w:noProof/>
          <w:sz w:val="24"/>
        </w:rPr>
        <w:instrText xml:space="preserve"> SEQ Wykres \* ARABIC </w:instrText>
      </w:r>
      <w:r w:rsidR="00C73793" w:rsidRPr="00575F4C">
        <w:rPr>
          <w:noProof/>
          <w:sz w:val="24"/>
        </w:rPr>
        <w:fldChar w:fldCharType="separate"/>
      </w:r>
      <w:r w:rsidR="00C96A96">
        <w:rPr>
          <w:noProof/>
          <w:sz w:val="24"/>
        </w:rPr>
        <w:t>5</w:t>
      </w:r>
      <w:r w:rsidR="00C73793" w:rsidRPr="00575F4C">
        <w:rPr>
          <w:noProof/>
          <w:sz w:val="24"/>
        </w:rPr>
        <w:fldChar w:fldCharType="end"/>
      </w:r>
      <w:r w:rsidR="00702D7A" w:rsidRPr="00575F4C">
        <w:rPr>
          <w:noProof/>
          <w:sz w:val="24"/>
        </w:rPr>
        <w:t xml:space="preserve"> </w:t>
      </w:r>
      <w:r w:rsidRPr="00575F4C">
        <w:rPr>
          <w:sz w:val="24"/>
        </w:rPr>
        <w:t>Ocena dostępność żłobków i przedszkoli na obszarze WrOF</w:t>
      </w:r>
      <w:bookmarkEnd w:id="132"/>
      <w:bookmarkEnd w:id="133"/>
    </w:p>
    <w:p w:rsidR="000178B1" w:rsidRPr="00134B3C" w:rsidRDefault="000178B1" w:rsidP="000178B1">
      <w:pPr>
        <w:pStyle w:val="nadok"/>
        <w:rPr>
          <w:rFonts w:cs="Calibri"/>
        </w:rPr>
      </w:pPr>
      <w:r w:rsidRPr="00134B3C">
        <w:rPr>
          <w:rFonts w:cs="Calibri"/>
          <w:noProof/>
          <w:lang w:eastAsia="pl-PL"/>
        </w:rPr>
        <w:drawing>
          <wp:inline distT="0" distB="0" distL="0" distR="0" wp14:anchorId="7B2FD92C" wp14:editId="75AB7952">
            <wp:extent cx="5741035" cy="2245057"/>
            <wp:effectExtent l="0" t="0" r="12065" b="3175"/>
            <wp:docPr id="124" name="Wykres 124" descr="Ocena dostępność żłobków i przedszkoli na obszarze WrOF" title="Ocena dostępność żłobków i przedszkoli na obszarze WrOF"/>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178C5" w:rsidRDefault="000178B1" w:rsidP="00F277C3">
      <w:pPr>
        <w:pStyle w:val="podWrOF0"/>
      </w:pPr>
      <w:r w:rsidRPr="00A26C2A">
        <w:t>Źródło: Opracowanie na podstawie wyników badania, n=1</w:t>
      </w:r>
      <w:r w:rsidR="008178C5">
        <w:t> </w:t>
      </w:r>
      <w:r w:rsidRPr="00A26C2A">
        <w:t>066.</w:t>
      </w:r>
    </w:p>
    <w:p w:rsidR="000178B1" w:rsidRPr="00956340" w:rsidRDefault="000178B1" w:rsidP="00F277C3">
      <w:pPr>
        <w:spacing w:before="240" w:after="0"/>
        <w:jc w:val="left"/>
        <w:rPr>
          <w:rFonts w:cstheme="minorHAnsi"/>
          <w:b/>
          <w:color w:val="000000" w:themeColor="text1"/>
          <w:sz w:val="24"/>
        </w:rPr>
      </w:pPr>
      <w:r w:rsidRPr="00956340">
        <w:rPr>
          <w:rFonts w:cstheme="minorHAnsi"/>
          <w:b/>
          <w:color w:val="000000" w:themeColor="text1"/>
          <w:sz w:val="24"/>
        </w:rPr>
        <w:t>Mieszkania komunalne i</w:t>
      </w:r>
      <w:r w:rsidR="00AC7054" w:rsidRPr="00956340">
        <w:rPr>
          <w:rFonts w:cstheme="minorHAnsi"/>
          <w:b/>
          <w:color w:val="000000" w:themeColor="text1"/>
          <w:sz w:val="24"/>
        </w:rPr>
        <w:t xml:space="preserve"> </w:t>
      </w:r>
      <w:r w:rsidRPr="00956340">
        <w:rPr>
          <w:rFonts w:cstheme="minorHAnsi"/>
          <w:b/>
          <w:color w:val="000000" w:themeColor="text1"/>
          <w:sz w:val="24"/>
        </w:rPr>
        <w:t>socjalne</w:t>
      </w:r>
    </w:p>
    <w:p w:rsidR="000178B1" w:rsidRPr="00F277C3" w:rsidRDefault="000178B1" w:rsidP="00F277C3">
      <w:pPr>
        <w:jc w:val="left"/>
        <w:rPr>
          <w:rFonts w:ascii="Calibri" w:eastAsia="Calibri" w:hAnsi="Calibri" w:cs="Times New Roman"/>
          <w:iCs/>
          <w:sz w:val="24"/>
        </w:rPr>
      </w:pPr>
      <w:r w:rsidRPr="00F277C3">
        <w:rPr>
          <w:rFonts w:ascii="Calibri" w:eastAsia="Calibri" w:hAnsi="Calibri" w:cs="Times New Roman"/>
          <w:iCs/>
          <w:sz w:val="24"/>
        </w:rPr>
        <w:t>W 2020 r. ogólna liczba mieszkań na terenie WrOF</w:t>
      </w:r>
      <w:r w:rsidR="00AC7054" w:rsidRPr="00F277C3">
        <w:rPr>
          <w:rFonts w:ascii="Calibri" w:eastAsia="Calibri" w:hAnsi="Calibri" w:cs="Times New Roman"/>
          <w:iCs/>
          <w:sz w:val="24"/>
        </w:rPr>
        <w:t xml:space="preserve"> </w:t>
      </w:r>
      <w:r w:rsidRPr="00F277C3">
        <w:rPr>
          <w:rFonts w:ascii="Calibri" w:eastAsia="Calibri" w:hAnsi="Calibri" w:cs="Times New Roman"/>
          <w:iCs/>
          <w:sz w:val="24"/>
        </w:rPr>
        <w:t xml:space="preserve">kształtowała się na poziomie 487 153. </w:t>
      </w:r>
      <w:r w:rsidR="00DB52CE" w:rsidRPr="00F277C3">
        <w:rPr>
          <w:rFonts w:ascii="Calibri" w:eastAsia="Calibri" w:hAnsi="Calibri" w:cs="Times New Roman"/>
          <w:iCs/>
          <w:sz w:val="24"/>
        </w:rPr>
        <w:t>W </w:t>
      </w:r>
      <w:r w:rsidRPr="00F277C3">
        <w:rPr>
          <w:rFonts w:ascii="Calibri" w:eastAsia="Calibri" w:hAnsi="Calibri" w:cs="Times New Roman"/>
          <w:iCs/>
          <w:sz w:val="24"/>
        </w:rPr>
        <w:t>przeliczeniu na 1000 mieszkańców wartość wskaźnika wyn</w:t>
      </w:r>
      <w:r w:rsidR="001D1207">
        <w:rPr>
          <w:rFonts w:ascii="Calibri" w:eastAsia="Calibri" w:hAnsi="Calibri" w:cs="Times New Roman"/>
          <w:iCs/>
          <w:sz w:val="24"/>
        </w:rPr>
        <w:t>iosła 487,2 i była wyższa niż w </w:t>
      </w:r>
      <w:r w:rsidRPr="00F277C3">
        <w:rPr>
          <w:rFonts w:ascii="Calibri" w:eastAsia="Calibri" w:hAnsi="Calibri" w:cs="Times New Roman"/>
          <w:iCs/>
          <w:sz w:val="24"/>
        </w:rPr>
        <w:t>Polsce (392,4) i województwie dolnośląskim (424,8), co może świadczyć o wysokiej atrakcyjności osiedleńczej obszaru.</w:t>
      </w:r>
    </w:p>
    <w:p w:rsidR="000178B1" w:rsidRPr="00F277C3" w:rsidRDefault="000178B1" w:rsidP="00F277C3">
      <w:pPr>
        <w:jc w:val="left"/>
        <w:rPr>
          <w:rFonts w:cs="Calibri"/>
          <w:sz w:val="24"/>
        </w:rPr>
      </w:pPr>
      <w:r w:rsidRPr="00F277C3">
        <w:rPr>
          <w:rFonts w:cs="Calibri"/>
          <w:sz w:val="24"/>
        </w:rPr>
        <w:t>Łączna liczba mieszkań komunalnych na terenie WrOF w 2020 roku wyniosła 37 634 i była niższa niż w 2018 roku (39 160) o blisko 4%. Obserwując dynamikę zmian liczby mieszkań komunalnych i lokali socjalnych można zauważyć kilka tendencji. Po pierwsze zarówno we WrOF</w:t>
      </w:r>
      <w:r w:rsidR="006D1F15" w:rsidRPr="00F277C3">
        <w:rPr>
          <w:rFonts w:cs="Calibri"/>
          <w:sz w:val="24"/>
        </w:rPr>
        <w:t>,</w:t>
      </w:r>
      <w:r w:rsidR="00AC7054" w:rsidRPr="00F277C3">
        <w:rPr>
          <w:rFonts w:cs="Calibri"/>
          <w:sz w:val="24"/>
        </w:rPr>
        <w:t xml:space="preserve"> </w:t>
      </w:r>
      <w:r w:rsidRPr="00F277C3">
        <w:rPr>
          <w:rFonts w:cs="Calibri"/>
          <w:sz w:val="24"/>
        </w:rPr>
        <w:t>w województwie dolnośląskim</w:t>
      </w:r>
      <w:r w:rsidR="006D1F15" w:rsidRPr="00F277C3">
        <w:rPr>
          <w:rFonts w:cs="Calibri"/>
          <w:sz w:val="24"/>
        </w:rPr>
        <w:t xml:space="preserve"> oraz </w:t>
      </w:r>
      <w:r w:rsidRPr="00F277C3">
        <w:rPr>
          <w:rFonts w:cs="Calibri"/>
          <w:sz w:val="24"/>
        </w:rPr>
        <w:t>w Polsce spada wartość wskaźnika liczby mieszkań komunalnych na 1000 mieszkańców. We Wr</w:t>
      </w:r>
      <w:r w:rsidR="001D1207">
        <w:rPr>
          <w:rFonts w:cs="Calibri"/>
          <w:sz w:val="24"/>
        </w:rPr>
        <w:t>OF spadek ten jest wyższy niż w </w:t>
      </w:r>
      <w:r w:rsidRPr="00F277C3">
        <w:rPr>
          <w:rFonts w:cs="Calibri"/>
          <w:sz w:val="24"/>
        </w:rPr>
        <w:t>pozostałych porównywanych jednostkach. Widoczne zmiany mogą być efektem zbywania mieszkań na rzecz najemców, a także ograniczonyc</w:t>
      </w:r>
      <w:r w:rsidR="001D1207">
        <w:rPr>
          <w:rFonts w:cs="Calibri"/>
          <w:sz w:val="24"/>
        </w:rPr>
        <w:t>h możliwości finansowych gmin w </w:t>
      </w:r>
      <w:r w:rsidRPr="00F277C3">
        <w:rPr>
          <w:rFonts w:cs="Calibri"/>
          <w:sz w:val="24"/>
        </w:rPr>
        <w:t>zakresie utrzymania komun</w:t>
      </w:r>
      <w:r w:rsidR="00DB52CE" w:rsidRPr="00F277C3">
        <w:rPr>
          <w:rFonts w:cs="Calibri"/>
          <w:sz w:val="24"/>
        </w:rPr>
        <w:t>alnego zasobu mieszkaniowego. W </w:t>
      </w:r>
      <w:r w:rsidRPr="00F277C3">
        <w:rPr>
          <w:rFonts w:cs="Calibri"/>
          <w:sz w:val="24"/>
        </w:rPr>
        <w:t>przypadku lokali socjalnych zmiany mają odwrotny charakter – porównując 2017 rok do 2019 zauważa się wzrost wartości wskaźnika lokali socjalnych na 1000 mieszkańców. We WrOF wyniósł on 3%, natomiast w województwie dolnośląskim zaledwie 1%, a w skali ogólnopolskiej nie odnotowano żadnych zmian. Spośród gmin WrOF największe spadki liczby mieszkań komunalnych odnotowano w</w:t>
      </w:r>
      <w:r w:rsidR="00666B26" w:rsidRPr="00F277C3">
        <w:rPr>
          <w:rFonts w:cs="Calibri"/>
          <w:sz w:val="24"/>
        </w:rPr>
        <w:t> </w:t>
      </w:r>
      <w:r w:rsidRPr="00F277C3">
        <w:rPr>
          <w:rFonts w:cs="Calibri"/>
          <w:sz w:val="24"/>
        </w:rPr>
        <w:t>gminach wiejskich – Czernicy, Oławie i Długołęc</w:t>
      </w:r>
      <w:r w:rsidR="00DB52CE" w:rsidRPr="00F277C3">
        <w:rPr>
          <w:rFonts w:cs="Calibri"/>
          <w:sz w:val="24"/>
        </w:rPr>
        <w:t xml:space="preserve">e. Najwięcej lokali socjalnych </w:t>
      </w:r>
      <w:r w:rsidRPr="00F277C3">
        <w:rPr>
          <w:rFonts w:cs="Calibri"/>
          <w:sz w:val="24"/>
        </w:rPr>
        <w:t>w stosunku do liczby ludności przybyło w Oleśnicy (gmina wiejska), Oleśnicy (miasto) oraz Wrocławiu. Wzrost liczby lokali socjalnych może być związany z powiększaniem się grupy mieszkańców o niskich dochodach.</w:t>
      </w:r>
    </w:p>
    <w:p w:rsidR="00B94C32" w:rsidRPr="00F277C3" w:rsidRDefault="00B94C32" w:rsidP="00F277C3">
      <w:pPr>
        <w:jc w:val="left"/>
        <w:rPr>
          <w:rFonts w:ascii="Calibri" w:eastAsia="Calibri" w:hAnsi="Calibri" w:cs="Times New Roman"/>
          <w:iCs/>
          <w:sz w:val="24"/>
        </w:rPr>
      </w:pPr>
      <w:r w:rsidRPr="00F277C3">
        <w:rPr>
          <w:rFonts w:ascii="Calibri" w:eastAsia="Calibri" w:hAnsi="Calibri" w:cs="Times New Roman"/>
          <w:iCs/>
          <w:sz w:val="24"/>
        </w:rPr>
        <w:t>Mieszkania komunalne i lokale socjalne są przyznawane mieszkańcom o szczególnych potrzebach (np. ze względu na niskie zarobki lub trudną sytuację życiową), co więcej sąd może nakazać gminie zapewnić odpowiedni lokal socjalny. Dokumentami, które regulują przyznawanie lokali są najczęściej uchwały w sprawie zasad wynajmowania lokali mieszkalnych wchodzących w skład mieszkaniowego zasobu gminy, wskazują jakie kryteria (najczęściej próg dochodowy) musi spełnić mieszkaniec, aby móc starać się o przyznanie mieszkania komunalnego lub lokalu socjalnego.</w:t>
      </w:r>
    </w:p>
    <w:p w:rsidR="000178B1" w:rsidRDefault="000178B1" w:rsidP="00F277C3">
      <w:pPr>
        <w:jc w:val="left"/>
        <w:rPr>
          <w:rFonts w:cs="Calibri"/>
          <w:sz w:val="24"/>
        </w:rPr>
      </w:pPr>
      <w:r w:rsidRPr="00F277C3">
        <w:rPr>
          <w:rFonts w:cs="Calibri"/>
          <w:sz w:val="24"/>
        </w:rPr>
        <w:t>W kontekście mieszkalnictwa bardzo ważna kwe</w:t>
      </w:r>
      <w:r w:rsidR="00DB52CE" w:rsidRPr="00F277C3">
        <w:rPr>
          <w:rFonts w:cs="Calibri"/>
          <w:sz w:val="24"/>
        </w:rPr>
        <w:t xml:space="preserve">stią jest stałe badanie popytu na mieszkania </w:t>
      </w:r>
      <w:r w:rsidRPr="00F277C3">
        <w:rPr>
          <w:rFonts w:cs="Calibri"/>
          <w:sz w:val="24"/>
        </w:rPr>
        <w:t>wspomagane. Jest to usługa świadczona w postaci mieszkania lub domu, przygotowującego osob</w:t>
      </w:r>
      <w:r w:rsidR="00DB52CE" w:rsidRPr="00F277C3">
        <w:rPr>
          <w:rFonts w:cs="Calibri"/>
          <w:sz w:val="24"/>
        </w:rPr>
        <w:t>y w </w:t>
      </w:r>
      <w:r w:rsidRPr="00F277C3">
        <w:rPr>
          <w:rFonts w:cs="Calibri"/>
          <w:sz w:val="24"/>
        </w:rPr>
        <w:t>nim przebywające do prowadzenia samodzielnego życia lub zapewniającego pomoc w prowadzeniu samodzielnego życia.</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956340" w:rsidRPr="00800D30" w:rsidTr="006A36A5">
        <w:trPr>
          <w:trHeight w:val="510"/>
          <w:tblHeader/>
        </w:trPr>
        <w:tc>
          <w:tcPr>
            <w:tcW w:w="9062" w:type="dxa"/>
            <w:vAlign w:val="center"/>
          </w:tcPr>
          <w:p w:rsidR="00956340" w:rsidRPr="00800D30" w:rsidRDefault="00956340" w:rsidP="006A36A5">
            <w:pPr>
              <w:spacing w:line="240" w:lineRule="auto"/>
              <w:jc w:val="left"/>
              <w:rPr>
                <w:b/>
                <w:sz w:val="24"/>
              </w:rPr>
            </w:pPr>
            <w:r w:rsidRPr="00800D30">
              <w:rPr>
                <w:b/>
                <w:sz w:val="24"/>
              </w:rPr>
              <w:t>Kluczowe wyzwania strategiczne</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Systematyczny rozwój usług społecznych, w związku z dynamicznymi </w:t>
            </w:r>
            <w:r>
              <w:rPr>
                <w:rFonts w:cs="Calibri"/>
              </w:rPr>
              <w:br/>
            </w:r>
            <w:r w:rsidRPr="000D3EF8">
              <w:rPr>
                <w:rFonts w:cs="Calibri"/>
              </w:rPr>
              <w:t>zmianami</w:t>
            </w:r>
            <w:r>
              <w:rPr>
                <w:rFonts w:cs="Calibri"/>
              </w:rPr>
              <w:t>,</w:t>
            </w:r>
            <w:r w:rsidRPr="000D3EF8">
              <w:rPr>
                <w:rFonts w:cs="Calibri"/>
              </w:rPr>
              <w:t xml:space="preserve"> poprzez modernizację i rozbudowę placówek dziennych i całodobowych </w:t>
            </w:r>
            <w:r>
              <w:rPr>
                <w:rFonts w:cs="Calibri"/>
              </w:rPr>
              <w:br/>
            </w:r>
            <w:r w:rsidRPr="000D3EF8">
              <w:rPr>
                <w:rFonts w:cs="Calibri"/>
              </w:rPr>
              <w:t>w szczególności domy pomocy społecznej, ośrodki wsparcia, dzienne domy opieki medycznej, ośrodki interwencji kryzysowej.</w:t>
            </w:r>
            <w:r>
              <w:rPr>
                <w:rFonts w:cs="Calibri"/>
              </w:rPr>
              <w:t xml:space="preserve"> </w:t>
            </w:r>
            <w:r w:rsidRPr="000D3EF8">
              <w:rPr>
                <w:rFonts w:cs="Calibri"/>
              </w:rPr>
              <w:t xml:space="preserve">Wsparcie w funkcjonowaniu różnych form opieki i szkoleniu kadry.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Rozwój usług w zakresie mieszkań chronionych, </w:t>
            </w:r>
            <w:proofErr w:type="spellStart"/>
            <w:r w:rsidRPr="000D3EF8">
              <w:rPr>
                <w:rFonts w:cs="Calibri"/>
              </w:rPr>
              <w:t>wytchnieniowych</w:t>
            </w:r>
            <w:proofErr w:type="spellEnd"/>
            <w:r w:rsidRPr="000D3EF8">
              <w:rPr>
                <w:rFonts w:cs="Calibri"/>
              </w:rPr>
              <w:t xml:space="preserve"> oraz mieszkań wspomaganych dla mieszkańców ZIT WrOF, wraz z bieżącym monitoringiem potrzeb. Konieczne środki na remonty, adaptację, wyposażenie.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Promocja i wsparcie samopomocowych form wsparcia </w:t>
            </w:r>
            <w:r>
              <w:rPr>
                <w:rFonts w:cs="Calibri"/>
              </w:rPr>
              <w:t>jak, np. wolontariat opiekuńczy</w:t>
            </w:r>
            <w:r w:rsidRPr="000D3EF8">
              <w:rPr>
                <w:rFonts w:cs="Calibri"/>
              </w:rPr>
              <w:t>, sąsiedzkie usługi opiekuńcze</w:t>
            </w:r>
            <w:r>
              <w:rPr>
                <w:rFonts w:cs="Calibri"/>
              </w:rPr>
              <w:t>.</w:t>
            </w:r>
            <w:r w:rsidRPr="000D3EF8">
              <w:rPr>
                <w:rFonts w:cs="Calibri"/>
              </w:rPr>
              <w:t xml:space="preserve">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Budowanie spójnego i komplementarnego systemu wsparcia społecznego na terenie gmin ZIT WrOF. Tworzenie narzędzi do ułatwiania wymiany informacji między </w:t>
            </w:r>
            <w:r w:rsidRPr="000D3EF8">
              <w:t>organami administracji samorządowej</w:t>
            </w:r>
            <w:r>
              <w:t xml:space="preserve"> </w:t>
            </w:r>
            <w:r w:rsidRPr="000D3EF8">
              <w:t xml:space="preserve"> oraz m.in. organizacjami społecznymi, fundacjami, stowarzyszeniami działającymi w obszarze polityki społecznej. Wzmocnienie współpracy międzyinstytucjonalnej, w tym współpracy organizacji pozarządowych z instytucjami publicznymi, realizujących usługi społeczne, poprzez wypracowanie trwałego modelu współpracy.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Systematyczny rozwój usług asystenckich, usług opiekuńczych i specjalistycznych usług opiekuńczych zarówno w miejscu zamieszkania jak </w:t>
            </w:r>
            <w:r>
              <w:rPr>
                <w:rFonts w:cs="Calibri"/>
              </w:rPr>
              <w:t>i w placówkach dziennych oraz  </w:t>
            </w:r>
            <w:r w:rsidRPr="000D3EF8">
              <w:rPr>
                <w:rFonts w:cs="Calibri"/>
              </w:rPr>
              <w:t>całodobowych</w:t>
            </w:r>
            <w:r>
              <w:rPr>
                <w:rFonts w:cs="Calibri"/>
              </w:rPr>
              <w:t xml:space="preserve"> takich</w:t>
            </w:r>
            <w:r w:rsidRPr="000D3EF8">
              <w:rPr>
                <w:rFonts w:cs="Calibri"/>
              </w:rPr>
              <w:t xml:space="preserve"> jak m.in. dzienne domy pomocy, kluby seniora</w:t>
            </w:r>
            <w:r>
              <w:rPr>
                <w:rFonts w:cs="Calibri"/>
              </w:rPr>
              <w:t xml:space="preserve"> itp.</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Wsparcie i rozwój usług opieki </w:t>
            </w:r>
            <w:proofErr w:type="spellStart"/>
            <w:r w:rsidRPr="000D3EF8">
              <w:rPr>
                <w:rFonts w:cs="Calibri"/>
              </w:rPr>
              <w:t>wytchnieniowej</w:t>
            </w:r>
            <w:proofErr w:type="spellEnd"/>
            <w:r w:rsidRPr="000D3EF8">
              <w:rPr>
                <w:rFonts w:cs="Calibri"/>
              </w:rPr>
              <w:t>. W</w:t>
            </w:r>
            <w:r>
              <w:rPr>
                <w:rFonts w:cs="Calibri"/>
              </w:rPr>
              <w:t xml:space="preserve">sparcie opiekunów faktycznych. </w:t>
            </w:r>
            <w:r w:rsidRPr="000D3EF8">
              <w:rPr>
                <w:rFonts w:cs="Calibri"/>
              </w:rPr>
              <w:t xml:space="preserve">Szkolenia kadr. Tworzenie miejsc świadczenia usług opieki </w:t>
            </w:r>
            <w:proofErr w:type="spellStart"/>
            <w:r w:rsidRPr="000D3EF8">
              <w:rPr>
                <w:rFonts w:cs="Calibri"/>
              </w:rPr>
              <w:t>wytchnieniowej</w:t>
            </w:r>
            <w:proofErr w:type="spellEnd"/>
            <w:r w:rsidRPr="000D3EF8">
              <w:rPr>
                <w:rFonts w:cs="Calibri"/>
              </w:rPr>
              <w:t xml:space="preserve"> w placówce oraz miejscu zamieszkania. </w:t>
            </w:r>
          </w:p>
        </w:tc>
      </w:tr>
      <w:tr w:rsidR="00956340" w:rsidTr="006A36A5">
        <w:trPr>
          <w:trHeight w:val="737"/>
        </w:trPr>
        <w:tc>
          <w:tcPr>
            <w:tcW w:w="9062" w:type="dxa"/>
            <w:vAlign w:val="center"/>
          </w:tcPr>
          <w:p w:rsidR="00956340" w:rsidRPr="000D3EF8" w:rsidRDefault="00956340" w:rsidP="00956340">
            <w:pPr>
              <w:spacing w:line="240" w:lineRule="auto"/>
              <w:jc w:val="left"/>
            </w:pPr>
            <w:r w:rsidRPr="000D3EF8">
              <w:t xml:space="preserve">Konieczność nakładów inwestycyjnych na  zapewnienia dostępności architektonicznej, komunikacyjnej i cyfrowo-informacyjnej wszelkich świadczonych usług. </w:t>
            </w:r>
          </w:p>
        </w:tc>
      </w:tr>
      <w:tr w:rsidR="00956340" w:rsidTr="006A36A5">
        <w:trPr>
          <w:trHeight w:val="737"/>
        </w:trPr>
        <w:tc>
          <w:tcPr>
            <w:tcW w:w="9062" w:type="dxa"/>
            <w:vAlign w:val="center"/>
          </w:tcPr>
          <w:p w:rsidR="00956340" w:rsidRPr="000D3EF8" w:rsidRDefault="00956340" w:rsidP="00956340">
            <w:pPr>
              <w:spacing w:line="240" w:lineRule="auto"/>
              <w:jc w:val="left"/>
            </w:pPr>
            <w:r w:rsidRPr="000D3EF8">
              <w:t xml:space="preserve">Gwałtownie rosnąca liczba cudzoziemców (głównie migrantów wojennych) wyznacza nowe wyzwania dotyczące integracji społecznej dla samorządów WrOF. Zwiększająca się liczba ludności powodować będzie ponadnormatywne zapotrzebowanie na usługi społeczne. Konieczna jest zatem optymalizacja ich systemu w ten sposób aby z jednej strony </w:t>
            </w:r>
            <w:r w:rsidR="001D1207">
              <w:t>wypełniał on rolę integrującą z </w:t>
            </w:r>
            <w:r w:rsidRPr="000D3EF8">
              <w:t xml:space="preserve">drugiej strony natomiast był wydolny dla rosnącej populacji.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Rekomenduje się podejmowanie wspólnych działań samorządów</w:t>
            </w:r>
            <w:r w:rsidR="001D1207">
              <w:rPr>
                <w:rFonts w:cs="Calibri"/>
              </w:rPr>
              <w:t xml:space="preserve"> WrOF w zakresie profilaktyki i </w:t>
            </w:r>
            <w:r w:rsidRPr="000D3EF8">
              <w:rPr>
                <w:rFonts w:cs="Calibri"/>
              </w:rPr>
              <w:t xml:space="preserve">przeciwdziałaniu przemocy w rodzinie oraz problematyki zdrowia psychicznego dzieci </w:t>
            </w:r>
            <w:r>
              <w:rPr>
                <w:rFonts w:cs="Calibri"/>
              </w:rPr>
              <w:br/>
            </w:r>
            <w:r w:rsidRPr="000D3EF8">
              <w:rPr>
                <w:rFonts w:cs="Calibri"/>
              </w:rPr>
              <w:t>i młodzieży. Położenie nacisku na zdrowie młodego pokolenia, zwłaszcza te w sferze mentalnej, stanowi wyzwanie, zwłaszcza w zakresie przeciwdziałaniu skutkom obostrzeń pandemicznych.</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Zaleca się stałe wzmacnianie systemu pieczy zastępczej, która powinna być prowadzona przy szerokiej współpracy podmiotów publicznych z organizacjami pozarządowymi.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 xml:space="preserve">W związku ze zmieniającą się demografią </w:t>
            </w:r>
            <w:r>
              <w:rPr>
                <w:rFonts w:cs="Calibri"/>
              </w:rPr>
              <w:t>populacji</w:t>
            </w:r>
            <w:r w:rsidRPr="000D3EF8">
              <w:rPr>
                <w:rFonts w:cs="Calibri"/>
              </w:rPr>
              <w:t xml:space="preserve"> ZIT WrOF rozwój różnych form usług społecznych oraz zdrowotnych, dostosowanych do zmieni</w:t>
            </w:r>
            <w:r>
              <w:rPr>
                <w:rFonts w:cs="Calibri"/>
              </w:rPr>
              <w:t>aj</w:t>
            </w:r>
            <w:r w:rsidRPr="000D3EF8">
              <w:rPr>
                <w:rFonts w:cs="Calibri"/>
              </w:rPr>
              <w:t xml:space="preserve">ących się potrzeb. Wsparcie klubów seniora, dziennych domów pobytu, dziennych domów opieki medycznej itp.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Rozwój różnych form opieki nad dziećmi do lat 3</w:t>
            </w:r>
            <w:r>
              <w:rPr>
                <w:rFonts w:cs="Calibri"/>
              </w:rPr>
              <w:t>:</w:t>
            </w:r>
            <w:r w:rsidRPr="000D3EF8">
              <w:rPr>
                <w:rFonts w:cs="Calibri"/>
              </w:rPr>
              <w:t xml:space="preserve"> oddziały żł</w:t>
            </w:r>
            <w:r>
              <w:rPr>
                <w:rFonts w:cs="Calibri"/>
              </w:rPr>
              <w:t>o</w:t>
            </w:r>
            <w:r w:rsidRPr="000D3EF8">
              <w:rPr>
                <w:rFonts w:cs="Calibri"/>
              </w:rPr>
              <w:t xml:space="preserve">bkowe, kluby dziecięce, dzienny opiekun itp.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Zintensyfikowanie działań na rzecz aktywnej integracji osób zagrożonych wykluczeniem społecznym oraz ubóstwem  poprzez m.in. podstawowe usługi wspierające w zakresie powrotu na rynek pracy, działania dot. wsparcia w zakresie nabycia/przywrócenia kompetencji społecznych.</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Utworzenie i rozwój podmiotów reintegracyjnych o charakterze ponadlokalnym  na obszarach gmin ZIT WrOF</w:t>
            </w:r>
            <w:r>
              <w:rPr>
                <w:rFonts w:cs="Calibri"/>
              </w:rPr>
              <w:t>.</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r w:rsidRPr="000D3EF8">
              <w:rPr>
                <w:rFonts w:cs="Calibri"/>
              </w:rPr>
              <w:t>Sporym wyzwaniem, związanym ze zmieniająca się demografia i rynkiem pracy jest kształcenia kandydatów oraz kadr świadczących usługi społeczne, w tym opiekuńcze i asystenckie</w:t>
            </w:r>
            <w:r>
              <w:rPr>
                <w:rFonts w:cs="Calibri"/>
              </w:rPr>
              <w:t xml:space="preserve"> oraz</w:t>
            </w:r>
            <w:r w:rsidRPr="000D3EF8">
              <w:rPr>
                <w:rFonts w:cs="Calibri"/>
              </w:rPr>
              <w:t xml:space="preserve"> opiekunów faktycznych .</w:t>
            </w:r>
          </w:p>
        </w:tc>
      </w:tr>
      <w:tr w:rsidR="00956340" w:rsidTr="006A36A5">
        <w:trPr>
          <w:trHeight w:val="737"/>
        </w:trPr>
        <w:tc>
          <w:tcPr>
            <w:tcW w:w="9062" w:type="dxa"/>
            <w:vAlign w:val="center"/>
          </w:tcPr>
          <w:p w:rsidR="00956340" w:rsidRPr="000D3EF8" w:rsidRDefault="00956340" w:rsidP="00956340">
            <w:pPr>
              <w:spacing w:line="240" w:lineRule="auto"/>
              <w:jc w:val="left"/>
              <w:rPr>
                <w:rFonts w:cs="Calibri"/>
              </w:rPr>
            </w:pPr>
            <w:proofErr w:type="spellStart"/>
            <w:r w:rsidRPr="000D3EF8">
              <w:rPr>
                <w:rFonts w:cs="Calibri"/>
              </w:rPr>
              <w:t>Deinstytucjonalizacja</w:t>
            </w:r>
            <w:proofErr w:type="spellEnd"/>
            <w:r w:rsidRPr="000D3EF8">
              <w:rPr>
                <w:rFonts w:cs="Calibri"/>
              </w:rPr>
              <w:t xml:space="preserve"> usług opiekuńczych, specjalistycznych usług opiekuńczych, asystenckich. Rozwój i wsparcie form wsparcia dziennego, domów rodzinnych, domów krótkiego pobytu itp.</w:t>
            </w:r>
          </w:p>
        </w:tc>
      </w:tr>
      <w:tr w:rsidR="00956340" w:rsidTr="006A36A5">
        <w:trPr>
          <w:trHeight w:val="737"/>
        </w:trPr>
        <w:tc>
          <w:tcPr>
            <w:tcW w:w="9062" w:type="dxa"/>
            <w:vAlign w:val="center"/>
          </w:tcPr>
          <w:p w:rsidR="00956340" w:rsidRPr="000D3EF8" w:rsidRDefault="00956340" w:rsidP="00956340">
            <w:pPr>
              <w:pStyle w:val="Default"/>
            </w:pPr>
            <w:r w:rsidRPr="000D3EF8">
              <w:rPr>
                <w:rFonts w:asciiTheme="minorHAnsi" w:hAnsiTheme="minorHAnsi"/>
                <w:color w:val="auto"/>
                <w:sz w:val="22"/>
                <w:szCs w:val="22"/>
              </w:rPr>
              <w:t xml:space="preserve">Tworzenie i wsparcie funkcjonowania placówek dla osób potrzebujących wsparcia </w:t>
            </w:r>
            <w:r>
              <w:rPr>
                <w:rFonts w:asciiTheme="minorHAnsi" w:hAnsiTheme="minorHAnsi"/>
                <w:color w:val="auto"/>
                <w:sz w:val="22"/>
                <w:szCs w:val="22"/>
              </w:rPr>
              <w:br/>
            </w:r>
            <w:r w:rsidRPr="000D3EF8">
              <w:rPr>
                <w:rFonts w:asciiTheme="minorHAnsi" w:hAnsiTheme="minorHAnsi"/>
                <w:color w:val="auto"/>
                <w:sz w:val="22"/>
                <w:szCs w:val="22"/>
              </w:rPr>
              <w:t>w codziennym funkcjonowaniu, zapewniających całodzienne usługi opiekuńcze specjalistyczne usługi opiekuńcze oraz aktywizację w sferze fizycznej, intelektualnej oraz społecznej</w:t>
            </w:r>
            <w:r>
              <w:rPr>
                <w:rFonts w:asciiTheme="minorHAnsi" w:hAnsiTheme="minorHAnsi"/>
                <w:color w:val="auto"/>
                <w:sz w:val="22"/>
                <w:szCs w:val="22"/>
              </w:rPr>
              <w:t xml:space="preserve"> tj. dziennych domów opieki medycznej.</w:t>
            </w:r>
          </w:p>
        </w:tc>
      </w:tr>
    </w:tbl>
    <w:p w:rsidR="000178B1" w:rsidRPr="008178C5" w:rsidRDefault="00DB52CE" w:rsidP="00666B26">
      <w:pPr>
        <w:pStyle w:val="Nagwek2"/>
      </w:pPr>
      <w:bookmarkStart w:id="134" w:name="_Toc115450213"/>
      <w:bookmarkStart w:id="135" w:name="_Toc124767667"/>
      <w:bookmarkStart w:id="136" w:name="_Toc125707454"/>
      <w:bookmarkStart w:id="137" w:name="_Toc143673214"/>
      <w:r w:rsidRPr="008178C5">
        <w:t>II.</w:t>
      </w:r>
      <w:r w:rsidR="00187AED" w:rsidRPr="008178C5">
        <w:t>11</w:t>
      </w:r>
      <w:r w:rsidR="000178B1" w:rsidRPr="008178C5">
        <w:t xml:space="preserve"> Edukacja i wychowanie</w:t>
      </w:r>
      <w:bookmarkEnd w:id="134"/>
      <w:bookmarkEnd w:id="135"/>
      <w:bookmarkEnd w:id="136"/>
      <w:bookmarkEnd w:id="137"/>
    </w:p>
    <w:p w:rsidR="000178B1" w:rsidRPr="00956340" w:rsidRDefault="000178B1" w:rsidP="00956340">
      <w:pPr>
        <w:jc w:val="left"/>
        <w:rPr>
          <w:rFonts w:ascii="Calibri" w:hAnsi="Calibri" w:cs="Calibri"/>
          <w:color w:val="000000" w:themeColor="text1"/>
          <w:sz w:val="24"/>
        </w:rPr>
      </w:pPr>
      <w:r w:rsidRPr="00956340">
        <w:rPr>
          <w:rFonts w:ascii="Calibri" w:hAnsi="Calibri" w:cs="Calibri"/>
          <w:color w:val="000000" w:themeColor="text1"/>
          <w:sz w:val="24"/>
        </w:rPr>
        <w:t xml:space="preserve">W niniejszym rozdziale przeanalizowano </w:t>
      </w:r>
      <w:r w:rsidR="00DB52CE" w:rsidRPr="00956340">
        <w:rPr>
          <w:rFonts w:ascii="Calibri" w:hAnsi="Calibri" w:cs="Calibri"/>
          <w:color w:val="000000" w:themeColor="text1"/>
          <w:sz w:val="24"/>
        </w:rPr>
        <w:t>system placówek wychowawczych i </w:t>
      </w:r>
      <w:r w:rsidRPr="00956340">
        <w:rPr>
          <w:rFonts w:ascii="Calibri" w:hAnsi="Calibri" w:cs="Calibri"/>
          <w:color w:val="000000" w:themeColor="text1"/>
          <w:sz w:val="24"/>
        </w:rPr>
        <w:t>edukacyjnych, ich obciążenie, stan infrastruktury edukacyjnej, a także zapotrzebowanie na kadry oświat</w:t>
      </w:r>
      <w:r w:rsidR="008178C5" w:rsidRPr="00956340">
        <w:rPr>
          <w:rFonts w:ascii="Calibri" w:hAnsi="Calibri" w:cs="Calibri"/>
          <w:color w:val="000000" w:themeColor="text1"/>
          <w:sz w:val="24"/>
        </w:rPr>
        <w:t xml:space="preserve">y. </w:t>
      </w:r>
      <w:r w:rsidRPr="00956340">
        <w:rPr>
          <w:rFonts w:cstheme="minorHAnsi"/>
          <w:color w:val="000000" w:themeColor="text1"/>
          <w:sz w:val="24"/>
        </w:rPr>
        <w:t>Sieć pl</w:t>
      </w:r>
      <w:r w:rsidR="002670B6" w:rsidRPr="00956340">
        <w:rPr>
          <w:rFonts w:cstheme="minorHAnsi"/>
          <w:color w:val="000000" w:themeColor="text1"/>
          <w:sz w:val="24"/>
        </w:rPr>
        <w:t>acówek oświatowych zależnych od </w:t>
      </w:r>
      <w:r w:rsidRPr="00956340">
        <w:rPr>
          <w:rFonts w:cstheme="minorHAnsi"/>
          <w:color w:val="000000" w:themeColor="text1"/>
          <w:sz w:val="24"/>
        </w:rPr>
        <w:t xml:space="preserve">gmin WrOF tworzona jest przez szkoły podstawowe i placówki wychowania przedszkolnego. Dodatkowo, w części jednostek terytorialnych funkcjonują </w:t>
      </w:r>
      <w:r w:rsidR="00752127" w:rsidRPr="00956340">
        <w:rPr>
          <w:rFonts w:cstheme="minorHAnsi"/>
          <w:color w:val="000000" w:themeColor="text1"/>
          <w:sz w:val="24"/>
        </w:rPr>
        <w:t>szkoły ponadpodstawowe będące w </w:t>
      </w:r>
      <w:r w:rsidRPr="00956340">
        <w:rPr>
          <w:rFonts w:cstheme="minorHAnsi"/>
          <w:color w:val="000000" w:themeColor="text1"/>
          <w:sz w:val="24"/>
        </w:rPr>
        <w:t>zarządzie powiatów</w:t>
      </w:r>
      <w:r w:rsidRPr="00956340">
        <w:rPr>
          <w:rFonts w:cstheme="minorHAnsi"/>
          <w:color w:val="000000" w:themeColor="text1"/>
          <w:sz w:val="24"/>
          <w:vertAlign w:val="superscript"/>
        </w:rPr>
        <w:footnoteReference w:id="106"/>
      </w:r>
      <w:r w:rsidRPr="00956340">
        <w:rPr>
          <w:rFonts w:cstheme="minorHAnsi"/>
          <w:color w:val="000000" w:themeColor="text1"/>
          <w:sz w:val="24"/>
        </w:rPr>
        <w:t>, tj.: – licea, technika, branżowe szkoły I </w:t>
      </w:r>
      <w:proofErr w:type="spellStart"/>
      <w:r w:rsidRPr="00956340">
        <w:rPr>
          <w:rFonts w:cstheme="minorHAnsi"/>
          <w:color w:val="000000" w:themeColor="text1"/>
          <w:sz w:val="24"/>
        </w:rPr>
        <w:t>i</w:t>
      </w:r>
      <w:proofErr w:type="spellEnd"/>
      <w:r w:rsidRPr="00956340">
        <w:rPr>
          <w:rFonts w:cstheme="minorHAnsi"/>
          <w:color w:val="000000" w:themeColor="text1"/>
          <w:sz w:val="24"/>
        </w:rPr>
        <w:t> II stopnia</w:t>
      </w:r>
      <w:r w:rsidRPr="00956340">
        <w:rPr>
          <w:rFonts w:cstheme="minorHAnsi"/>
          <w:color w:val="000000" w:themeColor="text1"/>
          <w:sz w:val="24"/>
          <w:vertAlign w:val="superscript"/>
        </w:rPr>
        <w:footnoteReference w:id="107"/>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Sieć placówek oświatowych</w:t>
      </w:r>
    </w:p>
    <w:p w:rsidR="000178B1" w:rsidRPr="00956340" w:rsidRDefault="000178B1" w:rsidP="00956340">
      <w:pPr>
        <w:jc w:val="left"/>
        <w:rPr>
          <w:color w:val="000000" w:themeColor="text1"/>
          <w:sz w:val="24"/>
        </w:rPr>
      </w:pPr>
      <w:r w:rsidRPr="00956340">
        <w:rPr>
          <w:color w:val="000000" w:themeColor="text1"/>
          <w:sz w:val="24"/>
        </w:rPr>
        <w:t xml:space="preserve">Łączna liczba przedszkoli na terenie WrOF według danych GUS w 2020 roku wyniosła 335. Należy jednak wziąć pod uwagę, że w wielu gminach funkcjonują również podmioty prywatne, którym gminy zlecają prowadzanie miejsc opieki nad dziećmi między 3 a 6 rokiem życia. Przedszkola zlokalizowane we Wrocławiu stanowią ponad 60% wszystkich przedszkoli obszaru WrOF. W pozostałych </w:t>
      </w:r>
      <w:r w:rsidR="00EC258C" w:rsidRPr="00956340">
        <w:rPr>
          <w:color w:val="000000" w:themeColor="text1"/>
          <w:sz w:val="24"/>
        </w:rPr>
        <w:t xml:space="preserve">gminach </w:t>
      </w:r>
      <w:r w:rsidRPr="00956340">
        <w:rPr>
          <w:color w:val="000000" w:themeColor="text1"/>
          <w:sz w:val="24"/>
        </w:rPr>
        <w:t>WrOF liczba przedszkoli jest zróżnicowana. Wzrost liczby placówek przedszkolnych w latach 2017-2020 na terenie WrOF wyniósł 23,2 pp. i był dwukrotnie wyższy niż w</w:t>
      </w:r>
      <w:r w:rsidR="00AC7054" w:rsidRPr="00956340">
        <w:rPr>
          <w:color w:val="000000" w:themeColor="text1"/>
          <w:sz w:val="24"/>
        </w:rPr>
        <w:t xml:space="preserve"> woj. dolnośląskim (11,6 pp.) i </w:t>
      </w:r>
      <w:r w:rsidRPr="00956340">
        <w:rPr>
          <w:color w:val="000000" w:themeColor="text1"/>
          <w:sz w:val="24"/>
        </w:rPr>
        <w:t xml:space="preserve">blisko trzykrotnie wyższy niż w Polsce (8,5 pp.). Najbardziej intensywne wzrosty liczby przedszkoli notuje się w </w:t>
      </w:r>
      <w:r w:rsidR="00985D90" w:rsidRPr="00956340">
        <w:rPr>
          <w:color w:val="000000" w:themeColor="text1"/>
          <w:sz w:val="24"/>
        </w:rPr>
        <w:t xml:space="preserve">gminach: </w:t>
      </w:r>
      <w:r w:rsidRPr="00956340">
        <w:rPr>
          <w:color w:val="000000" w:themeColor="text1"/>
          <w:sz w:val="24"/>
        </w:rPr>
        <w:t>Miękini</w:t>
      </w:r>
      <w:r w:rsidR="00985D90" w:rsidRPr="00956340">
        <w:rPr>
          <w:color w:val="000000" w:themeColor="text1"/>
          <w:sz w:val="24"/>
        </w:rPr>
        <w:t>a</w:t>
      </w:r>
      <w:r w:rsidRPr="00956340">
        <w:rPr>
          <w:color w:val="000000" w:themeColor="text1"/>
          <w:sz w:val="24"/>
        </w:rPr>
        <w:t>, Sobót</w:t>
      </w:r>
      <w:r w:rsidR="00985D90" w:rsidRPr="00956340">
        <w:rPr>
          <w:color w:val="000000" w:themeColor="text1"/>
          <w:sz w:val="24"/>
        </w:rPr>
        <w:t>ka</w:t>
      </w:r>
      <w:r w:rsidRPr="00956340">
        <w:rPr>
          <w:color w:val="000000" w:themeColor="text1"/>
          <w:sz w:val="24"/>
        </w:rPr>
        <w:t xml:space="preserve"> i Siechnic</w:t>
      </w:r>
      <w:r w:rsidR="00985D90" w:rsidRPr="00956340">
        <w:rPr>
          <w:color w:val="000000" w:themeColor="text1"/>
          <w:sz w:val="24"/>
        </w:rPr>
        <w:t>e</w:t>
      </w:r>
      <w:r w:rsidRPr="00956340">
        <w:rPr>
          <w:color w:val="000000" w:themeColor="text1"/>
          <w:sz w:val="24"/>
        </w:rPr>
        <w:t xml:space="preserve">. Jedyną </w:t>
      </w:r>
      <w:r w:rsidR="00985D90" w:rsidRPr="00956340">
        <w:rPr>
          <w:color w:val="000000" w:themeColor="text1"/>
          <w:sz w:val="24"/>
        </w:rPr>
        <w:t>gminą</w:t>
      </w:r>
      <w:r w:rsidRPr="00956340">
        <w:rPr>
          <w:color w:val="000000" w:themeColor="text1"/>
          <w:sz w:val="24"/>
        </w:rPr>
        <w:t xml:space="preserve">, w której zmalała liczba przedszkoli jest Oleśnica (gmina wiejska). Z uwagi na dynamiczne zmiany, zjawiska migracyjne, </w:t>
      </w:r>
      <w:proofErr w:type="spellStart"/>
      <w:r w:rsidRPr="00956340">
        <w:rPr>
          <w:color w:val="000000" w:themeColor="text1"/>
          <w:sz w:val="24"/>
        </w:rPr>
        <w:t>suburbanizacje</w:t>
      </w:r>
      <w:proofErr w:type="spellEnd"/>
      <w:r w:rsidRPr="00956340">
        <w:rPr>
          <w:color w:val="000000" w:themeColor="text1"/>
          <w:sz w:val="24"/>
        </w:rPr>
        <w:t>, powstawanie nowych osiedli mieszkaniowych oraz wzrost liczby osób w wieku przedprodukcyjnym, potrzebne jest wsparcie rozwoju wychowani</w:t>
      </w:r>
      <w:r w:rsidR="00AC7054" w:rsidRPr="00956340">
        <w:rPr>
          <w:color w:val="000000" w:themeColor="text1"/>
          <w:sz w:val="24"/>
        </w:rPr>
        <w:t>a przedszkolnego we WrOF np.: w </w:t>
      </w:r>
      <w:r w:rsidRPr="00956340">
        <w:rPr>
          <w:color w:val="000000" w:themeColor="text1"/>
          <w:sz w:val="24"/>
        </w:rPr>
        <w:t>postaci rozbudowy istniejącej lub budowy nowej infrastruktury.</w:t>
      </w:r>
    </w:p>
    <w:p w:rsidR="000178B1" w:rsidRPr="00956340" w:rsidRDefault="000178B1" w:rsidP="00956340">
      <w:pPr>
        <w:spacing w:before="240"/>
        <w:jc w:val="left"/>
        <w:rPr>
          <w:rFonts w:cstheme="minorHAnsi"/>
          <w:color w:val="000000" w:themeColor="text1"/>
          <w:sz w:val="24"/>
        </w:rPr>
      </w:pPr>
      <w:r w:rsidRPr="00956340">
        <w:rPr>
          <w:rFonts w:cstheme="minorHAnsi"/>
          <w:color w:val="000000" w:themeColor="text1"/>
          <w:sz w:val="24"/>
        </w:rPr>
        <w:t xml:space="preserve">W 2021 roku liczba szkół podstawowych na terenie WrOF wynosiła 253. Sieć szkół podstawowych, pomimo przeprowadzonej reformy systemu oświaty w 2017 r., w większości gmin WrOF pozostała niezmienna. Wyjątek stanowią gminy: Trzebnica, gdzie o 1 placówkę zredukowano liczbę szkół podstawowych specjalnych dla dzieci i młodzieży, Oława (miasto), gdzie zmniejszono liczbę szkół podstawowych specjalnych dla dzieci i młodzieży o 2 placówki oraz Wrocław, gdzie zlikwidowano </w:t>
      </w:r>
      <w:r w:rsidR="00AC7054" w:rsidRPr="00956340">
        <w:rPr>
          <w:rFonts w:cstheme="minorHAnsi"/>
          <w:color w:val="000000" w:themeColor="text1"/>
          <w:sz w:val="24"/>
        </w:rPr>
        <w:br/>
      </w:r>
      <w:r w:rsidRPr="00956340">
        <w:rPr>
          <w:rFonts w:cstheme="minorHAnsi"/>
          <w:color w:val="000000" w:themeColor="text1"/>
          <w:sz w:val="24"/>
        </w:rPr>
        <w:t xml:space="preserve">1 placówkę specjalną. Redukcja liczby szkół na terenie WrOF (-0,4 pp.) w latach 2017-2020 miała zdecydowanie mniejszy wymiar niż w woj. dolnośląskim (-1,9 pp.) i Polsce (-1,9 </w:t>
      </w:r>
      <w:proofErr w:type="spellStart"/>
      <w:r w:rsidRPr="00956340">
        <w:rPr>
          <w:rFonts w:cstheme="minorHAnsi"/>
          <w:color w:val="000000" w:themeColor="text1"/>
          <w:sz w:val="24"/>
        </w:rPr>
        <w:t>pp</w:t>
      </w:r>
      <w:proofErr w:type="spellEnd"/>
      <w:r w:rsidRPr="00956340">
        <w:rPr>
          <w:rFonts w:cstheme="minorHAnsi"/>
          <w:color w:val="000000" w:themeColor="text1"/>
          <w:sz w:val="24"/>
        </w:rPr>
        <w:t>).</w:t>
      </w:r>
    </w:p>
    <w:p w:rsidR="00956340" w:rsidRDefault="00956340" w:rsidP="00956340">
      <w:pPr>
        <w:spacing w:before="240" w:after="0"/>
        <w:jc w:val="left"/>
        <w:rPr>
          <w:rFonts w:cstheme="minorHAnsi"/>
          <w:b/>
          <w:color w:val="000000" w:themeColor="text1"/>
          <w:sz w:val="24"/>
        </w:rPr>
      </w:pPr>
      <w:r>
        <w:rPr>
          <w:rFonts w:cstheme="minorHAnsi"/>
          <w:b/>
          <w:color w:val="000000" w:themeColor="text1"/>
          <w:sz w:val="24"/>
        </w:rPr>
        <w:br w:type="page"/>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Obciążenie placówek oświatowych</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Obciążenie placówek oświatowych (zarówno przedszkoli, jak i szkół podstawowych) zmierzono wskazując odsetek dzieci objętych wychowaniem przedszkolnym oraz liczbę uczniów w szkołach podstawowych przypadających na jeden oddział (klasę). Ogólna liczba dzieci w wieku przedszkolnym zamieszkujących obszar WrOF wyniosła w 2020 r. 44 167. Ponad 98% dzieci na terenie całego WrOF zostało objęty</w:t>
      </w:r>
      <w:r w:rsidR="00762151">
        <w:rPr>
          <w:rFonts w:cstheme="minorHAnsi"/>
          <w:color w:val="000000" w:themeColor="text1"/>
          <w:sz w:val="24"/>
        </w:rPr>
        <w:t>ch wychowaniem przedszkolnym, a </w:t>
      </w:r>
      <w:r w:rsidRPr="00956340">
        <w:rPr>
          <w:rFonts w:cstheme="minorHAnsi"/>
          <w:color w:val="000000" w:themeColor="text1"/>
          <w:sz w:val="24"/>
        </w:rPr>
        <w:t>wynik ten jest zdecydowanie lepszy niż odnotowany w woje</w:t>
      </w:r>
      <w:r w:rsidR="001D1207">
        <w:rPr>
          <w:rFonts w:cstheme="minorHAnsi"/>
          <w:color w:val="000000" w:themeColor="text1"/>
          <w:sz w:val="24"/>
        </w:rPr>
        <w:t>wództwie dolnośląskim (91,5%) i </w:t>
      </w:r>
      <w:r w:rsidRPr="00956340">
        <w:rPr>
          <w:rFonts w:cstheme="minorHAnsi"/>
          <w:color w:val="000000" w:themeColor="text1"/>
          <w:sz w:val="24"/>
        </w:rPr>
        <w:t xml:space="preserve">w Polsce (90,1%). W sześciu badanych </w:t>
      </w:r>
      <w:r w:rsidR="008431F3" w:rsidRPr="00956340">
        <w:rPr>
          <w:rFonts w:cstheme="minorHAnsi"/>
          <w:color w:val="000000" w:themeColor="text1"/>
          <w:sz w:val="24"/>
        </w:rPr>
        <w:t xml:space="preserve">gminach </w:t>
      </w:r>
      <w:r w:rsidRPr="00956340">
        <w:rPr>
          <w:rFonts w:cstheme="minorHAnsi"/>
          <w:color w:val="000000" w:themeColor="text1"/>
          <w:sz w:val="24"/>
        </w:rPr>
        <w:t xml:space="preserve">odsetek dzieci w wieku 3-6 lat objętych wychowaniem przedszkolnym przekroczył 100% (Czernica, Kąty Wrocławskie, Kobierzyce, Oleśnica </w:t>
      </w:r>
      <w:r w:rsidR="00AC7054" w:rsidRPr="00956340">
        <w:rPr>
          <w:rFonts w:cstheme="minorHAnsi"/>
          <w:color w:val="000000" w:themeColor="text1"/>
          <w:sz w:val="24"/>
        </w:rPr>
        <w:t>(</w:t>
      </w:r>
      <w:r w:rsidRPr="00956340">
        <w:rPr>
          <w:rFonts w:cstheme="minorHAnsi"/>
          <w:color w:val="000000" w:themeColor="text1"/>
          <w:sz w:val="24"/>
        </w:rPr>
        <w:t>miasto</w:t>
      </w:r>
      <w:r w:rsidR="00AC7054" w:rsidRPr="00956340">
        <w:rPr>
          <w:rFonts w:cstheme="minorHAnsi"/>
          <w:color w:val="000000" w:themeColor="text1"/>
          <w:sz w:val="24"/>
        </w:rPr>
        <w:t>)</w:t>
      </w:r>
      <w:r w:rsidRPr="00956340">
        <w:rPr>
          <w:rFonts w:cstheme="minorHAnsi"/>
          <w:color w:val="000000" w:themeColor="text1"/>
          <w:sz w:val="24"/>
        </w:rPr>
        <w:t xml:space="preserve">, Oława </w:t>
      </w:r>
      <w:r w:rsidR="00AC7054" w:rsidRPr="00956340">
        <w:rPr>
          <w:rFonts w:cstheme="minorHAnsi"/>
          <w:color w:val="000000" w:themeColor="text1"/>
          <w:sz w:val="24"/>
        </w:rPr>
        <w:t>(</w:t>
      </w:r>
      <w:r w:rsidRPr="00956340">
        <w:rPr>
          <w:rFonts w:cstheme="minorHAnsi"/>
          <w:color w:val="000000" w:themeColor="text1"/>
          <w:sz w:val="24"/>
        </w:rPr>
        <w:t>miasto</w:t>
      </w:r>
      <w:r w:rsidR="00AC7054" w:rsidRPr="00956340">
        <w:rPr>
          <w:rFonts w:cstheme="minorHAnsi"/>
          <w:color w:val="000000" w:themeColor="text1"/>
          <w:sz w:val="24"/>
        </w:rPr>
        <w:t>)</w:t>
      </w:r>
      <w:r w:rsidR="008431F3" w:rsidRPr="00956340">
        <w:rPr>
          <w:rFonts w:cstheme="minorHAnsi"/>
          <w:color w:val="000000" w:themeColor="text1"/>
          <w:sz w:val="24"/>
        </w:rPr>
        <w:t xml:space="preserve"> oraz</w:t>
      </w:r>
      <w:r w:rsidRPr="00956340">
        <w:rPr>
          <w:rFonts w:cstheme="minorHAnsi"/>
          <w:color w:val="000000" w:themeColor="text1"/>
          <w:sz w:val="24"/>
        </w:rPr>
        <w:t xml:space="preserve"> Siechnice), co wskazuje na największe obciążenie systemu opieki przedszkolnej w tych lokalizacjach i uczęszczanie do placówek dzieci spoza terenu gminy lub dzieci nie zameldowanych na ich tereni</w:t>
      </w:r>
      <w:r w:rsidR="00666B26" w:rsidRPr="00956340">
        <w:rPr>
          <w:rFonts w:cstheme="minorHAnsi"/>
          <w:color w:val="000000" w:themeColor="text1"/>
          <w:sz w:val="24"/>
        </w:rPr>
        <w:t>e, a faktycznie mieszkających w </w:t>
      </w:r>
      <w:r w:rsidRPr="00956340">
        <w:rPr>
          <w:rFonts w:cstheme="minorHAnsi"/>
          <w:color w:val="000000" w:themeColor="text1"/>
          <w:sz w:val="24"/>
        </w:rPr>
        <w:t>tych lokalizacjach.</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Z uwagi na fakt, iż dane BDL GUS dotyczą lat kalendarzowych, a nie lat szkolnych, dla lepszego zobrazowania stanu faktycznego obciążenia placówek oświatowych w gminach WrOF,</w:t>
      </w:r>
      <w:r w:rsidR="00AC7054" w:rsidRPr="00956340">
        <w:rPr>
          <w:rFonts w:cstheme="minorHAnsi"/>
          <w:color w:val="000000" w:themeColor="text1"/>
          <w:sz w:val="24"/>
        </w:rPr>
        <w:t xml:space="preserve"> </w:t>
      </w:r>
      <w:r w:rsidRPr="00956340">
        <w:rPr>
          <w:rFonts w:cstheme="minorHAnsi"/>
          <w:color w:val="000000" w:themeColor="text1"/>
          <w:sz w:val="24"/>
        </w:rPr>
        <w:t>przeanalizowano dane pozyskane z Systemu Informacji Oświatowej (SIO). Dane SIO agregowane na dzień 30.09 dotyczą zakończonego w czerwcu roku szkolnego. Analizą objęto dane za rok szkolny 2019/2020 oraz 2020/2021, odpowiednio wg stanu na dzień 30.09.202</w:t>
      </w:r>
      <w:r w:rsidR="002670B6" w:rsidRPr="00956340">
        <w:rPr>
          <w:rFonts w:cstheme="minorHAnsi"/>
          <w:color w:val="000000" w:themeColor="text1"/>
          <w:sz w:val="24"/>
        </w:rPr>
        <w:t xml:space="preserve">0 r. i 30.09.2021 r. </w:t>
      </w:r>
      <w:r w:rsidRPr="00956340">
        <w:rPr>
          <w:rFonts w:cstheme="minorHAnsi"/>
          <w:color w:val="000000" w:themeColor="text1"/>
          <w:sz w:val="24"/>
        </w:rPr>
        <w:t>Z najnowszych danych, tj. wg stanu na dzień 30.09.2021 r., wynika, że relatywnie najmniejszy odsetek dzieci objętych wychowaniem przedszkolnym odnotowano w gminach: Czernica, Dobroszyce, Długołęka, Miękinia, Oleśnica (gmina wiejska), Sobótka, Wisznia Mała, Zawonia oraz Żórawina. Odsetek dzieci objętych wychowaniem przedszkolnym, wg stanu na 30.09.2021 r., wyniósł od 51,5%  w gminie Oleśnica (gmina wiejska) do 90,9% w gminie Dobroszyce. Świadczy to o potrzebie zarówno zwiększenia liczby miejsc wychowania przedszkolnego, jak i zapewnienia odpowiedniej liczby zajęć dodatkowych.</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Liczba uczniów szkół podstawowych w 2020 r. na obszarze WrOF wyniosła 82 540, z czego blisko 60% uczęszczało do szkół zlokalizowanych we Wrocławiu. Przeciętna liczba uczniów przypadająca na jeden oddział szkolny na obszarze WrOF wyniosła 18,8 i był to wynik wyższy niż w Polsce (16,7) i województwie dolnośląskim (17,5). Najbardziej obciążone oddziały szkolne, w których liczba uczniów przekroczyła 20 osób znajdują się w </w:t>
      </w:r>
      <w:r w:rsidR="00651F4E" w:rsidRPr="00956340">
        <w:rPr>
          <w:rFonts w:cstheme="minorHAnsi"/>
          <w:color w:val="000000" w:themeColor="text1"/>
          <w:sz w:val="24"/>
        </w:rPr>
        <w:t>gmin</w:t>
      </w:r>
      <w:r w:rsidR="002C130B" w:rsidRPr="00956340">
        <w:rPr>
          <w:rFonts w:cstheme="minorHAnsi"/>
          <w:color w:val="000000" w:themeColor="text1"/>
          <w:sz w:val="24"/>
        </w:rPr>
        <w:t>ach</w:t>
      </w:r>
      <w:r w:rsidR="00651F4E" w:rsidRPr="00956340">
        <w:rPr>
          <w:rFonts w:cstheme="minorHAnsi"/>
          <w:color w:val="000000" w:themeColor="text1"/>
          <w:sz w:val="24"/>
        </w:rPr>
        <w:t xml:space="preserve">: </w:t>
      </w:r>
      <w:r w:rsidRPr="00956340">
        <w:rPr>
          <w:rFonts w:cstheme="minorHAnsi"/>
          <w:color w:val="000000" w:themeColor="text1"/>
          <w:sz w:val="24"/>
        </w:rPr>
        <w:t>Długołę</w:t>
      </w:r>
      <w:r w:rsidR="00651F4E" w:rsidRPr="00956340">
        <w:rPr>
          <w:rFonts w:cstheme="minorHAnsi"/>
          <w:color w:val="000000" w:themeColor="text1"/>
          <w:sz w:val="24"/>
        </w:rPr>
        <w:t>ka</w:t>
      </w:r>
      <w:r w:rsidRPr="00956340">
        <w:rPr>
          <w:rFonts w:cstheme="minorHAnsi"/>
          <w:color w:val="000000" w:themeColor="text1"/>
          <w:sz w:val="24"/>
        </w:rPr>
        <w:t>, Jelcz-Laskowic</w:t>
      </w:r>
      <w:r w:rsidR="00651F4E" w:rsidRPr="00956340">
        <w:rPr>
          <w:rFonts w:cstheme="minorHAnsi"/>
          <w:color w:val="000000" w:themeColor="text1"/>
          <w:sz w:val="24"/>
        </w:rPr>
        <w:t>e</w:t>
      </w:r>
      <w:r w:rsidRPr="00956340">
        <w:rPr>
          <w:rFonts w:cstheme="minorHAnsi"/>
          <w:color w:val="000000" w:themeColor="text1"/>
          <w:sz w:val="24"/>
        </w:rPr>
        <w:t>, Czernic</w:t>
      </w:r>
      <w:r w:rsidR="00651F4E" w:rsidRPr="00956340">
        <w:rPr>
          <w:rFonts w:cstheme="minorHAnsi"/>
          <w:color w:val="000000" w:themeColor="text1"/>
          <w:sz w:val="24"/>
        </w:rPr>
        <w:t>a</w:t>
      </w:r>
      <w:r w:rsidRPr="00956340">
        <w:rPr>
          <w:rFonts w:cstheme="minorHAnsi"/>
          <w:color w:val="000000" w:themeColor="text1"/>
          <w:sz w:val="24"/>
        </w:rPr>
        <w:t>, Miękini</w:t>
      </w:r>
      <w:r w:rsidR="00651F4E" w:rsidRPr="00956340">
        <w:rPr>
          <w:rFonts w:cstheme="minorHAnsi"/>
          <w:color w:val="000000" w:themeColor="text1"/>
          <w:sz w:val="24"/>
        </w:rPr>
        <w:t>a</w:t>
      </w:r>
      <w:r w:rsidRPr="00956340">
        <w:rPr>
          <w:rFonts w:cstheme="minorHAnsi"/>
          <w:color w:val="000000" w:themeColor="text1"/>
          <w:sz w:val="24"/>
        </w:rPr>
        <w:t xml:space="preserve"> i Siechnic</w:t>
      </w:r>
      <w:r w:rsidR="002C130B" w:rsidRPr="00956340">
        <w:rPr>
          <w:rFonts w:cstheme="minorHAnsi"/>
          <w:color w:val="000000" w:themeColor="text1"/>
          <w:sz w:val="24"/>
        </w:rPr>
        <w:t>e</w:t>
      </w:r>
      <w:r w:rsidRPr="00956340">
        <w:rPr>
          <w:rFonts w:cstheme="minorHAnsi"/>
          <w:color w:val="000000" w:themeColor="text1"/>
          <w:sz w:val="24"/>
        </w:rPr>
        <w:t>. Najmniej liczne klasy, do których uczęszczało nie więcej niż 15 uczniów,</w:t>
      </w:r>
      <w:r w:rsidR="00AC7054" w:rsidRPr="00956340">
        <w:rPr>
          <w:rFonts w:cstheme="minorHAnsi"/>
          <w:color w:val="000000" w:themeColor="text1"/>
          <w:sz w:val="24"/>
        </w:rPr>
        <w:t xml:space="preserve"> odnotowano w </w:t>
      </w:r>
      <w:r w:rsidR="002C130B" w:rsidRPr="00956340">
        <w:rPr>
          <w:rFonts w:cstheme="minorHAnsi"/>
          <w:color w:val="000000" w:themeColor="text1"/>
          <w:sz w:val="24"/>
        </w:rPr>
        <w:t xml:space="preserve">gminach: </w:t>
      </w:r>
      <w:r w:rsidRPr="00956340">
        <w:rPr>
          <w:rFonts w:cstheme="minorHAnsi"/>
          <w:color w:val="000000" w:themeColor="text1"/>
          <w:sz w:val="24"/>
        </w:rPr>
        <w:t>Kąt</w:t>
      </w:r>
      <w:r w:rsidR="002C130B" w:rsidRPr="00956340">
        <w:rPr>
          <w:rFonts w:cstheme="minorHAnsi"/>
          <w:color w:val="000000" w:themeColor="text1"/>
          <w:sz w:val="24"/>
        </w:rPr>
        <w:t>y</w:t>
      </w:r>
      <w:r w:rsidRPr="00956340">
        <w:rPr>
          <w:rFonts w:cstheme="minorHAnsi"/>
          <w:color w:val="000000" w:themeColor="text1"/>
          <w:sz w:val="24"/>
        </w:rPr>
        <w:t xml:space="preserve"> Wrocławski</w:t>
      </w:r>
      <w:r w:rsidR="002C130B" w:rsidRPr="00956340">
        <w:rPr>
          <w:rFonts w:cstheme="minorHAnsi"/>
          <w:color w:val="000000" w:themeColor="text1"/>
          <w:sz w:val="24"/>
        </w:rPr>
        <w:t>e</w:t>
      </w:r>
      <w:r w:rsidRPr="00956340">
        <w:rPr>
          <w:rFonts w:cstheme="minorHAnsi"/>
          <w:color w:val="000000" w:themeColor="text1"/>
          <w:sz w:val="24"/>
        </w:rPr>
        <w:t>, Oław</w:t>
      </w:r>
      <w:r w:rsidR="002C130B" w:rsidRPr="00956340">
        <w:rPr>
          <w:rFonts w:cstheme="minorHAnsi"/>
          <w:color w:val="000000" w:themeColor="text1"/>
          <w:sz w:val="24"/>
        </w:rPr>
        <w:t>a</w:t>
      </w:r>
      <w:r w:rsidR="00AC7054" w:rsidRPr="00956340">
        <w:rPr>
          <w:rFonts w:cstheme="minorHAnsi"/>
          <w:color w:val="000000" w:themeColor="text1"/>
          <w:sz w:val="24"/>
        </w:rPr>
        <w:t xml:space="preserve"> (gmina wiejska)</w:t>
      </w:r>
      <w:r w:rsidRPr="00956340">
        <w:rPr>
          <w:rFonts w:cstheme="minorHAnsi"/>
          <w:color w:val="000000" w:themeColor="text1"/>
          <w:sz w:val="24"/>
        </w:rPr>
        <w:t xml:space="preserve"> i Żórawin</w:t>
      </w:r>
      <w:r w:rsidR="002C130B" w:rsidRPr="00956340">
        <w:rPr>
          <w:rFonts w:cstheme="minorHAnsi"/>
          <w:color w:val="000000" w:themeColor="text1"/>
          <w:sz w:val="24"/>
        </w:rPr>
        <w:t>a</w:t>
      </w:r>
      <w:r w:rsidRPr="00956340">
        <w:rPr>
          <w:rFonts w:cstheme="minorHAnsi"/>
          <w:color w:val="000000" w:themeColor="text1"/>
          <w:sz w:val="24"/>
        </w:rPr>
        <w:t>.</w:t>
      </w:r>
      <w:r w:rsidR="00AC7054" w:rsidRPr="00956340">
        <w:rPr>
          <w:rFonts w:cstheme="minorHAnsi"/>
          <w:color w:val="000000" w:themeColor="text1"/>
          <w:sz w:val="24"/>
        </w:rPr>
        <w:t xml:space="preserve"> Dodatkowo zwraca się uwagę, iż </w:t>
      </w:r>
      <w:r w:rsidRPr="00956340">
        <w:rPr>
          <w:rFonts w:cstheme="minorHAnsi"/>
          <w:color w:val="000000" w:themeColor="text1"/>
          <w:sz w:val="24"/>
        </w:rPr>
        <w:t xml:space="preserve">wartości wskaźnika prezentują przeciętne (średnie) obciążenie oddziałów szkolnych, przy czym realna sytuacja w poszczególnych szkołach może się znacząco różnić. W związku z postępującą </w:t>
      </w:r>
      <w:proofErr w:type="spellStart"/>
      <w:r w:rsidRPr="00956340">
        <w:rPr>
          <w:rFonts w:cstheme="minorHAnsi"/>
          <w:color w:val="000000" w:themeColor="text1"/>
          <w:sz w:val="24"/>
        </w:rPr>
        <w:t>suburbanizacją</w:t>
      </w:r>
      <w:proofErr w:type="spellEnd"/>
      <w:r w:rsidRPr="00956340">
        <w:rPr>
          <w:rFonts w:cstheme="minorHAnsi"/>
          <w:color w:val="000000" w:themeColor="text1"/>
          <w:sz w:val="24"/>
        </w:rPr>
        <w:t>, procesami demograficznymi oraz gospodarczymi (w szczególności migracje związane z zatrudnieniem) największe obciążenie oddziałów szkolnych w szkołach podstawowych występuje w</w:t>
      </w:r>
      <w:r w:rsidR="002670B6" w:rsidRPr="00956340">
        <w:rPr>
          <w:rFonts w:cstheme="minorHAnsi"/>
          <w:color w:val="000000" w:themeColor="text1"/>
          <w:sz w:val="24"/>
        </w:rPr>
        <w:t> </w:t>
      </w:r>
      <w:r w:rsidRPr="00956340">
        <w:rPr>
          <w:rFonts w:cstheme="minorHAnsi"/>
          <w:color w:val="000000" w:themeColor="text1"/>
          <w:sz w:val="24"/>
        </w:rPr>
        <w:t xml:space="preserve">gminach bezpośrednio sąsiadujących z Wrocławiem. Niejednokrotnie dochodzi tu do zjawiska </w:t>
      </w:r>
      <w:r w:rsidRPr="00956340">
        <w:rPr>
          <w:rFonts w:cstheme="minorHAnsi"/>
          <w:color w:val="000000" w:themeColor="text1"/>
          <w:sz w:val="24"/>
        </w:rPr>
        <w:br/>
        <w:t>tzw. dwuzmianowości czy przepełnienia oddziałów, co powoduje już dzisiaj konieczność rozbudowy infrastruktury. Należy pamiętać, że dane te nie uwzględniają okresu od rozpoczęcia agresji Federacji Rosyjskiej na Ukrainę i wzmożonego ruchu migracyjnego. Według dostępnych danych w 2022 r. wrocławskie szkoły przyjęły 6 tysięcy ukraińskich uczniów, uruchomiono specjalne świetlice i klasy przygotowawcze. Brak aktualnych danych nie pozwala dokonać analizy tego zjawiska na całym obszarze WrOF</w:t>
      </w:r>
      <w:r w:rsidRPr="00956340">
        <w:rPr>
          <w:rFonts w:cstheme="minorHAnsi"/>
          <w:color w:val="000000" w:themeColor="text1"/>
          <w:sz w:val="24"/>
          <w:vertAlign w:val="superscript"/>
        </w:rPr>
        <w:footnoteReference w:id="108"/>
      </w:r>
      <w:r w:rsidR="000F261C" w:rsidRPr="00956340">
        <w:rPr>
          <w:rFonts w:cstheme="minorHAnsi"/>
          <w:color w:val="000000" w:themeColor="text1"/>
          <w:sz w:val="24"/>
        </w:rPr>
        <w:t xml:space="preserve">, ale sam fakt przyjęcia tak dużej, dodatkowej liczby uczniów generuje zwiększenie </w:t>
      </w:r>
      <w:r w:rsidR="00AD16F1" w:rsidRPr="00956340">
        <w:rPr>
          <w:rFonts w:cstheme="minorHAnsi"/>
          <w:color w:val="000000" w:themeColor="text1"/>
          <w:sz w:val="24"/>
        </w:rPr>
        <w:t xml:space="preserve">wielu </w:t>
      </w:r>
      <w:r w:rsidR="006A7D4D" w:rsidRPr="00956340">
        <w:rPr>
          <w:rFonts w:cstheme="minorHAnsi"/>
          <w:color w:val="000000" w:themeColor="text1"/>
          <w:sz w:val="24"/>
        </w:rPr>
        <w:t>potrzeb</w:t>
      </w:r>
      <w:r w:rsidR="00AD16F1" w:rsidRPr="00956340">
        <w:rPr>
          <w:rFonts w:cstheme="minorHAnsi"/>
          <w:color w:val="000000" w:themeColor="text1"/>
          <w:sz w:val="24"/>
        </w:rPr>
        <w:t xml:space="preserve"> </w:t>
      </w:r>
      <w:r w:rsidR="006A7D4D" w:rsidRPr="00956340">
        <w:rPr>
          <w:rFonts w:cstheme="minorHAnsi"/>
          <w:color w:val="000000" w:themeColor="text1"/>
          <w:sz w:val="24"/>
        </w:rPr>
        <w:t>w zakresie edukacji.</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Zapotrzebowanie na kadry</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W związku ze wzrostem zapotrzebowania na usługi edukacyjne w wyniku wzrostu liczby ludności </w:t>
      </w:r>
      <w:r w:rsidR="00AC7054" w:rsidRPr="00956340">
        <w:rPr>
          <w:rFonts w:cstheme="minorHAnsi"/>
          <w:color w:val="000000" w:themeColor="text1"/>
          <w:sz w:val="24"/>
        </w:rPr>
        <w:t>i migracji</w:t>
      </w:r>
      <w:r w:rsidRPr="00956340">
        <w:rPr>
          <w:rFonts w:cstheme="minorHAnsi"/>
          <w:color w:val="000000" w:themeColor="text1"/>
          <w:sz w:val="24"/>
        </w:rPr>
        <w:t xml:space="preserve"> koniecznością staje się uzupełnienie kadr oświaty. Analiza zapotrzebowania na kadry nauczycielskie na obszarze WrOF została przeprowadzona w oparciu o dane zamieszczane na bieżąco przez Kuratorium Oświaty we Wrocławiu</w:t>
      </w:r>
      <w:r w:rsidRPr="00956340">
        <w:rPr>
          <w:rFonts w:cstheme="minorHAnsi"/>
          <w:color w:val="000000" w:themeColor="text1"/>
          <w:sz w:val="24"/>
          <w:vertAlign w:val="superscript"/>
        </w:rPr>
        <w:footnoteReference w:id="109"/>
      </w:r>
      <w:r w:rsidRPr="00956340">
        <w:rPr>
          <w:rFonts w:cstheme="minorHAnsi"/>
          <w:color w:val="000000" w:themeColor="text1"/>
          <w:sz w:val="24"/>
        </w:rPr>
        <w:t xml:space="preserve">. </w:t>
      </w:r>
    </w:p>
    <w:p w:rsidR="000178B1" w:rsidRPr="00956340" w:rsidRDefault="000178B1" w:rsidP="00956340">
      <w:pPr>
        <w:spacing w:after="0"/>
        <w:jc w:val="left"/>
        <w:rPr>
          <w:rFonts w:cstheme="minorHAnsi"/>
          <w:color w:val="000000" w:themeColor="text1"/>
          <w:sz w:val="24"/>
        </w:rPr>
      </w:pPr>
      <w:r w:rsidRPr="00956340">
        <w:rPr>
          <w:rFonts w:cstheme="minorHAnsi"/>
          <w:color w:val="000000" w:themeColor="text1"/>
          <w:sz w:val="24"/>
        </w:rPr>
        <w:t>Największe zapotrzebowanie na kadry nauczycielskie odnotowano we Wrocławiu, gdzie potrzeba nauczycieli 42 różnych przedmiotów. Wynika to głównie z rozbudowanej sieci szkół i jej obciążenia wysoką liczbą uczniów. Najczęściej brakuje nauczycieli następujących specjalności:</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wychowania przedszkolnego (zapotrzebowanie w 10 gminach),</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pedagogiki specjalnej (zapotrzebowanie w 9 gminach),</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psychologii (zapotrzebowanie w 5 gminach),</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nauczycieli języka angielskiego (zapotrzebowanie w 5 gminach),</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nauczycieli matematyki i przedmiotów ścisłych (zapotrzebowanie we Wrocławiu),</w:t>
      </w:r>
    </w:p>
    <w:p w:rsidR="000178B1" w:rsidRPr="00956340" w:rsidRDefault="000178B1" w:rsidP="00956340">
      <w:pPr>
        <w:numPr>
          <w:ilvl w:val="0"/>
          <w:numId w:val="16"/>
        </w:numPr>
        <w:suppressAutoHyphens/>
        <w:spacing w:after="0"/>
        <w:ind w:left="714" w:hanging="357"/>
        <w:jc w:val="left"/>
        <w:rPr>
          <w:rFonts w:cstheme="minorHAnsi"/>
          <w:color w:val="000000" w:themeColor="text1"/>
          <w:sz w:val="24"/>
        </w:rPr>
      </w:pPr>
      <w:r w:rsidRPr="00956340">
        <w:rPr>
          <w:rFonts w:cstheme="minorHAnsi"/>
          <w:color w:val="000000" w:themeColor="text1"/>
          <w:sz w:val="24"/>
        </w:rPr>
        <w:t>nauczycieli przedmiotów zawodowych (zapotrzebowanie we  Wrocławiu).</w:t>
      </w:r>
    </w:p>
    <w:p w:rsidR="000178B1" w:rsidRPr="00956340" w:rsidRDefault="000178B1" w:rsidP="00956340">
      <w:pPr>
        <w:spacing w:before="120"/>
        <w:jc w:val="left"/>
        <w:rPr>
          <w:rFonts w:cstheme="minorHAnsi"/>
          <w:color w:val="000000" w:themeColor="text1"/>
          <w:sz w:val="24"/>
        </w:rPr>
      </w:pPr>
      <w:r w:rsidRPr="00956340">
        <w:rPr>
          <w:rFonts w:cstheme="minorHAnsi"/>
          <w:color w:val="000000" w:themeColor="text1"/>
          <w:sz w:val="24"/>
        </w:rPr>
        <w:t>Wskazane zapotrzebowanie koreluje ze zdiagnozowanymi wcześniej problemami dotyczącymi rozbudowy sieci przedszkoli, a także wiąże s</w:t>
      </w:r>
      <w:r w:rsidR="001D1207">
        <w:rPr>
          <w:rFonts w:cstheme="minorHAnsi"/>
          <w:color w:val="000000" w:themeColor="text1"/>
          <w:sz w:val="24"/>
        </w:rPr>
        <w:t>ię ze wzrostem liczby uczniów o </w:t>
      </w:r>
      <w:r w:rsidRPr="00956340">
        <w:rPr>
          <w:rFonts w:cstheme="minorHAnsi"/>
          <w:color w:val="000000" w:themeColor="text1"/>
          <w:sz w:val="24"/>
        </w:rPr>
        <w:t>specjalnych potrzebach edukacyjnych. Kwerenda ofert pracy dla nauczycieli wskazuje także na sporadyczne zapotrzebowanie na nauczycieli języka polskiego władających jednocześnie językie</w:t>
      </w:r>
      <w:r w:rsidR="00956340">
        <w:rPr>
          <w:rFonts w:cstheme="minorHAnsi"/>
          <w:color w:val="000000" w:themeColor="text1"/>
          <w:sz w:val="24"/>
        </w:rPr>
        <w:t xml:space="preserve">m ukraińskim, co związane jest </w:t>
      </w:r>
      <w:r w:rsidRPr="00956340">
        <w:rPr>
          <w:rFonts w:cstheme="minorHAnsi"/>
          <w:color w:val="000000" w:themeColor="text1"/>
          <w:sz w:val="24"/>
        </w:rPr>
        <w:t xml:space="preserve">z migracją uchodźców w wyniku wojny </w:t>
      </w:r>
      <w:r w:rsidR="000E30FD" w:rsidRPr="00956340">
        <w:rPr>
          <w:rFonts w:cstheme="minorHAnsi"/>
          <w:color w:val="000000" w:themeColor="text1"/>
          <w:sz w:val="24"/>
        </w:rPr>
        <w:t>w</w:t>
      </w:r>
      <w:r w:rsidR="001D1207">
        <w:rPr>
          <w:rFonts w:cstheme="minorHAnsi"/>
          <w:color w:val="000000" w:themeColor="text1"/>
          <w:sz w:val="24"/>
        </w:rPr>
        <w:t xml:space="preserve"> Ukrainie. W </w:t>
      </w:r>
      <w:r w:rsidR="00956340">
        <w:rPr>
          <w:rFonts w:cstheme="minorHAnsi"/>
          <w:color w:val="000000" w:themeColor="text1"/>
          <w:sz w:val="24"/>
        </w:rPr>
        <w:t xml:space="preserve">tym kontekście warto wspomnieć </w:t>
      </w:r>
      <w:r w:rsidRPr="00956340">
        <w:rPr>
          <w:rFonts w:cstheme="minorHAnsi"/>
          <w:color w:val="000000" w:themeColor="text1"/>
          <w:sz w:val="24"/>
        </w:rPr>
        <w:t>o szacunkowej skali zjawiska. Mianowicie raport „Miejska gości</w:t>
      </w:r>
      <w:r w:rsidR="00956340">
        <w:rPr>
          <w:rFonts w:cstheme="minorHAnsi"/>
          <w:color w:val="000000" w:themeColor="text1"/>
          <w:sz w:val="24"/>
        </w:rPr>
        <w:t xml:space="preserve">nność: wielki wzrost, wyzwania </w:t>
      </w:r>
      <w:r w:rsidRPr="00956340">
        <w:rPr>
          <w:rFonts w:cstheme="minorHAnsi"/>
          <w:color w:val="000000" w:themeColor="text1"/>
          <w:sz w:val="24"/>
        </w:rPr>
        <w:t xml:space="preserve">i szanse” wzmiankuje, iż we wrocławskich szkołach i przedszkolach przybyło około 6 000 uczniów. </w:t>
      </w:r>
      <w:r w:rsidRPr="00956340">
        <w:rPr>
          <w:rFonts w:cstheme="minorHAnsi"/>
          <w:color w:val="000000" w:themeColor="text1"/>
          <w:sz w:val="24"/>
        </w:rPr>
        <w:br/>
        <w:t>W 2021 szacunkowe dane GUS wskazują, że w szkołach podstawowych i przedszkolach we Wrocławiu uczyło się łącznie około 76 293 osób. Zatem uczniowie z Ukrainy stanowili 7,9% ogólnej liczby uczniów. Bez względu na udział liczby dzieci z Ukrainy w ogólnej liczebności społeczności szkolnej i przedszkolnej Wrocławia należy pamiętać, że każdy wzrost liczby dzieci w tych jednostkach niesie ze sobą dodatkowe obciążenia dla samorządów: konieczność otwierania nowych placówek, zatrudnienia dodatkowej kadry nauczycielskiej oraz doposażenia infrastruktury</w:t>
      </w:r>
      <w:r w:rsidRPr="00956340">
        <w:rPr>
          <w:rFonts w:cstheme="minorHAnsi"/>
          <w:color w:val="000000" w:themeColor="text1"/>
          <w:sz w:val="24"/>
          <w:vertAlign w:val="superscript"/>
        </w:rPr>
        <w:footnoteReference w:id="110"/>
      </w:r>
      <w:r w:rsidRPr="00956340">
        <w:rPr>
          <w:rFonts w:cstheme="minorHAnsi"/>
          <w:color w:val="000000" w:themeColor="text1"/>
          <w:sz w:val="24"/>
        </w:rPr>
        <w:t>.</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Jakość kształcenia</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Dla zobrazowania jakości edukacji w szkołach WrOF posłużono się wynikami egzaminu ósmoklasisty (obowiązkowego dla każdej osoby kończącej szkołę podstawową). Średnie wartości wyników egzaminu ósmoklasisty z 2022 r. dla obszaru WrOF zarówno z języka polskiego, matematyki, jak i języka angielskiego pr</w:t>
      </w:r>
      <w:r w:rsidR="001D1207">
        <w:rPr>
          <w:rFonts w:cstheme="minorHAnsi"/>
          <w:color w:val="000000" w:themeColor="text1"/>
          <w:sz w:val="24"/>
        </w:rPr>
        <w:t>zewyższają wyniki wojewódzkie i </w:t>
      </w:r>
      <w:r w:rsidRPr="00956340">
        <w:rPr>
          <w:rFonts w:cstheme="minorHAnsi"/>
          <w:color w:val="000000" w:themeColor="text1"/>
          <w:sz w:val="24"/>
        </w:rPr>
        <w:t xml:space="preserve">ogólnopolskie. Porównując wyniki z 2019 r. zauważa się, że rezultaty z matematyki i języka angielskiego uległy poprawie (odpowiednio z matematyki poprawa o 14 pp., z języka angielskiego poprawa o 8 pp.) Pogorszyły się natomiast wyniki z języka polskiego (-3 pp.). Zróżnicowane wyniki wskazują na konieczność rozwijania kompetencji kluczowych, zarówno miękkich, jak i językowych wśród dzieci i młodzieży, co możliwe będzie dzięki organizacji zajęć dodatkowych i zwiększeniu efektywności kształcenia w placówkach, szczególnie na obszarach wiejskich. Powyższe stwierdzenie znajduje oparcie w wynikach badań ilościowych przeprowadzonych na terenie WrOF – respondenci wskazali, iż brakuje zajęć dodatkowych w szczególności dla dzieci starszych, które byłyby prowadzone poza rdzeniem WrOF. Wynika to głównie z ograniczeń infrastrukturalnych (brak obiektów sportowych, rekreacyjnych, brak odpowiednio wyposażonych pracowni przedmiotowych) szkół zlokalizowanych poza Wrocławiem. </w:t>
      </w:r>
    </w:p>
    <w:p w:rsidR="009D0921" w:rsidRPr="00956340" w:rsidRDefault="009D0921" w:rsidP="00956340">
      <w:pPr>
        <w:jc w:val="left"/>
        <w:rPr>
          <w:rFonts w:cstheme="minorHAnsi"/>
          <w:b/>
          <w:color w:val="000000" w:themeColor="text1"/>
          <w:sz w:val="24"/>
        </w:rPr>
      </w:pPr>
      <w:r w:rsidRPr="00956340">
        <w:rPr>
          <w:rFonts w:cs="Calibri"/>
          <w:color w:val="000000" w:themeColor="text1"/>
          <w:sz w:val="24"/>
        </w:rPr>
        <w:t xml:space="preserve">Z punktu widzenia WrOF oraz rozwijającej się gospodarki, ważne jest wzmocnienie współpracy szkół z lokalnymi przedsiębiorcami i instytucjami rynku pracy, w celu stopniowego wprowadzania młodzieży na rynek pracy. Zatem zasadne jest zarówno </w:t>
      </w:r>
      <w:r w:rsidR="00AC7054" w:rsidRPr="00956340">
        <w:rPr>
          <w:rFonts w:cs="Calibri"/>
          <w:color w:val="000000" w:themeColor="text1"/>
          <w:sz w:val="24"/>
        </w:rPr>
        <w:t xml:space="preserve">doposażenie </w:t>
      </w:r>
      <w:proofErr w:type="spellStart"/>
      <w:r w:rsidR="00AC7054" w:rsidRPr="00956340">
        <w:rPr>
          <w:rFonts w:cs="Calibri"/>
          <w:color w:val="000000" w:themeColor="text1"/>
          <w:sz w:val="24"/>
        </w:rPr>
        <w:t>sal</w:t>
      </w:r>
      <w:proofErr w:type="spellEnd"/>
      <w:r w:rsidR="00AC7054" w:rsidRPr="00956340">
        <w:rPr>
          <w:rFonts w:cs="Calibri"/>
          <w:color w:val="000000" w:themeColor="text1"/>
          <w:sz w:val="24"/>
        </w:rPr>
        <w:t xml:space="preserve"> dydaktycznych w </w:t>
      </w:r>
      <w:r w:rsidRPr="00956340">
        <w:rPr>
          <w:rFonts w:cs="Calibri"/>
          <w:color w:val="000000" w:themeColor="text1"/>
          <w:sz w:val="24"/>
        </w:rPr>
        <w:t>nowoczesny sprzęt, zwłaszcza w kształceniu zawodowym, jak i poszerzenie oferty dodatk</w:t>
      </w:r>
      <w:r w:rsidR="002670B6" w:rsidRPr="00956340">
        <w:rPr>
          <w:rFonts w:cs="Calibri"/>
          <w:color w:val="000000" w:themeColor="text1"/>
          <w:sz w:val="24"/>
        </w:rPr>
        <w:t>owych zajęć przygotowujących do </w:t>
      </w:r>
      <w:r w:rsidRPr="00956340">
        <w:rPr>
          <w:rFonts w:cs="Calibri"/>
          <w:color w:val="000000" w:themeColor="text1"/>
          <w:sz w:val="24"/>
        </w:rPr>
        <w:t xml:space="preserve">egzaminów maturalnych, zawodowych oraz podnoszących kwalifikacje uczniów. Staże i stypendia mogą być czynnikiem motywującym młodzież do zdobywania </w:t>
      </w:r>
      <w:r w:rsidR="00162DE7" w:rsidRPr="00956340">
        <w:rPr>
          <w:rFonts w:cs="Calibri"/>
          <w:color w:val="000000" w:themeColor="text1"/>
          <w:sz w:val="24"/>
        </w:rPr>
        <w:t>wy</w:t>
      </w:r>
      <w:r w:rsidRPr="00956340">
        <w:rPr>
          <w:rFonts w:cs="Calibri"/>
          <w:color w:val="000000" w:themeColor="text1"/>
          <w:sz w:val="24"/>
        </w:rPr>
        <w:t>kształcenia w danym zawodzi</w:t>
      </w:r>
      <w:r w:rsidR="00162DE7" w:rsidRPr="00956340">
        <w:rPr>
          <w:rFonts w:cs="Calibri"/>
          <w:color w:val="000000" w:themeColor="text1"/>
          <w:sz w:val="24"/>
        </w:rPr>
        <w:t>e.</w:t>
      </w:r>
    </w:p>
    <w:p w:rsidR="000178B1" w:rsidRPr="00956340" w:rsidRDefault="000178B1" w:rsidP="00956340">
      <w:pPr>
        <w:spacing w:before="120" w:after="0"/>
        <w:jc w:val="left"/>
        <w:rPr>
          <w:rFonts w:eastAsia="font339" w:cstheme="minorHAnsi"/>
          <w:b/>
          <w:color w:val="000000" w:themeColor="text1"/>
          <w:sz w:val="24"/>
        </w:rPr>
      </w:pPr>
      <w:r w:rsidRPr="00956340">
        <w:rPr>
          <w:rFonts w:cstheme="minorHAnsi"/>
          <w:b/>
          <w:color w:val="000000" w:themeColor="text1"/>
          <w:sz w:val="24"/>
        </w:rPr>
        <w:t>Infrastruktura przedszkoli i szkół podstawowych</w:t>
      </w:r>
      <w:r w:rsidRPr="00956340">
        <w:rPr>
          <w:rFonts w:eastAsia="font339" w:cstheme="minorHAnsi"/>
          <w:b/>
          <w:color w:val="000000" w:themeColor="text1"/>
          <w:sz w:val="24"/>
          <w:vertAlign w:val="superscript"/>
        </w:rPr>
        <w:footnoteReference w:id="111"/>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Zgodnie ze zgromadzonymi danymi na terenie WrOF działa łącznie 258 placówek przedszkolnych</w:t>
      </w:r>
      <w:r w:rsidR="00956340">
        <w:rPr>
          <w:rFonts w:cstheme="minorHAnsi"/>
          <w:color w:val="000000" w:themeColor="text1"/>
          <w:sz w:val="24"/>
        </w:rPr>
        <w:t xml:space="preserve">, </w:t>
      </w:r>
      <w:r w:rsidRPr="00956340">
        <w:rPr>
          <w:rFonts w:cstheme="minorHAnsi"/>
          <w:color w:val="000000" w:themeColor="text1"/>
          <w:sz w:val="24"/>
        </w:rPr>
        <w:t>z czego około 1/3 stanowią placówki niepubliczne i prywatne (92 placówki).</w:t>
      </w:r>
      <w:r w:rsidR="00612160" w:rsidRPr="00956340">
        <w:rPr>
          <w:rFonts w:cstheme="minorHAnsi"/>
          <w:color w:val="000000" w:themeColor="text1"/>
          <w:sz w:val="24"/>
        </w:rPr>
        <w:t xml:space="preserve"> </w:t>
      </w:r>
      <w:r w:rsidRPr="00956340">
        <w:rPr>
          <w:rFonts w:cstheme="minorHAnsi"/>
          <w:color w:val="000000" w:themeColor="text1"/>
          <w:sz w:val="24"/>
        </w:rPr>
        <w:t>Największa liczba przedszkoli zlokalizowana jest we Wrocławiu (111 placówek stanowiących 43% wszystkich placówek WrOF). Opieka przedszkolna uzupełniana jest przez oddziały przedszkolne funkcjonujące przy szkołach podstawowych.</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W zakresie potrzeb infrastrukturalnych</w:t>
      </w:r>
      <w:r w:rsidRPr="00956340">
        <w:rPr>
          <w:rStyle w:val="Odwoanieprzypisudolnego"/>
          <w:rFonts w:cstheme="minorHAnsi"/>
          <w:color w:val="000000" w:themeColor="text1"/>
          <w:sz w:val="24"/>
        </w:rPr>
        <w:footnoteReference w:id="112"/>
      </w:r>
      <w:r w:rsidRPr="00956340">
        <w:rPr>
          <w:rFonts w:cstheme="minorHAnsi"/>
          <w:color w:val="000000" w:themeColor="text1"/>
          <w:sz w:val="24"/>
        </w:rPr>
        <w:t xml:space="preserve"> gminy WrOF zadeklarowały potrzebę budowy/uruchomienia  21 nowych przedszkoli, 30 oddziałów przedszkolnych, które szacunkowo powinny </w:t>
      </w:r>
      <w:r w:rsidR="00612160" w:rsidRPr="00956340">
        <w:rPr>
          <w:rFonts w:cstheme="minorHAnsi"/>
          <w:color w:val="000000" w:themeColor="text1"/>
          <w:sz w:val="24"/>
        </w:rPr>
        <w:t>objąć opieką</w:t>
      </w:r>
      <w:r w:rsidRPr="00956340">
        <w:rPr>
          <w:rFonts w:cstheme="minorHAnsi"/>
          <w:color w:val="000000" w:themeColor="text1"/>
          <w:sz w:val="24"/>
        </w:rPr>
        <w:t xml:space="preserve"> około 2 897 dzieci. Zapotrzebowanie na nową infrastrukturę przedszkolną, oddziały przedszkolne, a tym samym nowe miejsca dla dzieci jest bardzo zróżnicowane.</w:t>
      </w:r>
    </w:p>
    <w:p w:rsidR="000178B1" w:rsidRPr="00956340" w:rsidRDefault="000178B1" w:rsidP="00956340">
      <w:pPr>
        <w:jc w:val="left"/>
        <w:rPr>
          <w:rFonts w:cstheme="minorHAnsi"/>
          <w:b/>
          <w:bCs/>
          <w:color w:val="000000" w:themeColor="text1"/>
          <w:sz w:val="24"/>
        </w:rPr>
      </w:pPr>
      <w:r w:rsidRPr="00956340">
        <w:rPr>
          <w:rFonts w:cstheme="minorHAnsi"/>
          <w:color w:val="000000" w:themeColor="text1"/>
          <w:sz w:val="24"/>
        </w:rPr>
        <w:t>Zgodnie z deklaracjami gmin WrOF 45% przedszkoli wymaga prac remontowych, w tym termomodernizacyjnych. Ponadto w związku z planowaną budową nowych przedszkoli lub brakami takiej infrastruktury, zgłaszano konieczność budowy nowych placów zabaw.</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Ponadto gminy tworzące WrOF planują wybudować w najbliższych latach co najmniej 17 nowych obiektów na potrzeby szkół podstawowych. Głównie związane jest to z rosnącą liczbą osób w wieku przedprodukcyjnym, </w:t>
      </w:r>
      <w:proofErr w:type="spellStart"/>
      <w:r w:rsidRPr="00956340">
        <w:rPr>
          <w:rFonts w:cstheme="minorHAnsi"/>
          <w:color w:val="000000" w:themeColor="text1"/>
          <w:sz w:val="24"/>
        </w:rPr>
        <w:t>suburbanizacją</w:t>
      </w:r>
      <w:proofErr w:type="spellEnd"/>
      <w:r w:rsidRPr="00956340">
        <w:rPr>
          <w:rFonts w:cstheme="minorHAnsi"/>
          <w:color w:val="000000" w:themeColor="text1"/>
          <w:sz w:val="24"/>
        </w:rPr>
        <w:t xml:space="preserve"> oraz ruchami migracyjnymi, któr</w:t>
      </w:r>
      <w:r w:rsidR="00BA7227" w:rsidRPr="00956340">
        <w:rPr>
          <w:rFonts w:cstheme="minorHAnsi"/>
          <w:color w:val="000000" w:themeColor="text1"/>
          <w:sz w:val="24"/>
        </w:rPr>
        <w:t>e zwiększają zapotrzebowanie na </w:t>
      </w:r>
      <w:r w:rsidRPr="00956340">
        <w:rPr>
          <w:rFonts w:cstheme="minorHAnsi"/>
          <w:color w:val="000000" w:themeColor="text1"/>
          <w:sz w:val="24"/>
        </w:rPr>
        <w:t>usługi edukacyjne. Dla pr</w:t>
      </w:r>
      <w:r w:rsidR="001D1207">
        <w:rPr>
          <w:rFonts w:cstheme="minorHAnsi"/>
          <w:color w:val="000000" w:themeColor="text1"/>
          <w:sz w:val="24"/>
        </w:rPr>
        <w:t>zykładu w gminie Wisznia Mała w </w:t>
      </w:r>
      <w:r w:rsidRPr="00956340">
        <w:rPr>
          <w:rFonts w:cstheme="minorHAnsi"/>
          <w:color w:val="000000" w:themeColor="text1"/>
          <w:sz w:val="24"/>
        </w:rPr>
        <w:t>ciągu ostatniej dekady liczba uczniów uczęszczających do jednej ze szkół podstawowych wzrosła z 80 do 250</w:t>
      </w:r>
      <w:r w:rsidRPr="00956340">
        <w:rPr>
          <w:rFonts w:cstheme="minorHAnsi"/>
          <w:color w:val="000000" w:themeColor="text1"/>
          <w:sz w:val="24"/>
          <w:vertAlign w:val="superscript"/>
        </w:rPr>
        <w:footnoteReference w:id="113"/>
      </w:r>
      <w:r w:rsidRPr="00956340">
        <w:rPr>
          <w:rFonts w:cstheme="minorHAnsi"/>
          <w:color w:val="000000" w:themeColor="text1"/>
          <w:sz w:val="24"/>
        </w:rPr>
        <w:t xml:space="preserve"> natomiast w </w:t>
      </w:r>
      <w:r w:rsidR="00AC20D8" w:rsidRPr="00956340">
        <w:rPr>
          <w:rFonts w:cstheme="minorHAnsi"/>
          <w:color w:val="000000" w:themeColor="text1"/>
          <w:sz w:val="24"/>
        </w:rPr>
        <w:t xml:space="preserve">gminie </w:t>
      </w:r>
      <w:r w:rsidRPr="00956340">
        <w:rPr>
          <w:rFonts w:cstheme="minorHAnsi"/>
          <w:color w:val="000000" w:themeColor="text1"/>
          <w:sz w:val="24"/>
        </w:rPr>
        <w:t>Czernic</w:t>
      </w:r>
      <w:r w:rsidR="00AC20D8" w:rsidRPr="00956340">
        <w:rPr>
          <w:rFonts w:cstheme="minorHAnsi"/>
          <w:color w:val="000000" w:themeColor="text1"/>
          <w:sz w:val="24"/>
        </w:rPr>
        <w:t>a</w:t>
      </w:r>
      <w:r w:rsidRPr="00956340">
        <w:rPr>
          <w:rFonts w:cstheme="minorHAnsi"/>
          <w:color w:val="000000" w:themeColor="text1"/>
          <w:sz w:val="24"/>
        </w:rPr>
        <w:t xml:space="preserve"> (w tym samym okresie) podwoiła się liczba mieszkańców, co t</w:t>
      </w:r>
      <w:r w:rsidR="00BA7227" w:rsidRPr="00956340">
        <w:rPr>
          <w:rFonts w:cstheme="minorHAnsi"/>
          <w:color w:val="000000" w:themeColor="text1"/>
          <w:sz w:val="24"/>
        </w:rPr>
        <w:t>akże w konsekwencji prowadzi do </w:t>
      </w:r>
      <w:r w:rsidRPr="00956340">
        <w:rPr>
          <w:rFonts w:cstheme="minorHAnsi"/>
          <w:color w:val="000000" w:themeColor="text1"/>
          <w:sz w:val="24"/>
        </w:rPr>
        <w:t xml:space="preserve">wysokiego obciążenia infrastruktury oświaty. </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Gminy zadeklarowały również stosunkowo duże potrzeby remontowe istniejącej infrastruktury szkół podstawowych – w odniesieniu do danych GUS dotyczących liczby szkół podstawowych, co druga szkoła (52%) na terenie WrOF wymaga remontu.</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Samorządy WrOF planują uruchomienie 25 nowych świetlic szkolnych</w:t>
      </w:r>
      <w:r w:rsidR="00AC7054" w:rsidRPr="00956340">
        <w:rPr>
          <w:rFonts w:cstheme="minorHAnsi"/>
          <w:color w:val="000000" w:themeColor="text1"/>
          <w:sz w:val="24"/>
        </w:rPr>
        <w:t>,</w:t>
      </w:r>
      <w:r w:rsidRPr="00956340">
        <w:rPr>
          <w:rFonts w:cstheme="minorHAnsi"/>
          <w:color w:val="000000" w:themeColor="text1"/>
          <w:sz w:val="24"/>
        </w:rPr>
        <w:t xml:space="preserve"> natomiast 100</w:t>
      </w:r>
      <w:r w:rsidR="00AC20D8" w:rsidRPr="00956340">
        <w:rPr>
          <w:rFonts w:cstheme="minorHAnsi"/>
          <w:color w:val="000000" w:themeColor="text1"/>
          <w:sz w:val="24"/>
        </w:rPr>
        <w:t xml:space="preserve"> </w:t>
      </w:r>
      <w:r w:rsidRPr="00956340">
        <w:rPr>
          <w:rFonts w:cstheme="minorHAnsi"/>
          <w:color w:val="000000" w:themeColor="text1"/>
          <w:sz w:val="24"/>
        </w:rPr>
        <w:t>z już funkcjonujących wymaga nakładów remontowych lub mo</w:t>
      </w:r>
      <w:r w:rsidR="001D1207">
        <w:rPr>
          <w:rFonts w:cstheme="minorHAnsi"/>
          <w:color w:val="000000" w:themeColor="text1"/>
          <w:sz w:val="24"/>
        </w:rPr>
        <w:t>dernizacji. Należy pamiętać, że </w:t>
      </w:r>
      <w:r w:rsidRPr="00956340">
        <w:rPr>
          <w:rFonts w:cstheme="minorHAnsi"/>
          <w:color w:val="000000" w:themeColor="text1"/>
          <w:sz w:val="24"/>
        </w:rPr>
        <w:t xml:space="preserve">świetlice stanowią ważny element infrastruktury oświatowej, ponieważ umożliwiają prowadzenie zajęć pozalekcyjnych, a także dają możliwość osobom pracującym pozostawienia dzieci pod wykwalifikowaną opieką. </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Potrzebę uruchomienia nowej biblioteki zadeklarowało 7 z 19 samorządów WrOF. Dodatkowo 89 bibliotek funkcjonujących przy szkołach podstawowych na terenie WrOF wymaga prac remontowych lub modernizacyjnych.</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Stosunkowo niewielkie potrzeby samorządy WrOF zgłosiły w zakresie budowy nowych aul przy szkołach podstawowych. Należy jednak pamiętać, że szkoły podstawowe rzadko dysponują osobnymi aulami, a często na te cele przeznaczane są  sale gimnastyczne. Zgodnie ze zgromadzonymi danymi na terenie WrOF potrzeba 4 nowych takich obiektów, natomiast 26 aul wymaga remontów. </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W ramach przeprowadzonego badania ankietowanego 16 z 19 badanych gmin zadeklarowało potrzebę budowy nowych </w:t>
      </w:r>
      <w:proofErr w:type="spellStart"/>
      <w:r w:rsidRPr="00956340">
        <w:rPr>
          <w:rFonts w:cstheme="minorHAnsi"/>
          <w:color w:val="000000" w:themeColor="text1"/>
          <w:sz w:val="24"/>
        </w:rPr>
        <w:t>sal</w:t>
      </w:r>
      <w:proofErr w:type="spellEnd"/>
      <w:r w:rsidRPr="00956340">
        <w:rPr>
          <w:rFonts w:cstheme="minorHAnsi"/>
          <w:color w:val="000000" w:themeColor="text1"/>
          <w:sz w:val="24"/>
        </w:rPr>
        <w:t xml:space="preserve"> gimnastycznych przy szkołach podstawowych. Wisznia Mała zgłosiła pilną potrzebę budowy sali gimnastycznej ponieważ aktualnie korzysta z zaadaptowanej na te cele sali balowej zabytkowego pałacu. Ponadto uzyskano informacje określające potrzeby remontowe infrastruktury sportowej przy szkołach podstawowych. Wskazane dane korelują z wypowiedziami respondentów w badaniach ankietowych – 19,2% badanych wskazało, iż niedoinwestowana baza infrastruktury sportowej może stanowić poważne ograniczenie rozwojowe WrOF.</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Ostatnimi analizowanymi elementami infrastruktury s</w:t>
      </w:r>
      <w:r w:rsidR="001D1207">
        <w:rPr>
          <w:rFonts w:cstheme="minorHAnsi"/>
          <w:color w:val="000000" w:themeColor="text1"/>
          <w:sz w:val="24"/>
        </w:rPr>
        <w:t>zkół podstawowych są stołówki i </w:t>
      </w:r>
      <w:r w:rsidRPr="00956340">
        <w:rPr>
          <w:rFonts w:cstheme="minorHAnsi"/>
          <w:color w:val="000000" w:themeColor="text1"/>
          <w:sz w:val="24"/>
        </w:rPr>
        <w:t>gabinety pomocy medycznej. Najwięcej nowych obiektów gastronom</w:t>
      </w:r>
      <w:r w:rsidR="007529E6" w:rsidRPr="00956340">
        <w:rPr>
          <w:rFonts w:cstheme="minorHAnsi"/>
          <w:color w:val="000000" w:themeColor="text1"/>
          <w:sz w:val="24"/>
        </w:rPr>
        <w:t>icznych planuje si</w:t>
      </w:r>
      <w:r w:rsidR="00AC7054" w:rsidRPr="00956340">
        <w:rPr>
          <w:rFonts w:cstheme="minorHAnsi"/>
          <w:color w:val="000000" w:themeColor="text1"/>
          <w:sz w:val="24"/>
        </w:rPr>
        <w:t>ę utworzyć we </w:t>
      </w:r>
      <w:r w:rsidRPr="00956340">
        <w:rPr>
          <w:rFonts w:cstheme="minorHAnsi"/>
          <w:color w:val="000000" w:themeColor="text1"/>
          <w:sz w:val="24"/>
        </w:rPr>
        <w:t xml:space="preserve">Wrocławiu (3). Znacznie większe są potrzeby remontowe stołówek – łącznie na terenie WrOF zgłoszono potrzebę modernizacji lub remontu w 49 obiektach. 6 z badanych samorządów chciałoby </w:t>
      </w:r>
      <w:r w:rsidRPr="00956340">
        <w:rPr>
          <w:rFonts w:cstheme="minorHAnsi"/>
          <w:color w:val="000000" w:themeColor="text1"/>
          <w:sz w:val="24"/>
        </w:rPr>
        <w:br/>
        <w:t>w najbliższych latach uruchomić łącznie 10 gabinetów pomocy medycznej przy szkołach podstawowych</w:t>
      </w:r>
      <w:r w:rsidR="00AC7054" w:rsidRPr="00956340">
        <w:rPr>
          <w:rFonts w:cstheme="minorHAnsi"/>
          <w:color w:val="000000" w:themeColor="text1"/>
          <w:sz w:val="24"/>
        </w:rPr>
        <w:t>,</w:t>
      </w:r>
      <w:r w:rsidRPr="00956340">
        <w:rPr>
          <w:rFonts w:cstheme="minorHAnsi"/>
          <w:color w:val="000000" w:themeColor="text1"/>
          <w:sz w:val="24"/>
        </w:rPr>
        <w:t xml:space="preserve"> natomiast 23 z funkcjonujących gabinetów wymaga remontu bądź modernizacji.</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Infrastruktura szkół ponadpodstawowych</w:t>
      </w:r>
    </w:p>
    <w:p w:rsidR="000178B1" w:rsidRPr="00956340" w:rsidRDefault="000178B1" w:rsidP="00956340">
      <w:pPr>
        <w:spacing w:after="120"/>
        <w:jc w:val="left"/>
        <w:rPr>
          <w:rFonts w:cstheme="minorHAnsi"/>
          <w:color w:val="000000" w:themeColor="text1"/>
          <w:sz w:val="24"/>
        </w:rPr>
      </w:pPr>
      <w:r w:rsidRPr="00956340">
        <w:rPr>
          <w:rFonts w:cstheme="minorHAnsi"/>
          <w:color w:val="000000" w:themeColor="text1"/>
          <w:sz w:val="24"/>
        </w:rPr>
        <w:t xml:space="preserve">W obrębie WrOF </w:t>
      </w:r>
      <w:r w:rsidR="00AC7054" w:rsidRPr="00956340">
        <w:rPr>
          <w:rFonts w:cstheme="minorHAnsi"/>
          <w:color w:val="000000" w:themeColor="text1"/>
          <w:sz w:val="24"/>
        </w:rPr>
        <w:t>dwa</w:t>
      </w:r>
      <w:r w:rsidRPr="00956340">
        <w:rPr>
          <w:rFonts w:cstheme="minorHAnsi"/>
          <w:color w:val="000000" w:themeColor="text1"/>
          <w:sz w:val="24"/>
        </w:rPr>
        <w:t xml:space="preserve"> samorządy są organem prowadzącym dla szkół ponadpodstawowych – Wrocław oraz Długołęka. Najbardziej zróżnicowaną ofertę szkół ponadpodstawowych posiada Wrocław – funkcjonują tu branżowe szkoły, technika, licea ogólnokształcące, szkoły artystyczne oraz szkoły specjalne przysposabiające do pracy. W Długołęce natomiast funkcjonuje liceum ogólnokształcące.</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Największe potrzeby związane z budową nowych obiektów dotyczą szkół specjalnych</w:t>
      </w:r>
      <w:r w:rsidR="00EF7E3D" w:rsidRPr="00956340">
        <w:rPr>
          <w:rFonts w:cstheme="minorHAnsi"/>
          <w:color w:val="000000" w:themeColor="text1"/>
          <w:sz w:val="24"/>
        </w:rPr>
        <w:t xml:space="preserve"> </w:t>
      </w:r>
      <w:r w:rsidRPr="00956340">
        <w:rPr>
          <w:rFonts w:cstheme="minorHAnsi"/>
          <w:color w:val="000000" w:themeColor="text1"/>
          <w:sz w:val="24"/>
        </w:rPr>
        <w:t xml:space="preserve">przysposabiających do pracy. Wrocław zadeklarował konieczność budowy  szkoły specjalnej dla osób ze spektrum autyzmu oraz rozbudowy istniejących dwóch placówek (ZS 16 przy ul. Głogowskiej oraz SOSW 11 przy ul. Kamiennej). Wskazane zapotrzebowanie jest odpowiedzią na rosnącą liczbę uczniów o szczególnych potrzebach edukacyjnych. Ponadto wskazano na konieczność uruchomienia nowego liceum ogólnokształcącego, co z kolei wynika z przyrostu liczby osób w wieku przedprodukcyjnym oraz ruchów migracyjnych. Nie bez znaczenia jest także jakość kształcenia we wrocławskich liceach – są one często postrzegane jako te, które gwarantują lepszy poziom edukacji niż licea w ościennych powiatach, co powoduje ich znaczne obciążenie. Jedną z konsekwencji ponadnormatywnego obciążenia tego typu placówek we Wrocławiu jest intensywna eksploatacja ich infrastruktury – aż 18 budynków liceów wymaga przeprowadzenia remontów. W obrębie Wrocławia niewiele szkół ponadpodstawowych zlokalizowanych jest w obszarach nowej zabudowy, co powoduje również wzmożony ruch do centrum Wrocławia. </w:t>
      </w:r>
    </w:p>
    <w:p w:rsidR="000178B1"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Podobnie, choć w mniejszej skali zgłoszono potrzeby remontowe szkół technicznych – 17 budynków wymaga prac remontowych i modernizacyjnych. Znacznie większe potrzeby szkoły te posiadają w zakresie doposażenia pracowni przedmiotowych – jak wynika ze zgromadzonych danych, aż 51 pracowni w szkołach technicznych wymaga zakupu dodatkowego wyposażenia i pomocy dydaktycznych. W przypadku branżowych szkół 6 budynków oczekuje na remont. Stosunkowo duże potrzeby modernizacyjne dotyczą także infrastruktury sportowej, w szczególności boisk zewnętrznych przy szkołach ogólnokształcących (potrzeba remontu 32 boisk) oraz przy branżowych szkołach (konieczność remontu 8 boisk). </w:t>
      </w:r>
    </w:p>
    <w:p w:rsidR="000178B1" w:rsidRDefault="000178B1" w:rsidP="00956340">
      <w:pPr>
        <w:spacing w:after="0"/>
        <w:jc w:val="left"/>
        <w:rPr>
          <w:rFonts w:cstheme="minorHAnsi"/>
          <w:color w:val="000000" w:themeColor="text1"/>
          <w:sz w:val="24"/>
        </w:rPr>
      </w:pPr>
      <w:r w:rsidRPr="00956340">
        <w:rPr>
          <w:rFonts w:cstheme="minorHAnsi"/>
          <w:color w:val="000000" w:themeColor="text1"/>
          <w:sz w:val="24"/>
        </w:rPr>
        <w:t>W Długołęce zgłoszono potrzebę doposażenia w liceum ogólnokształcącym jednej pracowni przedmiotowej w dodatkowe pomoce dyda</w:t>
      </w:r>
      <w:r w:rsidR="00666B26" w:rsidRPr="00956340">
        <w:rPr>
          <w:rFonts w:cstheme="minorHAnsi"/>
          <w:color w:val="000000" w:themeColor="text1"/>
          <w:sz w:val="24"/>
        </w:rPr>
        <w:t>ktyczne.</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956340" w:rsidRPr="00800D30" w:rsidTr="006A36A5">
        <w:trPr>
          <w:trHeight w:val="510"/>
          <w:tblHeader/>
        </w:trPr>
        <w:tc>
          <w:tcPr>
            <w:tcW w:w="9062" w:type="dxa"/>
            <w:vAlign w:val="center"/>
          </w:tcPr>
          <w:p w:rsidR="00956340" w:rsidRPr="00800D30" w:rsidRDefault="00956340" w:rsidP="006A36A5">
            <w:pPr>
              <w:spacing w:line="240" w:lineRule="auto"/>
              <w:jc w:val="left"/>
              <w:rPr>
                <w:b/>
                <w:sz w:val="24"/>
              </w:rPr>
            </w:pPr>
            <w:r w:rsidRPr="00800D30">
              <w:rPr>
                <w:b/>
                <w:sz w:val="24"/>
              </w:rPr>
              <w:t>Kluczowe wyzwania strategiczne</w:t>
            </w:r>
          </w:p>
        </w:tc>
      </w:tr>
      <w:tr w:rsidR="00956340" w:rsidTr="006A36A5">
        <w:trPr>
          <w:trHeight w:val="737"/>
        </w:trPr>
        <w:tc>
          <w:tcPr>
            <w:tcW w:w="9062" w:type="dxa"/>
            <w:vAlign w:val="center"/>
          </w:tcPr>
          <w:p w:rsidR="00956340" w:rsidRPr="00752127" w:rsidRDefault="00956340" w:rsidP="00956340">
            <w:pPr>
              <w:spacing w:line="240" w:lineRule="auto"/>
              <w:jc w:val="left"/>
              <w:rPr>
                <w:rFonts w:cstheme="minorHAnsi"/>
                <w:color w:val="000000"/>
                <w:szCs w:val="20"/>
              </w:rPr>
            </w:pPr>
            <w:r w:rsidRPr="007529E6">
              <w:rPr>
                <w:rFonts w:cstheme="minorHAnsi"/>
                <w:color w:val="000000"/>
                <w:szCs w:val="20"/>
              </w:rPr>
              <w:t>Niewątpliwym wyzwaniem dla obszaru WrOF jest rozbudowa i poprawa jakości infrastruktury edukacyjnej uwzględniająca budowę nowych szkół, rem</w:t>
            </w:r>
            <w:r>
              <w:rPr>
                <w:rFonts w:cstheme="minorHAnsi"/>
                <w:color w:val="000000"/>
                <w:szCs w:val="20"/>
              </w:rPr>
              <w:t>ont istniejących, doposażenie i </w:t>
            </w:r>
            <w:r w:rsidRPr="007529E6">
              <w:rPr>
                <w:rFonts w:cstheme="minorHAnsi"/>
                <w:color w:val="000000"/>
                <w:szCs w:val="20"/>
              </w:rPr>
              <w:t xml:space="preserve">modernizację </w:t>
            </w:r>
            <w:proofErr w:type="spellStart"/>
            <w:r w:rsidRPr="007529E6">
              <w:rPr>
                <w:rFonts w:cstheme="minorHAnsi"/>
                <w:color w:val="000000"/>
                <w:szCs w:val="20"/>
              </w:rPr>
              <w:t>sal</w:t>
            </w:r>
            <w:proofErr w:type="spellEnd"/>
            <w:r w:rsidRPr="007529E6">
              <w:rPr>
                <w:rFonts w:cstheme="minorHAnsi"/>
                <w:color w:val="000000"/>
                <w:szCs w:val="20"/>
              </w:rPr>
              <w:t xml:space="preserve"> gimnastycznych, boisk, placów zabaw, świetlic, bibliotek i stołówek.</w:t>
            </w:r>
          </w:p>
        </w:tc>
      </w:tr>
      <w:tr w:rsidR="00956340" w:rsidTr="006A36A5">
        <w:trPr>
          <w:trHeight w:val="73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color w:val="000000"/>
                <w:szCs w:val="20"/>
              </w:rPr>
              <w:t>W związku z dynamicznym wzrostem liczby ludności na obszarze WrOF i zwiększonym zapotrzebowaniem na usługi edukacyjne konieczne jest wzmocnienie kompetencji i kształcenie nowych kadr oświatowych.</w:t>
            </w:r>
          </w:p>
        </w:tc>
      </w:tr>
      <w:tr w:rsidR="00956340" w:rsidTr="006A36A5">
        <w:trPr>
          <w:trHeight w:val="73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color w:val="000000"/>
                <w:szCs w:val="20"/>
              </w:rPr>
              <w:t>Kryzys migracyjny z 2022 r. wywołany konfliktem zbrojnym na Ukrainie znacząco obciążył system oświatowy WrOF. Nie można również wykluczyć pojawiania się kolejnych tego typu zjawisk. Dlatego koniecznym jest przygotowanie i adaptacja kompetentnych kadr (w tym edukacyjnych) do elastycznego reagowania na kryzysy uchodźcze.</w:t>
            </w:r>
          </w:p>
        </w:tc>
      </w:tr>
      <w:tr w:rsidR="00956340" w:rsidTr="006A36A5">
        <w:trPr>
          <w:trHeight w:val="737"/>
        </w:trPr>
        <w:tc>
          <w:tcPr>
            <w:tcW w:w="9062" w:type="dxa"/>
            <w:vAlign w:val="center"/>
          </w:tcPr>
          <w:p w:rsidR="00956340" w:rsidRPr="00AC7054" w:rsidRDefault="00956340" w:rsidP="00956340">
            <w:pPr>
              <w:spacing w:line="240" w:lineRule="auto"/>
              <w:jc w:val="left"/>
              <w:rPr>
                <w:rFonts w:cstheme="minorHAnsi"/>
                <w:color w:val="000000"/>
                <w:szCs w:val="20"/>
              </w:rPr>
            </w:pPr>
            <w:r w:rsidRPr="007529E6">
              <w:rPr>
                <w:rFonts w:cstheme="minorHAnsi"/>
                <w:color w:val="000000"/>
                <w:szCs w:val="20"/>
              </w:rPr>
              <w:t>Rosnące potrzeby finansowe samorządów WrOF w zakresie utrzymania systemu oświaty oraz relatywnie niska oświatowa subwencja ogólna wymuszają podjęcie działań zmierzających do optymalizacji wydatków przeznaczanych na utrzymanie sieci oświatowej.</w:t>
            </w:r>
          </w:p>
        </w:tc>
      </w:tr>
      <w:tr w:rsidR="00956340" w:rsidTr="006A36A5">
        <w:trPr>
          <w:trHeight w:val="737"/>
        </w:trPr>
        <w:tc>
          <w:tcPr>
            <w:tcW w:w="9062" w:type="dxa"/>
            <w:vAlign w:val="center"/>
          </w:tcPr>
          <w:p w:rsidR="00956340" w:rsidRPr="007529E6" w:rsidRDefault="00956340" w:rsidP="00956340">
            <w:pPr>
              <w:spacing w:line="240" w:lineRule="auto"/>
              <w:jc w:val="left"/>
              <w:rPr>
                <w:rFonts w:cstheme="minorHAnsi"/>
                <w:color w:val="000000"/>
                <w:szCs w:val="20"/>
              </w:rPr>
            </w:pPr>
            <w:r>
              <w:rPr>
                <w:rFonts w:cstheme="minorHAnsi"/>
                <w:color w:val="000000"/>
                <w:szCs w:val="20"/>
              </w:rPr>
              <w:t>W</w:t>
            </w:r>
            <w:r w:rsidRPr="005E77D6">
              <w:rPr>
                <w:rFonts w:cstheme="minorHAnsi"/>
                <w:color w:val="000000"/>
                <w:szCs w:val="20"/>
              </w:rPr>
              <w:t xml:space="preserve">ażne jest wzmocnienie współpracy szkół z lokalnymi przedsiębiorcami i instytucjami rynku pracy, w celu wprowadzania młodzieży na rynek pracy. </w:t>
            </w:r>
            <w:r>
              <w:rPr>
                <w:rFonts w:cstheme="minorHAnsi"/>
                <w:color w:val="000000"/>
                <w:szCs w:val="20"/>
              </w:rPr>
              <w:t xml:space="preserve">Konieczne jest </w:t>
            </w:r>
            <w:r w:rsidRPr="005E77D6">
              <w:rPr>
                <w:rFonts w:cstheme="minorHAnsi"/>
                <w:color w:val="000000"/>
                <w:szCs w:val="20"/>
              </w:rPr>
              <w:t xml:space="preserve"> doposażenie </w:t>
            </w:r>
            <w:proofErr w:type="spellStart"/>
            <w:r w:rsidRPr="005E77D6">
              <w:rPr>
                <w:rFonts w:cstheme="minorHAnsi"/>
                <w:color w:val="000000"/>
                <w:szCs w:val="20"/>
              </w:rPr>
              <w:t>sal</w:t>
            </w:r>
            <w:proofErr w:type="spellEnd"/>
            <w:r w:rsidRPr="005E77D6">
              <w:rPr>
                <w:rFonts w:cstheme="minorHAnsi"/>
                <w:color w:val="000000"/>
                <w:szCs w:val="20"/>
              </w:rPr>
              <w:t xml:space="preserve"> dydaktycznych w nowoczesny sprzęt</w:t>
            </w:r>
            <w:r>
              <w:rPr>
                <w:rFonts w:cstheme="minorHAnsi"/>
                <w:color w:val="000000"/>
                <w:szCs w:val="20"/>
              </w:rPr>
              <w:t xml:space="preserve">, </w:t>
            </w:r>
            <w:r w:rsidRPr="005E77D6">
              <w:rPr>
                <w:rFonts w:cstheme="minorHAnsi"/>
                <w:color w:val="000000"/>
                <w:szCs w:val="20"/>
              </w:rPr>
              <w:t xml:space="preserve">poszerzenie oferty dodatkowych zajęć przygotowujących do egzaminów maturalnych, zawodowych oraz podnoszących kwalifikacje uczniów. </w:t>
            </w:r>
          </w:p>
        </w:tc>
      </w:tr>
    </w:tbl>
    <w:p w:rsidR="00956340" w:rsidRDefault="00956340" w:rsidP="00956340">
      <w:pPr>
        <w:spacing w:after="0"/>
        <w:jc w:val="left"/>
        <w:rPr>
          <w:rFonts w:cstheme="minorHAnsi"/>
          <w:color w:val="000000" w:themeColor="text1"/>
          <w:sz w:val="24"/>
        </w:rPr>
      </w:pPr>
    </w:p>
    <w:p w:rsidR="000178B1" w:rsidRDefault="000178B1" w:rsidP="000178B1"/>
    <w:p w:rsidR="000178B1" w:rsidRPr="00666B26" w:rsidRDefault="007529E6" w:rsidP="00666B26">
      <w:pPr>
        <w:pStyle w:val="Nagwek2"/>
      </w:pPr>
      <w:bookmarkStart w:id="138" w:name="_Toc115450214"/>
      <w:bookmarkStart w:id="139" w:name="_Toc124767668"/>
      <w:bookmarkStart w:id="140" w:name="_Toc125707456"/>
      <w:bookmarkStart w:id="141" w:name="_Toc143673215"/>
      <w:r w:rsidRPr="00666B26">
        <w:t>II.</w:t>
      </w:r>
      <w:r w:rsidR="00187AED" w:rsidRPr="00666B26">
        <w:t>12</w:t>
      </w:r>
      <w:r w:rsidR="000178B1" w:rsidRPr="00666B26">
        <w:t xml:space="preserve"> Kapitał społeczny</w:t>
      </w:r>
      <w:bookmarkEnd w:id="138"/>
      <w:bookmarkEnd w:id="139"/>
      <w:bookmarkEnd w:id="140"/>
      <w:bookmarkEnd w:id="141"/>
    </w:p>
    <w:p w:rsidR="000178B1" w:rsidRPr="00956340" w:rsidRDefault="000178B1" w:rsidP="00956340">
      <w:pPr>
        <w:jc w:val="left"/>
        <w:rPr>
          <w:rFonts w:ascii="Calibri" w:hAnsi="Calibri" w:cs="Calibri"/>
          <w:color w:val="000000" w:themeColor="text1"/>
          <w:sz w:val="24"/>
        </w:rPr>
      </w:pPr>
      <w:r w:rsidRPr="00956340">
        <w:rPr>
          <w:rFonts w:ascii="Calibri" w:hAnsi="Calibri" w:cs="Calibri"/>
          <w:color w:val="000000" w:themeColor="text1"/>
          <w:sz w:val="24"/>
        </w:rPr>
        <w:t>Zidentyfikowanie poziomu i rozwoju kapitału społecznego obszaru WrOF jest niezbędnym elementem diagnostycznym umożliwiającym oszac</w:t>
      </w:r>
      <w:r w:rsidR="001D1207">
        <w:rPr>
          <w:rFonts w:ascii="Calibri" w:hAnsi="Calibri" w:cs="Calibri"/>
          <w:color w:val="000000" w:themeColor="text1"/>
          <w:sz w:val="24"/>
        </w:rPr>
        <w:t>owanie możliwości angażowania w </w:t>
      </w:r>
      <w:r w:rsidRPr="00956340">
        <w:rPr>
          <w:rFonts w:ascii="Calibri" w:hAnsi="Calibri" w:cs="Calibri"/>
          <w:color w:val="000000" w:themeColor="text1"/>
          <w:sz w:val="24"/>
        </w:rPr>
        <w:t>realizację działań społeczności lokalnych. Podstawowymi miernikami aktywności</w:t>
      </w:r>
      <w:r w:rsidR="00752127" w:rsidRPr="00956340">
        <w:rPr>
          <w:rFonts w:ascii="Calibri" w:hAnsi="Calibri" w:cs="Calibri"/>
          <w:color w:val="000000" w:themeColor="text1"/>
          <w:sz w:val="24"/>
        </w:rPr>
        <w:t xml:space="preserve"> obywatelskiej są: frekwencja w </w:t>
      </w:r>
      <w:r w:rsidRPr="00956340">
        <w:rPr>
          <w:rFonts w:ascii="Calibri" w:hAnsi="Calibri" w:cs="Calibri"/>
          <w:color w:val="000000" w:themeColor="text1"/>
          <w:sz w:val="24"/>
        </w:rPr>
        <w:t>wyborach oraz liczba organizacji pozarządowych. Dodatkowo w przedmiotowym rozdziale poruszono kwestie dotyczące mechanizmów partycypacji na terenie WrOF, w szczególności budżetów obywatelskich.</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Frekwencja wyborcza</w:t>
      </w:r>
    </w:p>
    <w:p w:rsidR="005F7FB3" w:rsidRPr="00956340" w:rsidRDefault="000178B1" w:rsidP="00956340">
      <w:pPr>
        <w:jc w:val="left"/>
        <w:rPr>
          <w:rFonts w:cstheme="minorHAnsi"/>
          <w:color w:val="000000" w:themeColor="text1"/>
          <w:sz w:val="24"/>
        </w:rPr>
      </w:pPr>
      <w:r w:rsidRPr="00956340">
        <w:rPr>
          <w:rFonts w:cstheme="minorHAnsi"/>
          <w:color w:val="000000" w:themeColor="text1"/>
          <w:sz w:val="24"/>
        </w:rPr>
        <w:t xml:space="preserve">Ostatnie wybory samorządowe odbyły się w 2018 r. </w:t>
      </w:r>
      <w:r w:rsidR="009447E1" w:rsidRPr="00956340">
        <w:rPr>
          <w:rFonts w:cstheme="minorHAnsi"/>
          <w:color w:val="000000" w:themeColor="text1"/>
          <w:sz w:val="24"/>
        </w:rPr>
        <w:t xml:space="preserve">i dotyczyły wszystkich szczebli </w:t>
      </w:r>
      <w:r w:rsidR="002670B6" w:rsidRPr="00956340">
        <w:rPr>
          <w:rFonts w:cstheme="minorHAnsi"/>
          <w:color w:val="000000" w:themeColor="text1"/>
          <w:sz w:val="24"/>
        </w:rPr>
        <w:t xml:space="preserve">samorządów </w:t>
      </w:r>
      <w:r w:rsidRPr="00956340">
        <w:rPr>
          <w:rFonts w:cstheme="minorHAnsi"/>
          <w:color w:val="000000" w:themeColor="text1"/>
          <w:sz w:val="24"/>
        </w:rPr>
        <w:t>– wojewódzkiego, powiatowego oraz gminnego. Porównując frekwencję z 2014 i 2018 r. zauważa się jej wzrost na obszarze całego WrOF o ponad 5 p</w:t>
      </w:r>
      <w:r w:rsidR="002670B6" w:rsidRPr="00956340">
        <w:rPr>
          <w:rFonts w:cstheme="minorHAnsi"/>
          <w:color w:val="000000" w:themeColor="text1"/>
          <w:sz w:val="24"/>
        </w:rPr>
        <w:t>p</w:t>
      </w:r>
      <w:r w:rsidRPr="00956340">
        <w:rPr>
          <w:rFonts w:cstheme="minorHAnsi"/>
          <w:color w:val="000000" w:themeColor="text1"/>
          <w:sz w:val="24"/>
        </w:rPr>
        <w:t xml:space="preserve">. W 2014 r. frekwencja w wyborach samorządowych we WrOF (49,5%) była wyższa w porównaniu do średniej dla województwa i kraju, </w:t>
      </w:r>
      <w:r w:rsidR="00666B26" w:rsidRPr="00956340">
        <w:rPr>
          <w:rFonts w:cstheme="minorHAnsi"/>
          <w:color w:val="000000" w:themeColor="text1"/>
          <w:sz w:val="24"/>
        </w:rPr>
        <w:t>a </w:t>
      </w:r>
      <w:r w:rsidR="00752127" w:rsidRPr="00956340">
        <w:rPr>
          <w:rFonts w:cstheme="minorHAnsi"/>
          <w:color w:val="000000" w:themeColor="text1"/>
          <w:sz w:val="24"/>
        </w:rPr>
        <w:t>w </w:t>
      </w:r>
      <w:r w:rsidRPr="00956340">
        <w:rPr>
          <w:rFonts w:cstheme="minorHAnsi"/>
          <w:color w:val="000000" w:themeColor="text1"/>
          <w:sz w:val="24"/>
        </w:rPr>
        <w:t>2018 r. zbliżona do średniej dla kraju (54,9%) i wyższa niż średnia wojewódzka (53,1%). W 2014 r. ani jeden z samorządów tworzących WrOF nie osiągnął frekwencji na poziomie 60%. W 2018 r. odnotowano zmianę i w 5 gminach frekwencja wyborcza wyniosła ponad 60%, a tym samym była wyższa niż średnia dla WrOF. Frekwencja na obszarze WrOF podlegała nieznac</w:t>
      </w:r>
      <w:r w:rsidR="00666B26" w:rsidRPr="00956340">
        <w:rPr>
          <w:rFonts w:cstheme="minorHAnsi"/>
          <w:color w:val="000000" w:themeColor="text1"/>
          <w:sz w:val="24"/>
        </w:rPr>
        <w:t>znym wahaniom w </w:t>
      </w:r>
      <w:r w:rsidRPr="00956340">
        <w:rPr>
          <w:rFonts w:cstheme="minorHAnsi"/>
          <w:color w:val="000000" w:themeColor="text1"/>
          <w:sz w:val="24"/>
        </w:rPr>
        <w:t xml:space="preserve">zależności od szczebla samorządu. Najwyższą frekwencję wyborczą na całym obszarze WrOF odnotowano w wyborach do rad powiatów i wyniosła ona 56,2% (przy ogólnopolskiej na poziomie 54,6%). Najniższą frekwencją odznaczały się wybory do sejmików </w:t>
      </w:r>
      <w:r w:rsidR="00666B26" w:rsidRPr="00956340">
        <w:rPr>
          <w:rFonts w:cstheme="minorHAnsi"/>
          <w:color w:val="000000" w:themeColor="text1"/>
          <w:sz w:val="24"/>
        </w:rPr>
        <w:t>wojewódzkich – w tych wyborach w</w:t>
      </w:r>
      <w:r w:rsidR="00E97426" w:rsidRPr="00956340">
        <w:rPr>
          <w:rFonts w:cstheme="minorHAnsi"/>
          <w:color w:val="000000" w:themeColor="text1"/>
          <w:sz w:val="24"/>
        </w:rPr>
        <w:t>e</w:t>
      </w:r>
      <w:r w:rsidR="00666B26" w:rsidRPr="00956340">
        <w:rPr>
          <w:rFonts w:cstheme="minorHAnsi"/>
          <w:color w:val="000000" w:themeColor="text1"/>
          <w:sz w:val="24"/>
        </w:rPr>
        <w:t> </w:t>
      </w:r>
      <w:r w:rsidRPr="00956340">
        <w:rPr>
          <w:rFonts w:cstheme="minorHAnsi"/>
          <w:color w:val="000000" w:themeColor="text1"/>
          <w:sz w:val="24"/>
        </w:rPr>
        <w:t xml:space="preserve">WrOF wyniosła ona 54,7% (przy ogólnopolskiej na poziomie 54,6%). Zdecydowanie większe zróżnicowanie frekwencji widoczne jest pośród poszczególnych gmin WrOF. W przypadku wyborów na wójtów, burmistrzów i prezydentów wahania frekwencji wyniosły ponad 12%. Najwyższą w tych wyborach w 2018 r. odnotowano w Czernicy (61,3%), Długołęce (61,0%) i Siechnicach (60,6%). Najmniej uprawnionych do głosowania poszło do urn wyborczych w Dobroszycach (49,2%), Oleśnicy (miasto - 52,2%) oraz Oławie (miasto - 52,6%). Wydaje się, że wybory w mniejszych samorządach, takich jak Czernica, bardziej mobilizują mieszkańców do aktywnego uczestnictwa w życiu publicznym niż w ośrodkach miejskich </w:t>
      </w:r>
      <w:r w:rsidR="00251B58" w:rsidRPr="00956340">
        <w:rPr>
          <w:rFonts w:cstheme="minorHAnsi"/>
          <w:color w:val="000000" w:themeColor="text1"/>
          <w:sz w:val="24"/>
        </w:rPr>
        <w:t xml:space="preserve">takich jak </w:t>
      </w:r>
      <w:r w:rsidRPr="00956340">
        <w:rPr>
          <w:rFonts w:cstheme="minorHAnsi"/>
          <w:color w:val="000000" w:themeColor="text1"/>
          <w:sz w:val="24"/>
        </w:rPr>
        <w:t>Oława czy Oleśnica.</w:t>
      </w:r>
    </w:p>
    <w:p w:rsidR="001D1207" w:rsidRDefault="001D1207" w:rsidP="00956340">
      <w:pPr>
        <w:spacing w:before="240" w:after="0"/>
        <w:jc w:val="left"/>
        <w:rPr>
          <w:rFonts w:cstheme="minorHAnsi"/>
          <w:b/>
          <w:color w:val="000000" w:themeColor="text1"/>
          <w:sz w:val="24"/>
        </w:rPr>
      </w:pPr>
      <w:r>
        <w:rPr>
          <w:rFonts w:cstheme="minorHAnsi"/>
          <w:b/>
          <w:color w:val="000000" w:themeColor="text1"/>
          <w:sz w:val="24"/>
        </w:rPr>
        <w:br w:type="page"/>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Organizacje pozarządowe</w:t>
      </w:r>
    </w:p>
    <w:p w:rsidR="000178B1" w:rsidRPr="00956340" w:rsidRDefault="000178B1" w:rsidP="00956340">
      <w:pPr>
        <w:spacing w:after="200"/>
        <w:jc w:val="left"/>
        <w:rPr>
          <w:rFonts w:cstheme="minorHAnsi"/>
          <w:color w:val="000000" w:themeColor="text1"/>
          <w:sz w:val="24"/>
        </w:rPr>
      </w:pPr>
      <w:r w:rsidRPr="00956340">
        <w:rPr>
          <w:rFonts w:cstheme="minorHAnsi"/>
          <w:color w:val="000000" w:themeColor="text1"/>
          <w:sz w:val="24"/>
        </w:rPr>
        <w:t xml:space="preserve">Organizacje pozarządowe stanowią istotny element demokracji i społeczeństwa obywatelskiego oraz są ważne z punktu widzenia aktywności obywatelskiej. </w:t>
      </w:r>
    </w:p>
    <w:p w:rsidR="000178B1" w:rsidRPr="00B27A13" w:rsidRDefault="000178B1" w:rsidP="000178B1">
      <w:pPr>
        <w:pStyle w:val="nadWrOF"/>
      </w:pPr>
      <w:bookmarkStart w:id="142" w:name="_Toc123037339"/>
      <w:bookmarkStart w:id="143" w:name="_Toc143606987"/>
      <w:r w:rsidRPr="00B27A13">
        <w:t xml:space="preserve">Wykres </w:t>
      </w:r>
      <w:r w:rsidR="00C73793" w:rsidRPr="00B27A13">
        <w:rPr>
          <w:noProof/>
        </w:rPr>
        <w:fldChar w:fldCharType="begin"/>
      </w:r>
      <w:r w:rsidRPr="00B27A13">
        <w:rPr>
          <w:noProof/>
        </w:rPr>
        <w:instrText xml:space="preserve"> SEQ "Wykres" \* ARABIC </w:instrText>
      </w:r>
      <w:r w:rsidR="00C73793" w:rsidRPr="00B27A13">
        <w:rPr>
          <w:noProof/>
        </w:rPr>
        <w:fldChar w:fldCharType="separate"/>
      </w:r>
      <w:r w:rsidR="00C96A96">
        <w:rPr>
          <w:noProof/>
        </w:rPr>
        <w:t>6</w:t>
      </w:r>
      <w:r w:rsidR="00C73793" w:rsidRPr="00B27A13">
        <w:rPr>
          <w:noProof/>
        </w:rPr>
        <w:fldChar w:fldCharType="end"/>
      </w:r>
      <w:r w:rsidRPr="00B27A13">
        <w:t xml:space="preserve"> Liczba organizacji pozarządowych </w:t>
      </w:r>
      <w:r w:rsidR="006D336D">
        <w:t xml:space="preserve">w funkcjonujących w </w:t>
      </w:r>
      <w:r w:rsidRPr="00B27A13">
        <w:t>latach 2017-2021 we WrOF</w:t>
      </w:r>
      <w:bookmarkEnd w:id="142"/>
      <w:bookmarkEnd w:id="143"/>
    </w:p>
    <w:p w:rsidR="000178B1" w:rsidRPr="00B27A13" w:rsidRDefault="00956340" w:rsidP="000178B1">
      <w:pPr>
        <w:keepNext/>
        <w:spacing w:after="0" w:line="240" w:lineRule="auto"/>
        <w:rPr>
          <w:rFonts w:cstheme="minorHAnsi"/>
        </w:rPr>
      </w:pPr>
      <w:r w:rsidRPr="00B27A13">
        <w:rPr>
          <w:rFonts w:cstheme="minorHAnsi"/>
          <w:noProof/>
          <w:lang w:eastAsia="pl-PL"/>
        </w:rPr>
        <w:drawing>
          <wp:inline distT="0" distB="0" distL="0" distR="0" wp14:anchorId="4E5A473C" wp14:editId="786B99CB">
            <wp:extent cx="5757545" cy="1876425"/>
            <wp:effectExtent l="0" t="0" r="14605" b="9525"/>
            <wp:docPr id="97" name="Wykres 64" descr="Liczba organizacji pozarządowych –  fundacje, stowarzyszenia i organizacje społeczne w latach 2017-2021 we WrOF. Wyniki omówione w tekście" title="Liczba organizacji pozarządowych –  fundacje, stowarzyszenia i organizacje społeczne w latach 2017-2021 we WrOF.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178B1" w:rsidRPr="00B27A13" w:rsidRDefault="000178B1" w:rsidP="000178B1">
      <w:pPr>
        <w:pStyle w:val="PODWrof"/>
      </w:pPr>
      <w:r w:rsidRPr="00B27A13">
        <w:t>Źródło: opracowanie wła</w:t>
      </w:r>
      <w:r>
        <w:t>sne na podstawie danych BDL GUS</w:t>
      </w:r>
      <w:r w:rsidRPr="009447E1">
        <w:rPr>
          <w:rStyle w:val="podWrOFZnak0"/>
          <w:rFonts w:asciiTheme="minorHAnsi" w:hAnsiTheme="minorHAnsi" w:cstheme="minorHAnsi"/>
          <w:iCs/>
        </w:rPr>
        <w:t>[</w:t>
      </w:r>
      <w:r w:rsidRPr="009447E1">
        <w:rPr>
          <w:rStyle w:val="podWrOFZnak0"/>
          <w:rFonts w:asciiTheme="minorHAnsi" w:hAnsiTheme="minorHAnsi" w:cstheme="minorHAnsi"/>
          <w:i/>
          <w:iCs/>
        </w:rPr>
        <w:t>Stan na: 31.12.2021].</w:t>
      </w:r>
    </w:p>
    <w:p w:rsidR="000178B1" w:rsidRPr="00956340" w:rsidRDefault="000178B1" w:rsidP="00956340">
      <w:pPr>
        <w:spacing w:after="0"/>
        <w:jc w:val="left"/>
        <w:rPr>
          <w:rFonts w:cstheme="minorHAnsi"/>
          <w:sz w:val="24"/>
        </w:rPr>
      </w:pPr>
      <w:r w:rsidRPr="00956340">
        <w:rPr>
          <w:rFonts w:cstheme="minorHAnsi"/>
          <w:sz w:val="24"/>
        </w:rPr>
        <w:t>Ogólna liczba fundacji, stowarzyszeń i organizacji społecznych na terenie WrOF w 2021 r. była równa 5 385. Mimo niższej liczby bezwzględnej fundacji, wzrost liczby tego typu podmiotów wyniósł ponad 21</w:t>
      </w:r>
      <w:r w:rsidR="00FE579E" w:rsidRPr="00956340">
        <w:rPr>
          <w:rFonts w:cstheme="minorHAnsi"/>
          <w:sz w:val="24"/>
        </w:rPr>
        <w:t>,0</w:t>
      </w:r>
      <w:r w:rsidRPr="00956340">
        <w:rPr>
          <w:rFonts w:cstheme="minorHAnsi"/>
          <w:sz w:val="24"/>
        </w:rPr>
        <w:t>% (o 341 podmiotów), w p</w:t>
      </w:r>
      <w:r w:rsidR="001D1207">
        <w:rPr>
          <w:rFonts w:cstheme="minorHAnsi"/>
          <w:sz w:val="24"/>
        </w:rPr>
        <w:t>rzypadku sektora stowarzyszeń i </w:t>
      </w:r>
      <w:r w:rsidRPr="00956340">
        <w:rPr>
          <w:rFonts w:cstheme="minorHAnsi"/>
          <w:sz w:val="24"/>
        </w:rPr>
        <w:t>organizacji społecznych kształtował się on na poziomie niecałych 2</w:t>
      </w:r>
      <w:r w:rsidR="00FE579E" w:rsidRPr="00956340">
        <w:rPr>
          <w:rFonts w:cstheme="minorHAnsi"/>
          <w:sz w:val="24"/>
        </w:rPr>
        <w:t>,0</w:t>
      </w:r>
      <w:r w:rsidRPr="00956340">
        <w:rPr>
          <w:rFonts w:cstheme="minorHAnsi"/>
          <w:sz w:val="24"/>
        </w:rPr>
        <w:t>% w ostatnich pięciu latach. Największy wzrost liczby organizacji społecznych w latach 2017-2021 miał miejsce w</w:t>
      </w:r>
      <w:r w:rsidR="00FE579E" w:rsidRPr="00956340">
        <w:rPr>
          <w:rFonts w:cstheme="minorHAnsi"/>
          <w:sz w:val="24"/>
        </w:rPr>
        <w:t xml:space="preserve"> gminach:</w:t>
      </w:r>
      <w:r w:rsidRPr="00956340">
        <w:rPr>
          <w:rFonts w:cstheme="minorHAnsi"/>
          <w:sz w:val="24"/>
        </w:rPr>
        <w:t xml:space="preserve"> Czernic</w:t>
      </w:r>
      <w:r w:rsidR="00FE579E" w:rsidRPr="00956340">
        <w:rPr>
          <w:rFonts w:cstheme="minorHAnsi"/>
          <w:sz w:val="24"/>
        </w:rPr>
        <w:t>a</w:t>
      </w:r>
      <w:r w:rsidRPr="00956340">
        <w:rPr>
          <w:rFonts w:cstheme="minorHAnsi"/>
          <w:sz w:val="24"/>
        </w:rPr>
        <w:t>, Kąt</w:t>
      </w:r>
      <w:r w:rsidR="00FE579E" w:rsidRPr="00956340">
        <w:rPr>
          <w:rFonts w:cstheme="minorHAnsi"/>
          <w:sz w:val="24"/>
        </w:rPr>
        <w:t>y</w:t>
      </w:r>
      <w:r w:rsidRPr="00956340">
        <w:rPr>
          <w:rFonts w:cstheme="minorHAnsi"/>
          <w:sz w:val="24"/>
        </w:rPr>
        <w:t xml:space="preserve"> Wrocławski</w:t>
      </w:r>
      <w:r w:rsidR="00FE579E" w:rsidRPr="00956340">
        <w:rPr>
          <w:rFonts w:cstheme="minorHAnsi"/>
          <w:sz w:val="24"/>
        </w:rPr>
        <w:t>e</w:t>
      </w:r>
      <w:r w:rsidRPr="00956340">
        <w:rPr>
          <w:rFonts w:cstheme="minorHAnsi"/>
          <w:sz w:val="24"/>
        </w:rPr>
        <w:t xml:space="preserve"> oraz Dobroszyc</w:t>
      </w:r>
      <w:r w:rsidR="00FE579E" w:rsidRPr="00956340">
        <w:rPr>
          <w:rFonts w:cstheme="minorHAnsi"/>
          <w:sz w:val="24"/>
        </w:rPr>
        <w:t>e</w:t>
      </w:r>
      <w:r w:rsidRPr="00956340">
        <w:rPr>
          <w:rFonts w:cstheme="minorHAnsi"/>
          <w:sz w:val="24"/>
        </w:rPr>
        <w:t>. Równocześnie mimo pandemii, która w skali ogólnopolskiej osłabiła</w:t>
      </w:r>
      <w:r w:rsidR="002670B6" w:rsidRPr="00956340">
        <w:rPr>
          <w:rFonts w:cstheme="minorHAnsi"/>
          <w:sz w:val="24"/>
        </w:rPr>
        <w:t xml:space="preserve"> sektor pozarządowy, w żadnej z </w:t>
      </w:r>
      <w:r w:rsidRPr="00956340">
        <w:rPr>
          <w:rFonts w:cstheme="minorHAnsi"/>
          <w:sz w:val="24"/>
        </w:rPr>
        <w:t>lokalizacji nie odnotowano spadku liczby stowarzyszeń, fundacji i organizacji społecznych, co należy uznać za pozytywne zjawisko. Z uwagi na znaczenie i rolę tego typu podmiotów w rozwoju społeczno-gospodarczym, ważne jest prowadzenie działań mających na celu wzrost zinstytucjonalizowanej aktywności społecznej w sferze publicznej, co przekłada się często również na poziom aktywności obywatelskiej.</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Ekonomia społeczna</w:t>
      </w:r>
    </w:p>
    <w:p w:rsidR="000178B1" w:rsidRPr="00956340" w:rsidRDefault="000178B1" w:rsidP="00956340">
      <w:pPr>
        <w:jc w:val="left"/>
        <w:rPr>
          <w:rFonts w:cstheme="minorHAnsi"/>
          <w:sz w:val="24"/>
        </w:rPr>
      </w:pPr>
      <w:r w:rsidRPr="00956340">
        <w:rPr>
          <w:rFonts w:cstheme="minorHAnsi"/>
          <w:sz w:val="24"/>
        </w:rPr>
        <w:t>Szczególną kategorią podmiotów ekonomii społecznej są przedsiębiorstwa społeczne (PS), które zasadniczo są organizacjami pozarządowymi prowadz</w:t>
      </w:r>
      <w:r w:rsidR="001D1207">
        <w:rPr>
          <w:rFonts w:cstheme="minorHAnsi"/>
          <w:sz w:val="24"/>
        </w:rPr>
        <w:t>ącymi działalność gospodarczą i </w:t>
      </w:r>
      <w:r w:rsidRPr="00956340">
        <w:rPr>
          <w:rFonts w:cstheme="minorHAnsi"/>
          <w:sz w:val="24"/>
        </w:rPr>
        <w:t>mogą przybierać różną formę prawną np. spółek non-profit, fundacji, stowarzyszeń czy spółdzielni socjalnych. Zgodnie z danymi Departamentu Ekonomii Społecznej i Solidarnej</w:t>
      </w:r>
      <w:r w:rsidRPr="00956340">
        <w:rPr>
          <w:rStyle w:val="Odwoanieprzypisudolnego"/>
          <w:rFonts w:cstheme="minorHAnsi"/>
          <w:sz w:val="24"/>
        </w:rPr>
        <w:footnoteReference w:id="114"/>
      </w:r>
      <w:r w:rsidR="00EF7E3D" w:rsidRPr="00956340">
        <w:rPr>
          <w:rFonts w:cstheme="minorHAnsi"/>
          <w:sz w:val="24"/>
        </w:rPr>
        <w:t xml:space="preserve"> utworzonego w </w:t>
      </w:r>
      <w:r w:rsidRPr="00956340">
        <w:rPr>
          <w:rFonts w:cstheme="minorHAnsi"/>
          <w:sz w:val="24"/>
        </w:rPr>
        <w:t xml:space="preserve">ramach </w:t>
      </w:r>
      <w:proofErr w:type="spellStart"/>
      <w:r w:rsidRPr="00956340">
        <w:rPr>
          <w:rFonts w:cstheme="minorHAnsi"/>
          <w:sz w:val="24"/>
        </w:rPr>
        <w:t>MRPiPS</w:t>
      </w:r>
      <w:proofErr w:type="spellEnd"/>
      <w:r w:rsidRPr="00956340">
        <w:rPr>
          <w:rFonts w:cstheme="minorHAnsi"/>
          <w:sz w:val="24"/>
        </w:rPr>
        <w:t>, na terenie całej Polski w 2022 r. działa</w:t>
      </w:r>
      <w:r w:rsidR="003D4CF4" w:rsidRPr="00956340">
        <w:rPr>
          <w:rFonts w:cstheme="minorHAnsi"/>
          <w:sz w:val="24"/>
        </w:rPr>
        <w:t>ło</w:t>
      </w:r>
      <w:r w:rsidRPr="00956340">
        <w:rPr>
          <w:rFonts w:cstheme="minorHAnsi"/>
          <w:sz w:val="24"/>
        </w:rPr>
        <w:t xml:space="preserve"> 2 027 p</w:t>
      </w:r>
      <w:r w:rsidR="00EF7E3D" w:rsidRPr="00956340">
        <w:rPr>
          <w:rFonts w:cstheme="minorHAnsi"/>
          <w:sz w:val="24"/>
        </w:rPr>
        <w:t>rzedsiębiorstw społecznych, a w </w:t>
      </w:r>
      <w:r w:rsidRPr="00956340">
        <w:rPr>
          <w:rFonts w:cstheme="minorHAnsi"/>
          <w:sz w:val="24"/>
        </w:rPr>
        <w:t xml:space="preserve">województwie dolnośląskim </w:t>
      </w:r>
      <w:r w:rsidR="003D4CF4" w:rsidRPr="00956340">
        <w:rPr>
          <w:rFonts w:cstheme="minorHAnsi"/>
          <w:sz w:val="24"/>
        </w:rPr>
        <w:t>było</w:t>
      </w:r>
      <w:r w:rsidRPr="00956340">
        <w:rPr>
          <w:rFonts w:cstheme="minorHAnsi"/>
          <w:sz w:val="24"/>
        </w:rPr>
        <w:t xml:space="preserve"> 101 takich podmiotów, które stanową niespełna 5% ogólnej liczby przedsięb</w:t>
      </w:r>
      <w:r w:rsidR="001D1207">
        <w:rPr>
          <w:rFonts w:cstheme="minorHAnsi"/>
          <w:sz w:val="24"/>
        </w:rPr>
        <w:t>iorstw społecznych w Polsce. Na </w:t>
      </w:r>
      <w:r w:rsidRPr="00956340">
        <w:rPr>
          <w:rFonts w:cstheme="minorHAnsi"/>
          <w:sz w:val="24"/>
        </w:rPr>
        <w:t xml:space="preserve">obszarze WrOF zidentyfikowano łącznie 33 przedsiębiorstwa społeczne, z czego 85% (28 podmiotów) we Wrocławiu. W 12 </w:t>
      </w:r>
      <w:r w:rsidR="00845440" w:rsidRPr="00956340">
        <w:rPr>
          <w:rFonts w:cstheme="minorHAnsi"/>
          <w:sz w:val="24"/>
        </w:rPr>
        <w:t>gminach</w:t>
      </w:r>
      <w:r w:rsidRPr="00956340">
        <w:rPr>
          <w:rFonts w:cstheme="minorHAnsi"/>
          <w:sz w:val="24"/>
        </w:rPr>
        <w:t xml:space="preserve"> nie funkcjonują przedsiębiorstwa społeczne (Czernica, Dobroszyce, Kobierzyce, Miękinia, Oleśnica (gmina</w:t>
      </w:r>
      <w:r w:rsidR="00EF7E3D" w:rsidRPr="00956340">
        <w:rPr>
          <w:rFonts w:cstheme="minorHAnsi"/>
          <w:sz w:val="24"/>
        </w:rPr>
        <w:t xml:space="preserve"> wiejska</w:t>
      </w:r>
      <w:r w:rsidRPr="00956340">
        <w:rPr>
          <w:rFonts w:cstheme="minorHAnsi"/>
          <w:sz w:val="24"/>
        </w:rPr>
        <w:t>), Oława (gmina</w:t>
      </w:r>
      <w:r w:rsidR="00EF7E3D" w:rsidRPr="00956340">
        <w:rPr>
          <w:rFonts w:cstheme="minorHAnsi"/>
          <w:sz w:val="24"/>
        </w:rPr>
        <w:t xml:space="preserve"> wiejska</w:t>
      </w:r>
      <w:r w:rsidRPr="00956340">
        <w:rPr>
          <w:rFonts w:cstheme="minorHAnsi"/>
          <w:sz w:val="24"/>
        </w:rPr>
        <w:t>), Siechnice, Sobótka, Trzebnica, Wisznia Mała, Zawonia i Żórawina).</w:t>
      </w:r>
    </w:p>
    <w:p w:rsidR="000178B1" w:rsidRPr="00956340" w:rsidRDefault="000178B1" w:rsidP="00956340">
      <w:pPr>
        <w:jc w:val="left"/>
        <w:rPr>
          <w:rFonts w:cstheme="minorHAnsi"/>
          <w:sz w:val="24"/>
        </w:rPr>
      </w:pPr>
      <w:r w:rsidRPr="00956340">
        <w:rPr>
          <w:rFonts w:cstheme="minorHAnsi"/>
          <w:sz w:val="24"/>
        </w:rPr>
        <w:t xml:space="preserve">Następną analizowaną kategorią podmiotów działających w obszarze ekonomii społecznej są podmioty reintegracyjne – w szczególności Zakłady Aktywności Zawodowej, Warsztaty Terapii Zajęciowej, Kluby i Centra Integracji Społecznej. Podmioty te pełnią szczególną rolę wspierającą dla osób z niepełnosprawnością (ZAZ, WTZ), ale także wspierają osoby znajdujące się w trudniej sytuacji życiowej lub wykluczone społecznie (CIS, KIS). Na terenie WrOF działa łącznie 14 podmiotów reintegracyjnych. Zauważa się, że największa ich koncentracja jest we Wrocławiu (8 z 14 podmiotów), po dwa podmioty w Trzebnicy oraz Oławie (miasto) i po jednym podmiocie </w:t>
      </w:r>
      <w:r w:rsidR="00BA7227" w:rsidRPr="00956340">
        <w:rPr>
          <w:rFonts w:cstheme="minorHAnsi"/>
          <w:sz w:val="24"/>
        </w:rPr>
        <w:t>w Oleśnicy (miasto) i </w:t>
      </w:r>
      <w:r w:rsidRPr="00956340">
        <w:rPr>
          <w:rFonts w:cstheme="minorHAnsi"/>
          <w:sz w:val="24"/>
        </w:rPr>
        <w:t>Dobroszycach. Rozmieszczenie podmiotów reintegracyjnych w zaledwie 5 lokalizacjach z 19 jednostek terytorialnych WrOF wskazuje na ich niską dostępność.</w:t>
      </w:r>
      <w:r w:rsidR="00EF7E3D" w:rsidRPr="00956340">
        <w:rPr>
          <w:rFonts w:cstheme="minorHAnsi"/>
          <w:sz w:val="24"/>
        </w:rPr>
        <w:t xml:space="preserve"> </w:t>
      </w:r>
      <w:r w:rsidRPr="00956340">
        <w:rPr>
          <w:rFonts w:cstheme="minorHAnsi"/>
          <w:sz w:val="24"/>
        </w:rPr>
        <w:t xml:space="preserve">O ile sektor ekonomii społecznej jest istotnym ogniwem łączącym aktywność obywatelską, reintegrację, pomoc i działalność gospodarczą, to skala jego oddziaływania na terenie WrOF jak na razie jest niewielka. </w:t>
      </w:r>
    </w:p>
    <w:p w:rsidR="000178B1" w:rsidRPr="00956340" w:rsidRDefault="000178B1" w:rsidP="00956340">
      <w:pPr>
        <w:spacing w:before="240" w:after="0"/>
        <w:jc w:val="left"/>
        <w:rPr>
          <w:rFonts w:cstheme="minorHAnsi"/>
          <w:b/>
          <w:color w:val="000000" w:themeColor="text1"/>
          <w:sz w:val="24"/>
        </w:rPr>
      </w:pPr>
      <w:r w:rsidRPr="00956340">
        <w:rPr>
          <w:rFonts w:cstheme="minorHAnsi"/>
          <w:b/>
          <w:color w:val="000000" w:themeColor="text1"/>
          <w:sz w:val="24"/>
        </w:rPr>
        <w:t>Budżet obywatelski</w:t>
      </w:r>
    </w:p>
    <w:p w:rsidR="005F7FB3" w:rsidRPr="00956340" w:rsidRDefault="000178B1" w:rsidP="00956340">
      <w:pPr>
        <w:spacing w:line="336" w:lineRule="auto"/>
        <w:jc w:val="left"/>
        <w:rPr>
          <w:rFonts w:cstheme="minorHAnsi"/>
          <w:sz w:val="24"/>
        </w:rPr>
      </w:pPr>
      <w:r w:rsidRPr="00956340">
        <w:rPr>
          <w:rFonts w:cstheme="minorHAnsi"/>
          <w:sz w:val="24"/>
        </w:rPr>
        <w:t>Partycypacja w życiu publicznym oraz zaangażowanie mieszkańców w sprawy lokalne możliwe są dzięki prowadzonym budżetom obywatelskim (BO). Jest on narzędziem, w ramach którego mieszkańcy miast i gmin współdecydują o wydatkach publicznych jed</w:t>
      </w:r>
      <w:r w:rsidR="00EF7E3D" w:rsidRPr="00956340">
        <w:rPr>
          <w:rFonts w:cstheme="minorHAnsi"/>
          <w:sz w:val="24"/>
        </w:rPr>
        <w:t>nostki terytorialnej. Zgodnie z </w:t>
      </w:r>
      <w:r w:rsidRPr="00956340">
        <w:rPr>
          <w:rFonts w:cstheme="minorHAnsi"/>
          <w:sz w:val="24"/>
        </w:rPr>
        <w:t>przepisami</w:t>
      </w:r>
      <w:r w:rsidRPr="00956340">
        <w:rPr>
          <w:rStyle w:val="Odwoanieprzypisudolnego"/>
          <w:rFonts w:cstheme="minorHAnsi"/>
          <w:sz w:val="24"/>
        </w:rPr>
        <w:footnoteReference w:id="115"/>
      </w:r>
      <w:r w:rsidRPr="00956340">
        <w:rPr>
          <w:rFonts w:cstheme="minorHAnsi"/>
          <w:sz w:val="24"/>
        </w:rPr>
        <w:t xml:space="preserve"> utworzenie budżetu obywatelskiego jest obligatoryjne w gminach będących miastami na prawach powiatu, a w mniejszych gminach jego zainicjowanie </w:t>
      </w:r>
      <w:r w:rsidR="00EF7E3D" w:rsidRPr="00956340">
        <w:rPr>
          <w:rFonts w:cstheme="minorHAnsi"/>
          <w:sz w:val="24"/>
        </w:rPr>
        <w:t>pozostaje w kwestii włodarzy. W </w:t>
      </w:r>
      <w:r w:rsidRPr="00956340">
        <w:rPr>
          <w:rFonts w:cstheme="minorHAnsi"/>
          <w:sz w:val="24"/>
        </w:rPr>
        <w:t>związku z brakiem takiego obowiązku nie wszystkie gminy zrzeszone we WrOF prowadzą budżet obywatelski. Na przestrzeni lat 2017-2021 był on realizowany w Trzebnicy, Jelczu-Laskowicach, Oleśnicy (miasto) i Wrocławiu. W Trzebnicy w 2020 r. zorganizowano 7 e</w:t>
      </w:r>
      <w:r w:rsidR="001D1207">
        <w:rPr>
          <w:rFonts w:cstheme="minorHAnsi"/>
          <w:sz w:val="24"/>
        </w:rPr>
        <w:t>dycję Budżetu Obywatelskiego. W </w:t>
      </w:r>
      <w:r w:rsidRPr="00956340">
        <w:rPr>
          <w:rFonts w:cstheme="minorHAnsi"/>
          <w:sz w:val="24"/>
        </w:rPr>
        <w:t>Jelczu-Laskowicach zrealizowano do tej pory 5 edycji BO, w latach 2018-2022</w:t>
      </w:r>
      <w:r w:rsidR="00EF7E3D" w:rsidRPr="00956340">
        <w:rPr>
          <w:rFonts w:cstheme="minorHAnsi"/>
          <w:sz w:val="24"/>
        </w:rPr>
        <w:t> r., a </w:t>
      </w:r>
      <w:r w:rsidRPr="00956340">
        <w:rPr>
          <w:rFonts w:cstheme="minorHAnsi"/>
          <w:sz w:val="24"/>
        </w:rPr>
        <w:t xml:space="preserve">w 2022 r. podjęto proces konsultacji społecznych dotyczących realizacji BO w 2023 r. Miasto Oleśnica realizuje BO od 2016 r. </w:t>
      </w:r>
    </w:p>
    <w:p w:rsidR="008178C5" w:rsidRDefault="000178B1" w:rsidP="00956340">
      <w:pPr>
        <w:spacing w:line="336" w:lineRule="auto"/>
        <w:jc w:val="left"/>
        <w:rPr>
          <w:rFonts w:cstheme="minorHAnsi"/>
          <w:sz w:val="24"/>
        </w:rPr>
      </w:pPr>
      <w:r w:rsidRPr="00956340">
        <w:rPr>
          <w:rFonts w:cstheme="minorHAnsi"/>
          <w:sz w:val="24"/>
        </w:rPr>
        <w:t>We Wrocławiu budżet partycypacyjny organizowany jest co roku od 2013 r. W ramach WBO 2017, zagłosowało 97 043 mieszkańców, natomiast w 2021 r. liczba głosujących</w:t>
      </w:r>
      <w:r w:rsidR="00EF7E3D" w:rsidRPr="00956340">
        <w:rPr>
          <w:rFonts w:cstheme="minorHAnsi"/>
          <w:sz w:val="24"/>
        </w:rPr>
        <w:t xml:space="preserve"> zmniejszyła się i wynosiła </w:t>
      </w:r>
      <w:r w:rsidRPr="00956340">
        <w:rPr>
          <w:rFonts w:cstheme="minorHAnsi"/>
          <w:sz w:val="24"/>
        </w:rPr>
        <w:t>89 933 mieszkańców. W Oławie (miasto) w 2022 r. ruszyła pierwsza edycja budżetu obywatelskiego, dająca możliwość mieszkańcom głosowania na projekty, których realizacja wpisana będzie w uchwałę budżetową na 2023 r.</w:t>
      </w:r>
      <w:r w:rsidRPr="00956340">
        <w:rPr>
          <w:rStyle w:val="Odwoanieprzypisudolnego"/>
          <w:rFonts w:cstheme="minorHAnsi"/>
          <w:sz w:val="24"/>
        </w:rPr>
        <w:footnoteReference w:id="116"/>
      </w:r>
      <w:r w:rsidRPr="00956340">
        <w:rPr>
          <w:rFonts w:cstheme="minorHAnsi"/>
          <w:sz w:val="24"/>
        </w:rPr>
        <w:t xml:space="preserve">. Realizacja projektów zgłoszonych w budżecie obywatelskim ma bezpośrednie przełożenie na jakość życia mieszkańców i wynika z realnych potrzeb społeczności lokalnej. Istotne jest zatem wdrażanie </w:t>
      </w:r>
      <w:r w:rsidRPr="00956340">
        <w:rPr>
          <w:sz w:val="24"/>
        </w:rPr>
        <w:t>i wykorzystanie</w:t>
      </w:r>
      <w:r w:rsidRPr="00956340">
        <w:rPr>
          <w:rFonts w:cstheme="minorHAnsi"/>
          <w:sz w:val="24"/>
        </w:rPr>
        <w:t xml:space="preserve"> tego mechanizmu w gminach tworzących WrOF oraz aktywizacja mieszkańców, zwiększenie zaangażowania i mobili</w:t>
      </w:r>
      <w:r w:rsidR="001D1207">
        <w:rPr>
          <w:rFonts w:cstheme="minorHAnsi"/>
          <w:sz w:val="24"/>
        </w:rPr>
        <w:t>zacja do zgłaszania projektów i </w:t>
      </w:r>
      <w:r w:rsidRPr="00956340">
        <w:rPr>
          <w:rFonts w:cstheme="minorHAnsi"/>
          <w:sz w:val="24"/>
        </w:rPr>
        <w:t>głosowania.</w:t>
      </w: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956340" w:rsidRPr="00800D30" w:rsidTr="006A36A5">
        <w:trPr>
          <w:trHeight w:val="510"/>
          <w:tblHeader/>
        </w:trPr>
        <w:tc>
          <w:tcPr>
            <w:tcW w:w="9062" w:type="dxa"/>
            <w:vAlign w:val="center"/>
          </w:tcPr>
          <w:p w:rsidR="00956340" w:rsidRPr="00800D30" w:rsidRDefault="00956340" w:rsidP="006A36A5">
            <w:pPr>
              <w:spacing w:line="240" w:lineRule="auto"/>
              <w:jc w:val="left"/>
              <w:rPr>
                <w:b/>
                <w:sz w:val="24"/>
              </w:rPr>
            </w:pPr>
            <w:r w:rsidRPr="00800D30">
              <w:rPr>
                <w:b/>
                <w:sz w:val="24"/>
              </w:rPr>
              <w:t>Kluczowe wyzwania strategiczne</w:t>
            </w:r>
          </w:p>
        </w:tc>
      </w:tr>
      <w:tr w:rsidR="00956340" w:rsidTr="00956340">
        <w:trPr>
          <w:trHeight w:val="107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szCs w:val="20"/>
              </w:rPr>
              <w:t>Istotne z punktu widzenia wzmacniania poziomu kapitału społecznego i wzrostu zaangażowa</w:t>
            </w:r>
            <w:r>
              <w:rPr>
                <w:rFonts w:cstheme="minorHAnsi"/>
                <w:szCs w:val="20"/>
              </w:rPr>
              <w:t>nia obywateli w życie publiczne</w:t>
            </w:r>
            <w:r w:rsidRPr="007529E6">
              <w:rPr>
                <w:rFonts w:cstheme="minorHAnsi"/>
                <w:szCs w:val="20"/>
              </w:rPr>
              <w:t xml:space="preserve"> jest zwiększenie możliwości partycypacji mieszkańców w procesach decyzyjnych w poszczególnych gminach m.in. poprzez prowadzenie budżetu obywatelskiego.</w:t>
            </w:r>
          </w:p>
        </w:tc>
      </w:tr>
      <w:tr w:rsidR="00956340" w:rsidTr="00956340">
        <w:trPr>
          <w:trHeight w:val="107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szCs w:val="20"/>
              </w:rPr>
              <w:t xml:space="preserve">Wzmocnienie sektora obywatelskiego możliwe będzie dzięki ekonomizacji organizacji pozarządowych we WrOF. Wyzwanie stanowi w szczególności zwiększenie skali oddziaływania podmiotów sektora ekonomii społecznej. </w:t>
            </w:r>
          </w:p>
        </w:tc>
      </w:tr>
      <w:tr w:rsidR="00956340" w:rsidTr="00956340">
        <w:trPr>
          <w:trHeight w:val="107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szCs w:val="20"/>
              </w:rPr>
              <w:t>Z punktu widzenia obserwowanego procesu starzenia się i możliwości jego nasilenia w najbliższych latach, istotne jest zwiększenie poziomu aktywności seniorów. Wyzwanie w tej kwestii stanowić będzie rozbudowa oferty zajęć oraz miejsc spędzania czasu wolnego, które jed</w:t>
            </w:r>
            <w:r>
              <w:rPr>
                <w:rFonts w:cstheme="minorHAnsi"/>
                <w:szCs w:val="20"/>
              </w:rPr>
              <w:t>n</w:t>
            </w:r>
            <w:r w:rsidRPr="007529E6">
              <w:rPr>
                <w:rFonts w:cstheme="minorHAnsi"/>
                <w:szCs w:val="20"/>
              </w:rPr>
              <w:t xml:space="preserve">ocześnie sprzyjać będą integracji mieszkańców i ograniczeniu zjawiska wykluczenia społecznego. </w:t>
            </w:r>
          </w:p>
        </w:tc>
      </w:tr>
      <w:tr w:rsidR="00956340" w:rsidTr="00956340">
        <w:trPr>
          <w:trHeight w:val="1077"/>
        </w:trPr>
        <w:tc>
          <w:tcPr>
            <w:tcW w:w="9062" w:type="dxa"/>
            <w:vAlign w:val="center"/>
          </w:tcPr>
          <w:p w:rsidR="00956340" w:rsidRPr="007529E6" w:rsidRDefault="00956340" w:rsidP="00956340">
            <w:pPr>
              <w:spacing w:line="240" w:lineRule="auto"/>
              <w:jc w:val="left"/>
              <w:rPr>
                <w:rFonts w:cstheme="minorHAnsi"/>
                <w:szCs w:val="20"/>
              </w:rPr>
            </w:pPr>
            <w:r w:rsidRPr="007529E6">
              <w:rPr>
                <w:szCs w:val="20"/>
              </w:rPr>
              <w:t>Jako wyzwanie na kolejne lata traktowana jest aktualna sieć funkcjonujących WTZ. Dostępność tych instytucji jest zbyt niska, przez co brakuje wsparcia dla osób z niepełnosprawnościami, zwłaszcza dla pełnoletnich, którzy opuszczają placówki.</w:t>
            </w:r>
          </w:p>
        </w:tc>
      </w:tr>
    </w:tbl>
    <w:p w:rsidR="00956340" w:rsidRDefault="00956340" w:rsidP="00956340">
      <w:pPr>
        <w:spacing w:line="336" w:lineRule="auto"/>
        <w:jc w:val="left"/>
        <w:rPr>
          <w:rFonts w:cstheme="minorHAnsi"/>
          <w:sz w:val="24"/>
        </w:rPr>
      </w:pPr>
    </w:p>
    <w:p w:rsidR="000178B1" w:rsidRPr="000D1F85" w:rsidRDefault="007529E6" w:rsidP="000D1F85">
      <w:pPr>
        <w:pStyle w:val="Nagwek2"/>
      </w:pPr>
      <w:bookmarkStart w:id="144" w:name="_Toc115450215"/>
      <w:bookmarkStart w:id="145" w:name="_Toc124767669"/>
      <w:bookmarkStart w:id="146" w:name="_Toc125707458"/>
      <w:bookmarkStart w:id="147" w:name="_Toc143673216"/>
      <w:r w:rsidRPr="000D1F85">
        <w:t>II.1</w:t>
      </w:r>
      <w:r w:rsidR="00187AED" w:rsidRPr="000D1F85">
        <w:t>3</w:t>
      </w:r>
      <w:r w:rsidR="000178B1" w:rsidRPr="000D1F85">
        <w:t xml:space="preserve"> Finanse samorządowe</w:t>
      </w:r>
      <w:bookmarkEnd w:id="144"/>
      <w:bookmarkEnd w:id="145"/>
      <w:bookmarkEnd w:id="146"/>
      <w:bookmarkEnd w:id="147"/>
    </w:p>
    <w:p w:rsidR="000178B1" w:rsidRPr="00956340" w:rsidRDefault="000178B1" w:rsidP="00956340">
      <w:pPr>
        <w:spacing w:before="120" w:after="280"/>
        <w:jc w:val="left"/>
        <w:rPr>
          <w:rFonts w:cstheme="minorHAnsi"/>
          <w:sz w:val="24"/>
        </w:rPr>
      </w:pPr>
      <w:r w:rsidRPr="00956340">
        <w:rPr>
          <w:rFonts w:cstheme="minorHAnsi"/>
          <w:sz w:val="24"/>
        </w:rPr>
        <w:t>Łączna kwota dochodów uzyskanych przez gminy wchodzące w skład Wrocławskiego Obszaru Funkcjonalnego w latac</w:t>
      </w:r>
      <w:r w:rsidR="00EF7E3D" w:rsidRPr="00956340">
        <w:rPr>
          <w:rFonts w:cstheme="minorHAnsi"/>
          <w:sz w:val="24"/>
        </w:rPr>
        <w:t>h 2017-2021 wyniosła 35 420 138 </w:t>
      </w:r>
      <w:r w:rsidRPr="00956340">
        <w:rPr>
          <w:rFonts w:cstheme="minorHAnsi"/>
          <w:sz w:val="24"/>
        </w:rPr>
        <w:t>437,64 zł, z kolei kwota wydatków ogółem –  35 419 891 679,96 zł. Sumarycznie rok do roku dochody w badanym okr</w:t>
      </w:r>
      <w:r w:rsidR="002670B6" w:rsidRPr="00956340">
        <w:rPr>
          <w:rFonts w:cstheme="minorHAnsi"/>
          <w:sz w:val="24"/>
        </w:rPr>
        <w:t>esie wzrosły o 3 062 264 826,76 </w:t>
      </w:r>
      <w:r w:rsidRPr="00956340">
        <w:rPr>
          <w:rFonts w:cstheme="minorHAnsi"/>
          <w:sz w:val="24"/>
        </w:rPr>
        <w:t xml:space="preserve">zł, co stanowi wzrost o 53,3%. Natomiast wydatki w badanym okresie wzrosły o 47,3%, </w:t>
      </w:r>
      <w:r w:rsidR="007529E6" w:rsidRPr="00956340">
        <w:rPr>
          <w:rFonts w:cstheme="minorHAnsi"/>
          <w:sz w:val="24"/>
        </w:rPr>
        <w:t>tj. </w:t>
      </w:r>
      <w:r w:rsidRPr="00956340">
        <w:rPr>
          <w:rFonts w:cstheme="minorHAnsi"/>
          <w:sz w:val="24"/>
        </w:rPr>
        <w:t xml:space="preserve">o 2 711 546 002,18 zł. </w:t>
      </w:r>
    </w:p>
    <w:p w:rsidR="000178B1" w:rsidRDefault="000178B1" w:rsidP="000178B1">
      <w:pPr>
        <w:pStyle w:val="nadWrOF"/>
      </w:pPr>
      <w:bookmarkStart w:id="148" w:name="_Toc123037340"/>
      <w:bookmarkStart w:id="149" w:name="_Toc143606988"/>
      <w:r w:rsidRPr="00B27A13">
        <w:t xml:space="preserve">Wykres </w:t>
      </w:r>
      <w:r w:rsidR="00C73793">
        <w:rPr>
          <w:noProof/>
        </w:rPr>
        <w:fldChar w:fldCharType="begin"/>
      </w:r>
      <w:r>
        <w:rPr>
          <w:noProof/>
        </w:rPr>
        <w:instrText xml:space="preserve"> SEQ Wykres \* ARABIC </w:instrText>
      </w:r>
      <w:r w:rsidR="00C73793">
        <w:rPr>
          <w:noProof/>
        </w:rPr>
        <w:fldChar w:fldCharType="separate"/>
      </w:r>
      <w:r w:rsidR="00C96A96">
        <w:rPr>
          <w:noProof/>
        </w:rPr>
        <w:t>7</w:t>
      </w:r>
      <w:r w:rsidR="00C73793">
        <w:rPr>
          <w:noProof/>
        </w:rPr>
        <w:fldChar w:fldCharType="end"/>
      </w:r>
      <w:r w:rsidRPr="00B27A13">
        <w:t xml:space="preserve"> Dochody i wydatki ogółem gmin tworzących Wrocławski Obszar Funkcjonalny w latach 2017-2021 [zł]</w:t>
      </w:r>
      <w:bookmarkEnd w:id="148"/>
      <w:bookmarkEnd w:id="149"/>
    </w:p>
    <w:p w:rsidR="00956340" w:rsidRDefault="00956340" w:rsidP="000178B1">
      <w:pPr>
        <w:pStyle w:val="nadWrOF"/>
      </w:pPr>
      <w:r w:rsidRPr="00B27A13">
        <w:rPr>
          <w:rFonts w:cstheme="minorHAnsi"/>
          <w:i w:val="0"/>
          <w:noProof/>
          <w:color w:val="276E8B"/>
          <w:sz w:val="18"/>
          <w:lang w:eastAsia="pl-PL"/>
        </w:rPr>
        <w:drawing>
          <wp:inline distT="0" distB="0" distL="0" distR="0" wp14:anchorId="52F7E825" wp14:editId="0B91C6C2">
            <wp:extent cx="5760720" cy="2449655"/>
            <wp:effectExtent l="0" t="0" r="11430" b="8255"/>
            <wp:docPr id="14" name="Wykres 14" descr="Dochody i wydatki ogółem gmin tworzących Wrocławski Obszar Funkcjonalny w latach 2017-2021 [zł]. Wyniki omówione w tekście" title="Dochody i wydatki ogółem gmin tworzących Wrocławski Obszar Funkcjonalny w latach 2017-2021 [zł]."/>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178B1" w:rsidRPr="00CB027B" w:rsidRDefault="000178B1" w:rsidP="000178B1">
      <w:pPr>
        <w:spacing w:after="240" w:line="240" w:lineRule="auto"/>
        <w:rPr>
          <w:rFonts w:cstheme="minorHAnsi"/>
          <w:iCs/>
          <w:color w:val="276E8B"/>
          <w:sz w:val="18"/>
        </w:rPr>
      </w:pPr>
      <w:r w:rsidRPr="007529E6">
        <w:rPr>
          <w:rStyle w:val="podWrOFZnak0"/>
        </w:rPr>
        <w:t>Źródło: opracowanie własne na podstawie danych BDL GUS [Stan na: 31.12.2021].</w:t>
      </w:r>
    </w:p>
    <w:p w:rsidR="000178B1" w:rsidRPr="00956340" w:rsidRDefault="000178B1" w:rsidP="00956340">
      <w:pPr>
        <w:jc w:val="left"/>
        <w:rPr>
          <w:rFonts w:ascii="Calibri" w:hAnsi="Calibri" w:cs="Calibri"/>
          <w:sz w:val="24"/>
        </w:rPr>
      </w:pPr>
      <w:r w:rsidRPr="00956340">
        <w:rPr>
          <w:rFonts w:cstheme="minorHAnsi"/>
          <w:sz w:val="24"/>
        </w:rPr>
        <w:t>Analizując dane dla całego obszaru funkcjonalnego zauważyć  można, iż w latach 2018-2020 występuje na</w:t>
      </w:r>
      <w:r w:rsidR="00EF7E3D" w:rsidRPr="00956340">
        <w:rPr>
          <w:rFonts w:cstheme="minorHAnsi"/>
          <w:sz w:val="24"/>
        </w:rPr>
        <w:t>dwyżka wydatków nad dochodami. J</w:t>
      </w:r>
      <w:r w:rsidRPr="00956340">
        <w:rPr>
          <w:rFonts w:cstheme="minorHAnsi"/>
          <w:sz w:val="24"/>
        </w:rPr>
        <w:t>ednakże już w 2021 roku dochody znacznie przewyższyły ponoszone wydatki. Nadwyżka wydatków</w:t>
      </w:r>
      <w:r w:rsidR="001D1207">
        <w:rPr>
          <w:rFonts w:cstheme="minorHAnsi"/>
          <w:sz w:val="24"/>
        </w:rPr>
        <w:t xml:space="preserve"> nad dochodami powiązana jest z </w:t>
      </w:r>
      <w:r w:rsidRPr="00956340">
        <w:rPr>
          <w:rFonts w:cstheme="minorHAnsi"/>
          <w:sz w:val="24"/>
        </w:rPr>
        <w:t>dynamiką wzrostu wydatków majątkowych, zwłaszcza w</w:t>
      </w:r>
      <w:r w:rsidR="001D1207">
        <w:rPr>
          <w:rFonts w:cstheme="minorHAnsi"/>
          <w:sz w:val="24"/>
        </w:rPr>
        <w:t>ydatków inwestycyjnych, gdzie w </w:t>
      </w:r>
      <w:r w:rsidRPr="00956340">
        <w:rPr>
          <w:rFonts w:cstheme="minorHAnsi"/>
          <w:sz w:val="24"/>
        </w:rPr>
        <w:t>porównaniu do 2017 roku nastąpił ich wzrost o 58,0% w 2018 roku oraz o</w:t>
      </w:r>
      <w:r w:rsidR="001D1207">
        <w:rPr>
          <w:rFonts w:cstheme="minorHAnsi"/>
          <w:sz w:val="24"/>
        </w:rPr>
        <w:t xml:space="preserve"> niecałe 30,0% w </w:t>
      </w:r>
      <w:r w:rsidRPr="00956340">
        <w:rPr>
          <w:rFonts w:cstheme="minorHAnsi"/>
          <w:sz w:val="24"/>
        </w:rPr>
        <w:t xml:space="preserve">kolejnych latach. </w:t>
      </w:r>
    </w:p>
    <w:p w:rsidR="000178B1" w:rsidRPr="00956340" w:rsidRDefault="000178B1" w:rsidP="00956340">
      <w:pPr>
        <w:spacing w:before="120" w:after="120"/>
        <w:jc w:val="left"/>
        <w:rPr>
          <w:rFonts w:cstheme="minorHAnsi"/>
          <w:sz w:val="24"/>
        </w:rPr>
      </w:pPr>
      <w:r w:rsidRPr="00956340">
        <w:rPr>
          <w:rFonts w:cstheme="minorHAnsi"/>
          <w:sz w:val="24"/>
        </w:rPr>
        <w:t>W latach 2017-2019 ponad połowa samorządów WrOF</w:t>
      </w:r>
      <w:r w:rsidR="00A82963" w:rsidRPr="00956340">
        <w:rPr>
          <w:rFonts w:cstheme="minorHAnsi"/>
          <w:sz w:val="24"/>
        </w:rPr>
        <w:t xml:space="preserve"> </w:t>
      </w:r>
      <w:r w:rsidRPr="00956340">
        <w:rPr>
          <w:rFonts w:cstheme="minorHAnsi"/>
          <w:sz w:val="24"/>
        </w:rPr>
        <w:t>generowała nadwyżkę wydatków nad dochodami, podczas gdy w 2020 roku były to już jedynie 3 JST (Długołęka, Oleśnica (miasto) oraz Wrocław), a w 2021 roku jedynie 2 samorządy (Oleśnica (miasto) oraz Siechnice). Wyższe dochody uzyskane w 2021 roku w stosunku do 2020 roku wynikają z dod</w:t>
      </w:r>
      <w:r w:rsidR="007529E6" w:rsidRPr="00956340">
        <w:rPr>
          <w:rFonts w:cstheme="minorHAnsi"/>
          <w:sz w:val="24"/>
        </w:rPr>
        <w:t>atkowych środków przekazanych w </w:t>
      </w:r>
      <w:r w:rsidRPr="00956340">
        <w:rPr>
          <w:rFonts w:cstheme="minorHAnsi"/>
          <w:sz w:val="24"/>
        </w:rPr>
        <w:t xml:space="preserve">2021 roku w ramach uzupełnienia subwencji ogólnej (ponad 273 mln zł więcej niż w 2020 roku) oraz dotacji celowych, zwłaszcza dotacji celowych inwestycyjnych </w:t>
      </w:r>
      <w:r w:rsidR="00EF7E3D" w:rsidRPr="00956340">
        <w:rPr>
          <w:rFonts w:cstheme="minorHAnsi"/>
          <w:sz w:val="24"/>
        </w:rPr>
        <w:t>(ponad 55,8 mln zł więcej niż w </w:t>
      </w:r>
      <w:r w:rsidRPr="00956340">
        <w:rPr>
          <w:rFonts w:cstheme="minorHAnsi"/>
          <w:sz w:val="24"/>
        </w:rPr>
        <w:t>2020 roku). Na trend ten miały również wpływ zmiany w prawie podatkowym oraz konsekwencje spowodowane pandemią COVID 19.</w:t>
      </w:r>
    </w:p>
    <w:p w:rsidR="000178B1" w:rsidRPr="00956340" w:rsidRDefault="000178B1" w:rsidP="00956340">
      <w:pPr>
        <w:jc w:val="left"/>
        <w:rPr>
          <w:sz w:val="24"/>
        </w:rPr>
      </w:pPr>
      <w:r w:rsidRPr="00956340">
        <w:rPr>
          <w:rFonts w:cstheme="minorHAnsi"/>
          <w:sz w:val="24"/>
        </w:rPr>
        <w:t xml:space="preserve">Najwyższe dochody w przeliczeniu na jednego mieszkańca w 2021 roku uzyskały </w:t>
      </w:r>
      <w:r w:rsidR="00281A47" w:rsidRPr="00956340">
        <w:rPr>
          <w:rFonts w:cstheme="minorHAnsi"/>
          <w:sz w:val="24"/>
        </w:rPr>
        <w:t xml:space="preserve">gminy: </w:t>
      </w:r>
      <w:r w:rsidRPr="00956340">
        <w:rPr>
          <w:rFonts w:cstheme="minorHAnsi"/>
          <w:sz w:val="24"/>
        </w:rPr>
        <w:t>Kobierzyce (14 213 zł), Wrocław (9 637 zł) oraz Kąty Wrocławskie (7 835 zł). Z kolei najniższe wartości osiągnęły Oława (miasto) (5 556 zł), Oleśnica (miasto) (5 752 zł) oraz Oborniki Śląskie (5 863 zł). Uwagę zwraca Wisznia Mała, która</w:t>
      </w:r>
      <w:r w:rsidR="001D1207">
        <w:rPr>
          <w:rFonts w:cstheme="minorHAnsi"/>
          <w:sz w:val="24"/>
        </w:rPr>
        <w:t xml:space="preserve"> uzyskała w 2021 roku dochody w </w:t>
      </w:r>
      <w:r w:rsidRPr="00956340">
        <w:rPr>
          <w:rFonts w:cstheme="minorHAnsi"/>
          <w:sz w:val="24"/>
        </w:rPr>
        <w:t xml:space="preserve">wysokości </w:t>
      </w:r>
      <w:r w:rsidR="00EF7E3D" w:rsidRPr="00956340">
        <w:rPr>
          <w:rFonts w:cstheme="minorHAnsi"/>
          <w:sz w:val="24"/>
        </w:rPr>
        <w:t>7 665,89 zł na 1 mieszkańca i w </w:t>
      </w:r>
      <w:r w:rsidRPr="00956340">
        <w:rPr>
          <w:rFonts w:cstheme="minorHAnsi"/>
          <w:sz w:val="24"/>
        </w:rPr>
        <w:t>której dynamika zmian w analizowanym okresie 2017-2021 jest jedną z najwyższych i wynosi 71,3%.</w:t>
      </w:r>
    </w:p>
    <w:p w:rsidR="000178B1" w:rsidRPr="00956340" w:rsidRDefault="000178B1" w:rsidP="00956340">
      <w:pPr>
        <w:jc w:val="left"/>
        <w:rPr>
          <w:sz w:val="24"/>
        </w:rPr>
      </w:pPr>
      <w:r w:rsidRPr="00956340">
        <w:rPr>
          <w:sz w:val="24"/>
        </w:rPr>
        <w:t>Największe wydatki w przeliczeniu na jednego mieszkańca w 2021 roku poniosły jednostki samorządu terytorialnego uzyskujące najwyższe dochody, tj. Kobierzyce (11 467</w:t>
      </w:r>
      <w:r w:rsidR="00EF7E3D" w:rsidRPr="00956340">
        <w:rPr>
          <w:sz w:val="24"/>
        </w:rPr>
        <w:t xml:space="preserve"> zł) oraz Wrocław (9 351 zł). Z </w:t>
      </w:r>
      <w:r w:rsidRPr="00956340">
        <w:rPr>
          <w:sz w:val="24"/>
        </w:rPr>
        <w:t>kolei najniższe wartości osiągnęły podobnie jak w przypadku dochodów: Oborniki Śląskie (5 420 zł) oraz Oława (miasto) (5 507 zł).</w:t>
      </w:r>
    </w:p>
    <w:p w:rsidR="000178B1" w:rsidRPr="00956340" w:rsidRDefault="000178B1" w:rsidP="00956340">
      <w:pPr>
        <w:spacing w:before="120" w:after="120"/>
        <w:jc w:val="left"/>
        <w:rPr>
          <w:rFonts w:cstheme="minorHAnsi"/>
          <w:sz w:val="24"/>
        </w:rPr>
      </w:pPr>
      <w:r w:rsidRPr="00956340">
        <w:rPr>
          <w:rFonts w:cstheme="minorHAnsi"/>
          <w:sz w:val="24"/>
        </w:rPr>
        <w:t xml:space="preserve">W 2021 roku najwyższe dochody własne uzyskał Wrocław, </w:t>
      </w:r>
      <w:r w:rsidR="00281A47" w:rsidRPr="00956340">
        <w:rPr>
          <w:rFonts w:cstheme="minorHAnsi"/>
          <w:sz w:val="24"/>
        </w:rPr>
        <w:t xml:space="preserve">gmina </w:t>
      </w:r>
      <w:r w:rsidR="00EF7E3D" w:rsidRPr="00956340">
        <w:rPr>
          <w:rFonts w:cstheme="minorHAnsi"/>
          <w:sz w:val="24"/>
        </w:rPr>
        <w:t>Kobierzyce oraz Długołęka. We </w:t>
      </w:r>
      <w:r w:rsidRPr="00956340">
        <w:rPr>
          <w:rFonts w:cstheme="minorHAnsi"/>
          <w:sz w:val="24"/>
        </w:rPr>
        <w:t>wskazanych JST udział dochodów własnych w dochoda</w:t>
      </w:r>
      <w:r w:rsidR="001D1207">
        <w:rPr>
          <w:rFonts w:cstheme="minorHAnsi"/>
          <w:sz w:val="24"/>
        </w:rPr>
        <w:t>ch ogółem również był wysoki. Z </w:t>
      </w:r>
      <w:r w:rsidRPr="00956340">
        <w:rPr>
          <w:rFonts w:cstheme="minorHAnsi"/>
          <w:sz w:val="24"/>
        </w:rPr>
        <w:t>kolei budżety gmin: Dobroszyce, Oleśnica, Zawonia oraz S</w:t>
      </w:r>
      <w:r w:rsidR="001D1207">
        <w:rPr>
          <w:rFonts w:cstheme="minorHAnsi"/>
          <w:sz w:val="24"/>
        </w:rPr>
        <w:t>obótka finansowane są głównie z </w:t>
      </w:r>
      <w:r w:rsidRPr="00956340">
        <w:rPr>
          <w:rFonts w:cstheme="minorHAnsi"/>
          <w:sz w:val="24"/>
        </w:rPr>
        <w:t xml:space="preserve">subwencji i dotacji, a dochody własne w 2021 roku stanowiły mniej niż 50,0% dochodów ogółem. </w:t>
      </w:r>
    </w:p>
    <w:p w:rsidR="000178B1" w:rsidRPr="00956340" w:rsidRDefault="000178B1" w:rsidP="00956340">
      <w:pPr>
        <w:spacing w:before="120" w:after="120"/>
        <w:jc w:val="left"/>
        <w:rPr>
          <w:rFonts w:cstheme="minorHAnsi"/>
          <w:sz w:val="24"/>
        </w:rPr>
      </w:pPr>
      <w:r w:rsidRPr="00956340">
        <w:rPr>
          <w:rFonts w:cstheme="minorHAnsi"/>
          <w:sz w:val="24"/>
        </w:rPr>
        <w:t>Dochody własne stanowią ważne źródło finansowania planowanych inwestycji, a ich wydajność i różnorodność wpływa na niezależność samorządów. Analiz</w:t>
      </w:r>
      <w:r w:rsidR="007529E6" w:rsidRPr="00956340">
        <w:rPr>
          <w:rFonts w:cstheme="minorHAnsi"/>
          <w:sz w:val="24"/>
        </w:rPr>
        <w:t>ując udział dochodów własnych w </w:t>
      </w:r>
      <w:r w:rsidRPr="00956340">
        <w:rPr>
          <w:rFonts w:cstheme="minorHAnsi"/>
          <w:sz w:val="24"/>
        </w:rPr>
        <w:t>dochodach ogółem na przestrzeni lat 2017-2021 zauważyć moż</w:t>
      </w:r>
      <w:r w:rsidR="007529E6" w:rsidRPr="00956340">
        <w:rPr>
          <w:rFonts w:cstheme="minorHAnsi"/>
          <w:sz w:val="24"/>
        </w:rPr>
        <w:t>na bardzo pozytywną tendencję w </w:t>
      </w:r>
      <w:r w:rsidRPr="00956340">
        <w:rPr>
          <w:rFonts w:cstheme="minorHAnsi"/>
          <w:sz w:val="24"/>
        </w:rPr>
        <w:t>tym zakresie w gminach: Zawonia (wzrost o 8,0 pp.), Dobroszyce (wzrost o 6,3 pp.), Wisznia Mała (wzrost o 4,0 pp.) oraz Oława (gmina wiejska) (wzrost o 2,9 pp.). Są to również jedyne gminy, które charakteryzuje tendencja wzrostowa w tym zakresie. Pozostałe JST odnotowują spadek udziału dochodów własnych w dochodach ogółem, z czego największy spadek wystąpił w Siechnicach (spadek o 9,1 pp.), Oławie (miasto) (spadek o 8,2 pp.), Długołęce (spadek o 8,1 pp.) oraz Sobótce (spadek o 8,0 pp.).</w:t>
      </w:r>
    </w:p>
    <w:p w:rsidR="000178B1" w:rsidRPr="00C87C36" w:rsidRDefault="000178B1" w:rsidP="000178B1">
      <w:pPr>
        <w:pStyle w:val="nadWrOF"/>
      </w:pPr>
      <w:bookmarkStart w:id="150" w:name="_Toc123037342"/>
      <w:bookmarkStart w:id="151" w:name="_Toc143606989"/>
      <w:r w:rsidRPr="00F8258A">
        <w:t xml:space="preserve">Wykres </w:t>
      </w:r>
      <w:r w:rsidR="00C73793">
        <w:rPr>
          <w:noProof/>
        </w:rPr>
        <w:fldChar w:fldCharType="begin"/>
      </w:r>
      <w:r>
        <w:rPr>
          <w:noProof/>
        </w:rPr>
        <w:instrText xml:space="preserve"> SEQ Wykres \* ARABIC </w:instrText>
      </w:r>
      <w:r w:rsidR="00C73793">
        <w:rPr>
          <w:noProof/>
        </w:rPr>
        <w:fldChar w:fldCharType="separate"/>
      </w:r>
      <w:r w:rsidR="00C96A96">
        <w:rPr>
          <w:noProof/>
        </w:rPr>
        <w:t>8</w:t>
      </w:r>
      <w:r w:rsidR="00C73793">
        <w:rPr>
          <w:noProof/>
        </w:rPr>
        <w:fldChar w:fldCharType="end"/>
      </w:r>
      <w:r w:rsidRPr="00F8258A">
        <w:t xml:space="preserve"> Źródła dochodów własnych w 2017 i 2021 roku</w:t>
      </w:r>
      <w:r>
        <w:t xml:space="preserve"> we WrOF</w:t>
      </w:r>
      <w:bookmarkEnd w:id="150"/>
      <w:bookmarkEnd w:id="151"/>
    </w:p>
    <w:p w:rsidR="000178B1" w:rsidRPr="00B27A13" w:rsidRDefault="00956340" w:rsidP="000178B1">
      <w:pPr>
        <w:pStyle w:val="PODWrof"/>
      </w:pPr>
      <w:r w:rsidRPr="00B27A13">
        <w:rPr>
          <w:noProof/>
          <w:color w:val="44546A"/>
          <w:lang w:eastAsia="pl-PL"/>
        </w:rPr>
        <w:drawing>
          <wp:inline distT="0" distB="0" distL="0" distR="0" wp14:anchorId="7282C8DB" wp14:editId="1E60653C">
            <wp:extent cx="5674360" cy="7360024"/>
            <wp:effectExtent l="0" t="0" r="2540" b="12700"/>
            <wp:docPr id="308" name="Wykres 308" descr="Źródła dochodów własnych w 2017 i 2021 roku we WrOF"/>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0178B1" w:rsidRPr="00B27A13">
        <w:t>Źródło: opracowanie wła</w:t>
      </w:r>
      <w:r w:rsidR="000178B1">
        <w:t xml:space="preserve">sne na podstawie danych BDL GUS </w:t>
      </w:r>
      <w:r w:rsidR="000178B1">
        <w:rPr>
          <w:rStyle w:val="podWrOFZnak0"/>
          <w:rFonts w:asciiTheme="minorHAnsi" w:hAnsiTheme="minorHAnsi" w:cstheme="minorHAnsi"/>
          <w:iCs/>
        </w:rPr>
        <w:t>[Stan na: 31.12.2021].</w:t>
      </w:r>
    </w:p>
    <w:p w:rsidR="00EF7E3D" w:rsidRPr="00956340" w:rsidRDefault="000178B1" w:rsidP="00956340">
      <w:pPr>
        <w:jc w:val="left"/>
        <w:rPr>
          <w:sz w:val="24"/>
        </w:rPr>
      </w:pPr>
      <w:r w:rsidRPr="00956340">
        <w:rPr>
          <w:rFonts w:cstheme="minorHAnsi"/>
          <w:sz w:val="24"/>
        </w:rPr>
        <w:t xml:space="preserve">Dochody własne finansowane są z różnych źródeł, wśród których dominującą kategorią są podatki od osób fizycznych. W 2021 roku stanowiły one ponad 41,0% dochodów własnych ogółem wszystkich </w:t>
      </w:r>
      <w:r w:rsidR="007D60AC" w:rsidRPr="00956340">
        <w:rPr>
          <w:rFonts w:cstheme="minorHAnsi"/>
          <w:sz w:val="24"/>
        </w:rPr>
        <w:t>gmin</w:t>
      </w:r>
      <w:r w:rsidRPr="00956340">
        <w:rPr>
          <w:rFonts w:cstheme="minorHAnsi"/>
          <w:sz w:val="24"/>
        </w:rPr>
        <w:t xml:space="preserve"> tworzących WrOF. Liderem tutaj</w:t>
      </w:r>
      <w:r w:rsidR="007D60AC" w:rsidRPr="00956340">
        <w:rPr>
          <w:rFonts w:cstheme="minorHAnsi"/>
          <w:sz w:val="24"/>
        </w:rPr>
        <w:t xml:space="preserve"> jest gmina</w:t>
      </w:r>
      <w:r w:rsidRPr="00956340">
        <w:rPr>
          <w:rFonts w:cstheme="minorHAnsi"/>
          <w:sz w:val="24"/>
        </w:rPr>
        <w:t xml:space="preserve"> Długołęka, której ponad 50,0% dochodów własnych stanowi podatek od osób fizycznych. Nie we wszystkich gminach to źródło finansowania wskazane jest jako najwyższe, a w przypadku </w:t>
      </w:r>
      <w:r w:rsidR="007D60AC" w:rsidRPr="00956340">
        <w:rPr>
          <w:rFonts w:cstheme="minorHAnsi"/>
          <w:sz w:val="24"/>
        </w:rPr>
        <w:t xml:space="preserve">gminy </w:t>
      </w:r>
      <w:r w:rsidRPr="00956340">
        <w:rPr>
          <w:rFonts w:cstheme="minorHAnsi"/>
          <w:sz w:val="24"/>
        </w:rPr>
        <w:t>Kobierzyc</w:t>
      </w:r>
      <w:r w:rsidR="007D60AC" w:rsidRPr="00956340">
        <w:rPr>
          <w:rFonts w:cstheme="minorHAnsi"/>
          <w:sz w:val="24"/>
        </w:rPr>
        <w:t>e</w:t>
      </w:r>
      <w:r w:rsidRPr="00956340">
        <w:rPr>
          <w:rFonts w:cstheme="minorHAnsi"/>
          <w:sz w:val="24"/>
        </w:rPr>
        <w:t xml:space="preserve"> stanowi ono zaledwie 31% dochodów własnych. Główne źródło finansowania dochodów własnych tej gminy, bo aż 44,0%, stanowił podatek od nieruchomości i jest to wartość wyższa, niż wykazują sumarycznie wszystkie </w:t>
      </w:r>
      <w:r w:rsidR="007D60AC" w:rsidRPr="00956340">
        <w:rPr>
          <w:rFonts w:cstheme="minorHAnsi"/>
          <w:sz w:val="24"/>
        </w:rPr>
        <w:t xml:space="preserve">gminy </w:t>
      </w:r>
      <w:r w:rsidR="001D1207">
        <w:rPr>
          <w:rFonts w:cstheme="minorHAnsi"/>
          <w:sz w:val="24"/>
        </w:rPr>
        <w:t>tworzące WrOF (16,7%). Jedno z </w:t>
      </w:r>
      <w:r w:rsidRPr="00956340">
        <w:rPr>
          <w:rFonts w:cstheme="minorHAnsi"/>
          <w:sz w:val="24"/>
        </w:rPr>
        <w:t>głównych źródeł dochodów własnych</w:t>
      </w:r>
      <w:r w:rsidR="008F4C89" w:rsidRPr="00956340">
        <w:rPr>
          <w:rFonts w:cstheme="minorHAnsi"/>
          <w:sz w:val="24"/>
        </w:rPr>
        <w:t xml:space="preserve"> gmin</w:t>
      </w:r>
      <w:r w:rsidRPr="00956340">
        <w:rPr>
          <w:rFonts w:cstheme="minorHAnsi"/>
          <w:sz w:val="24"/>
        </w:rPr>
        <w:t xml:space="preserve"> stanowią rów</w:t>
      </w:r>
      <w:r w:rsidR="001D1207">
        <w:rPr>
          <w:rFonts w:cstheme="minorHAnsi"/>
          <w:sz w:val="24"/>
        </w:rPr>
        <w:t>nież dochody z majątku, które w </w:t>
      </w:r>
      <w:r w:rsidRPr="00956340">
        <w:rPr>
          <w:rFonts w:cstheme="minorHAnsi"/>
          <w:sz w:val="24"/>
        </w:rPr>
        <w:t xml:space="preserve">2021 roku </w:t>
      </w:r>
      <w:r w:rsidR="008F4C89" w:rsidRPr="00956340">
        <w:rPr>
          <w:rFonts w:cstheme="minorHAnsi"/>
          <w:sz w:val="24"/>
        </w:rPr>
        <w:t>wy</w:t>
      </w:r>
      <w:r w:rsidRPr="00956340">
        <w:rPr>
          <w:rFonts w:cstheme="minorHAnsi"/>
          <w:sz w:val="24"/>
        </w:rPr>
        <w:t>gener</w:t>
      </w:r>
      <w:r w:rsidR="008F4C89" w:rsidRPr="00956340">
        <w:rPr>
          <w:rFonts w:cstheme="minorHAnsi"/>
          <w:sz w:val="24"/>
        </w:rPr>
        <w:t>owały</w:t>
      </w:r>
      <w:r w:rsidRPr="00956340">
        <w:rPr>
          <w:rFonts w:cstheme="minorHAnsi"/>
          <w:sz w:val="24"/>
        </w:rPr>
        <w:t xml:space="preserve"> 11,4% dochodów własnych ogółem wszystkich </w:t>
      </w:r>
      <w:r w:rsidR="008F4C89" w:rsidRPr="00956340">
        <w:rPr>
          <w:rFonts w:cstheme="minorHAnsi"/>
          <w:sz w:val="24"/>
        </w:rPr>
        <w:t xml:space="preserve">gmin </w:t>
      </w:r>
      <w:r w:rsidRPr="00956340">
        <w:rPr>
          <w:rFonts w:cstheme="minorHAnsi"/>
          <w:sz w:val="24"/>
        </w:rPr>
        <w:t>tworzących WrOF. Najwyższe wartości osiągały: Oleśnica (miasto) (18,7% dochodów własnych), Czernica (17,4% dochodów własnych) oraz Wrocław (13,4% dochodów własnych).</w:t>
      </w:r>
    </w:p>
    <w:p w:rsidR="000178B1" w:rsidRPr="00956340" w:rsidRDefault="000178B1" w:rsidP="00956340">
      <w:pPr>
        <w:spacing w:after="0"/>
        <w:jc w:val="left"/>
        <w:rPr>
          <w:rFonts w:cstheme="minorHAnsi"/>
          <w:b/>
          <w:color w:val="000000" w:themeColor="text1"/>
          <w:sz w:val="24"/>
        </w:rPr>
      </w:pPr>
      <w:r w:rsidRPr="00956340">
        <w:rPr>
          <w:rFonts w:cstheme="minorHAnsi"/>
          <w:b/>
          <w:color w:val="000000" w:themeColor="text1"/>
          <w:sz w:val="24"/>
        </w:rPr>
        <w:t>Zadłużenie</w:t>
      </w:r>
    </w:p>
    <w:p w:rsidR="000178B1" w:rsidRPr="00956340" w:rsidRDefault="000178B1" w:rsidP="00956340">
      <w:pPr>
        <w:spacing w:after="0"/>
        <w:jc w:val="left"/>
        <w:rPr>
          <w:rFonts w:cstheme="minorHAnsi"/>
          <w:color w:val="000000" w:themeColor="text1"/>
          <w:sz w:val="24"/>
        </w:rPr>
      </w:pPr>
      <w:r w:rsidRPr="00956340">
        <w:rPr>
          <w:rFonts w:cstheme="minorHAnsi"/>
          <w:color w:val="000000" w:themeColor="text1"/>
          <w:sz w:val="24"/>
        </w:rPr>
        <w:t xml:space="preserve">Konsekwencją aktywności inwestycyjnych gmin WrOF realizowanych obecnie i w latach poprzednich było zaciąganie zobowiązań, których wysokość na koniec 2022 roku szacuje się na kwotę  ponad 5 mld zł. Największe zadłużenie posiada </w:t>
      </w:r>
      <w:r w:rsidR="00CB03E0" w:rsidRPr="00956340">
        <w:rPr>
          <w:rFonts w:cstheme="minorHAnsi"/>
          <w:color w:val="000000" w:themeColor="text1"/>
          <w:sz w:val="24"/>
        </w:rPr>
        <w:t xml:space="preserve">gmina </w:t>
      </w:r>
      <w:r w:rsidRPr="00956340">
        <w:rPr>
          <w:rFonts w:cstheme="minorHAnsi"/>
          <w:color w:val="000000" w:themeColor="text1"/>
          <w:sz w:val="24"/>
        </w:rPr>
        <w:t xml:space="preserve">Wrocław, który jest największym ośrodkiem miejskim skupiającym największą liczbę mieszkańców i ponoszącym znaczne koszty na zapewnienie odpowiedniego poziomu i skali usług publicznych. Najniższe zadłużenie posiada </w:t>
      </w:r>
      <w:r w:rsidR="006F63B3" w:rsidRPr="00956340">
        <w:rPr>
          <w:rFonts w:cstheme="minorHAnsi"/>
          <w:color w:val="000000" w:themeColor="text1"/>
          <w:sz w:val="24"/>
        </w:rPr>
        <w:t xml:space="preserve">gmina </w:t>
      </w:r>
      <w:r w:rsidRPr="00956340">
        <w:rPr>
          <w:rFonts w:cstheme="minorHAnsi"/>
          <w:color w:val="000000" w:themeColor="text1"/>
          <w:sz w:val="24"/>
        </w:rPr>
        <w:t>Zawonia. Szczegóły przedstawia poniższa tabela.</w:t>
      </w:r>
    </w:p>
    <w:p w:rsidR="000178B1" w:rsidRPr="00B27A13" w:rsidRDefault="000178B1" w:rsidP="000178B1">
      <w:pPr>
        <w:pStyle w:val="nadWrOF"/>
      </w:pPr>
      <w:bookmarkStart w:id="152" w:name="_Toc123037558"/>
      <w:bookmarkStart w:id="153" w:name="_Toc143606970"/>
      <w:r w:rsidRPr="00B27A13">
        <w:t xml:space="preserve">Tabela </w:t>
      </w:r>
      <w:r w:rsidR="00C73793" w:rsidRPr="00B27A13">
        <w:rPr>
          <w:noProof/>
        </w:rPr>
        <w:fldChar w:fldCharType="begin"/>
      </w:r>
      <w:r w:rsidRPr="00B27A13">
        <w:rPr>
          <w:noProof/>
        </w:rPr>
        <w:instrText xml:space="preserve"> SEQ Tabela \* ARABIC </w:instrText>
      </w:r>
      <w:r w:rsidR="00C73793" w:rsidRPr="00B27A13">
        <w:rPr>
          <w:noProof/>
        </w:rPr>
        <w:fldChar w:fldCharType="separate"/>
      </w:r>
      <w:r w:rsidR="00C96A96">
        <w:rPr>
          <w:noProof/>
        </w:rPr>
        <w:t>13</w:t>
      </w:r>
      <w:r w:rsidR="00C73793" w:rsidRPr="00B27A13">
        <w:rPr>
          <w:noProof/>
        </w:rPr>
        <w:fldChar w:fldCharType="end"/>
      </w:r>
      <w:r w:rsidRPr="00B27A13">
        <w:t xml:space="preserve"> Prognoza planowanego zadłużenia poszczególnych JST na lata 2022 - 2026</w:t>
      </w:r>
      <w:bookmarkEnd w:id="152"/>
      <w:bookmarkEnd w:id="153"/>
    </w:p>
    <w:tbl>
      <w:tblPr>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left w:w="70" w:type="dxa"/>
          <w:right w:w="70" w:type="dxa"/>
        </w:tblCellMar>
        <w:tblLook w:val="04A0" w:firstRow="1" w:lastRow="0" w:firstColumn="1" w:lastColumn="0" w:noHBand="0" w:noVBand="1"/>
        <w:tblCaption w:val="Prognoza planowanego zadłużenia poszczególnych JST na lata 2022 - 2026"/>
        <w:tblDescription w:val="Prognoza planowanego zadłużenia poszczególnych JST na lata 2022 - 2026"/>
      </w:tblPr>
      <w:tblGrid>
        <w:gridCol w:w="1657"/>
        <w:gridCol w:w="1483"/>
        <w:gridCol w:w="1483"/>
        <w:gridCol w:w="1483"/>
        <w:gridCol w:w="1483"/>
        <w:gridCol w:w="1483"/>
      </w:tblGrid>
      <w:tr w:rsidR="000178B1" w:rsidRPr="00B27A13" w:rsidTr="00956340">
        <w:trPr>
          <w:trHeight w:val="510"/>
          <w:tblHeader/>
        </w:trPr>
        <w:tc>
          <w:tcPr>
            <w:tcW w:w="1657"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Wyszczególnienie</w:t>
            </w:r>
          </w:p>
        </w:tc>
        <w:tc>
          <w:tcPr>
            <w:tcW w:w="1483"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2022</w:t>
            </w:r>
          </w:p>
        </w:tc>
        <w:tc>
          <w:tcPr>
            <w:tcW w:w="1483"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2023</w:t>
            </w:r>
          </w:p>
        </w:tc>
        <w:tc>
          <w:tcPr>
            <w:tcW w:w="1483"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2024</w:t>
            </w:r>
          </w:p>
        </w:tc>
        <w:tc>
          <w:tcPr>
            <w:tcW w:w="1483"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2025</w:t>
            </w:r>
          </w:p>
        </w:tc>
        <w:tc>
          <w:tcPr>
            <w:tcW w:w="1483" w:type="dxa"/>
            <w:shd w:val="clear" w:color="auto" w:fill="FFFFFF" w:themeFill="background1"/>
            <w:noWrap/>
            <w:vAlign w:val="center"/>
            <w:hideMark/>
          </w:tcPr>
          <w:p w:rsidR="000178B1" w:rsidRPr="00B27A13" w:rsidRDefault="000178B1" w:rsidP="00CF3349">
            <w:pPr>
              <w:spacing w:after="0" w:line="240" w:lineRule="auto"/>
              <w:jc w:val="center"/>
              <w:rPr>
                <w:rFonts w:eastAsia="Times New Roman" w:cstheme="minorHAnsi"/>
                <w:sz w:val="18"/>
                <w:szCs w:val="18"/>
                <w:lang w:eastAsia="pl-PL"/>
              </w:rPr>
            </w:pPr>
            <w:r w:rsidRPr="00B27A13">
              <w:rPr>
                <w:rFonts w:eastAsia="Times New Roman" w:cstheme="minorHAnsi"/>
                <w:sz w:val="18"/>
                <w:szCs w:val="18"/>
                <w:lang w:eastAsia="pl-PL"/>
              </w:rPr>
              <w:t>2026</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Czernica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17 986 972,00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37 173 092,00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51 578 560,00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55 019 040,00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54 359 520,00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Długołęka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98 570 669,00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148 952 169,00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158 543 269,00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167 507 269,00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151 832 269,00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Dobroszyce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13 200 000,00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14 200 000,00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12 700 000,00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11 000 000,00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9 600 000,00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Jelcz-Laskowice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23 500 000,00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22 000 000,00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18 857 140,00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15 714 280,00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12 571 420,00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Kąty Wrocławskie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89 096 320,00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112 478 200,00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132 093 400,00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121 818 400,00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108 275 000,00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Kobierzyce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40 124 247,00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34 560 007,00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28 995 767,00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23 976 992,00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19 511 824,00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Miękinia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37 007 800,00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35 000 000,00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33 000 000,00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30 000 000,00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27 000 000,00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Oborniki Śląskie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47 561 728,73</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44 960 727,95</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40 800 000,00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35 600 000,00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32 600 000,00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Oleśnica (miasto)</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17 000 000,00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12 000 000,00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2 000 000,00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Oleśnica (gmina wiejska)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26 773 000,00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31 073 000,00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30 373 000,00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28 773 000,00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27 073 000,00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Oława (miasto)</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56 393 081,00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48 644 631,00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40 449 911,00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31 200 000,00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21 750 000,00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Oława (gmina wiejska)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8 605 000,00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7 885 000,00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7 165 000,00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6 365 000,00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5 442 500,00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Siechnice</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143 711 519,00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160 570 500,00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153 970 500,00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147 270 500,00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138 720 500,00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Sobótka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6 320 155,59</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16 886 689,00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14 118 689,00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11 583 000,00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9 759 000,00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Trzebnica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86 783 336,01</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82 932 341,65</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76 281 347,29</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69 117 852,93</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61 954 358,57</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Wisznia Mała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34 913 160,00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32 000 960,00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29 088 760,00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26 288 760,00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23 388 760,00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Wrocław</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4 434 788 078,98</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4 587 228 255,49</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4 536 833 579,23</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4 463 410 893,23</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4 282 288 964,46</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Zawonia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776 800,00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801 500,00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641 200,00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480 900,00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320 600,00</w:t>
            </w:r>
          </w:p>
        </w:tc>
      </w:tr>
      <w:tr w:rsidR="000178B1" w:rsidRPr="00B27A13" w:rsidTr="00956340">
        <w:trPr>
          <w:trHeight w:val="510"/>
        </w:trPr>
        <w:tc>
          <w:tcPr>
            <w:tcW w:w="1657" w:type="dxa"/>
            <w:shd w:val="clear" w:color="auto" w:fill="FFFFFF" w:themeFill="background1"/>
            <w:noWrap/>
            <w:vAlign w:val="center"/>
            <w:hideMark/>
          </w:tcPr>
          <w:p w:rsidR="000178B1" w:rsidRPr="00B27A13" w:rsidRDefault="000178B1" w:rsidP="009F79C1">
            <w:pPr>
              <w:spacing w:after="0" w:line="240" w:lineRule="auto"/>
              <w:jc w:val="left"/>
              <w:rPr>
                <w:rFonts w:eastAsia="Times New Roman" w:cstheme="minorHAnsi"/>
                <w:sz w:val="18"/>
                <w:szCs w:val="18"/>
                <w:lang w:eastAsia="pl-PL"/>
              </w:rPr>
            </w:pPr>
            <w:r w:rsidRPr="00B27A13">
              <w:rPr>
                <w:rFonts w:eastAsia="Times New Roman" w:cstheme="minorHAnsi"/>
                <w:sz w:val="18"/>
                <w:szCs w:val="18"/>
                <w:lang w:eastAsia="pl-PL"/>
              </w:rPr>
              <w:t>Żórawina</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1 000 000,00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0,00</w:t>
            </w:r>
          </w:p>
        </w:tc>
        <w:tc>
          <w:tcPr>
            <w:tcW w:w="1483" w:type="dxa"/>
            <w:shd w:val="clear" w:color="auto" w:fill="FFFFFF" w:themeFill="background1"/>
            <w:noWrap/>
            <w:vAlign w:val="center"/>
            <w:hideMark/>
          </w:tcPr>
          <w:p w:rsidR="000178B1" w:rsidRPr="00B27A13" w:rsidRDefault="000178B1" w:rsidP="00CF3349">
            <w:pPr>
              <w:spacing w:after="0" w:line="240" w:lineRule="auto"/>
              <w:jc w:val="right"/>
              <w:rPr>
                <w:rFonts w:eastAsia="Times New Roman" w:cstheme="minorHAnsi"/>
                <w:color w:val="000000"/>
                <w:sz w:val="18"/>
                <w:szCs w:val="18"/>
                <w:lang w:eastAsia="pl-PL"/>
              </w:rPr>
            </w:pPr>
            <w:r w:rsidRPr="00B27A13">
              <w:rPr>
                <w:rFonts w:eastAsia="Times New Roman" w:cstheme="minorHAnsi"/>
                <w:color w:val="000000"/>
                <w:sz w:val="18"/>
                <w:szCs w:val="18"/>
                <w:lang w:eastAsia="pl-PL"/>
              </w:rPr>
              <w:t>0,00</w:t>
            </w:r>
          </w:p>
        </w:tc>
      </w:tr>
      <w:tr w:rsidR="000178B1" w:rsidRPr="00362096" w:rsidTr="00956340">
        <w:trPr>
          <w:trHeight w:val="510"/>
        </w:trPr>
        <w:tc>
          <w:tcPr>
            <w:tcW w:w="1657" w:type="dxa"/>
            <w:shd w:val="clear" w:color="auto" w:fill="FFFFFF" w:themeFill="background1"/>
            <w:noWrap/>
            <w:vAlign w:val="center"/>
            <w:hideMark/>
          </w:tcPr>
          <w:p w:rsidR="000178B1" w:rsidRPr="00362096" w:rsidRDefault="000178B1" w:rsidP="009F79C1">
            <w:pPr>
              <w:spacing w:after="0" w:line="240" w:lineRule="auto"/>
              <w:jc w:val="left"/>
              <w:rPr>
                <w:rFonts w:eastAsia="Times New Roman" w:cstheme="minorHAnsi"/>
                <w:b/>
                <w:bCs/>
                <w:sz w:val="18"/>
                <w:szCs w:val="18"/>
                <w:lang w:eastAsia="pl-PL"/>
              </w:rPr>
            </w:pPr>
            <w:r w:rsidRPr="00362096">
              <w:rPr>
                <w:rFonts w:eastAsia="Times New Roman" w:cstheme="minorHAnsi"/>
                <w:b/>
                <w:bCs/>
                <w:sz w:val="18"/>
                <w:szCs w:val="18"/>
                <w:lang w:eastAsia="pl-PL"/>
              </w:rPr>
              <w:t>WrOF</w:t>
            </w:r>
          </w:p>
        </w:tc>
        <w:tc>
          <w:tcPr>
            <w:tcW w:w="1483" w:type="dxa"/>
            <w:shd w:val="clear" w:color="auto" w:fill="FFFFFF" w:themeFill="background1"/>
            <w:noWrap/>
            <w:vAlign w:val="center"/>
            <w:hideMark/>
          </w:tcPr>
          <w:p w:rsidR="000178B1" w:rsidRPr="00362096" w:rsidRDefault="000178B1" w:rsidP="00CF3349">
            <w:pPr>
              <w:spacing w:after="0" w:line="240" w:lineRule="auto"/>
              <w:jc w:val="right"/>
              <w:rPr>
                <w:rFonts w:eastAsia="Times New Roman" w:cstheme="minorHAnsi"/>
                <w:b/>
                <w:bCs/>
                <w:color w:val="000000"/>
                <w:sz w:val="18"/>
                <w:szCs w:val="18"/>
                <w:lang w:eastAsia="pl-PL"/>
              </w:rPr>
            </w:pPr>
            <w:r w:rsidRPr="00362096">
              <w:rPr>
                <w:rFonts w:eastAsia="Times New Roman" w:cstheme="minorHAnsi"/>
                <w:b/>
                <w:bCs/>
                <w:color w:val="000000"/>
                <w:sz w:val="18"/>
                <w:szCs w:val="18"/>
                <w:lang w:eastAsia="pl-PL"/>
              </w:rPr>
              <w:t xml:space="preserve">5 184 111 867,31   </w:t>
            </w:r>
          </w:p>
        </w:tc>
        <w:tc>
          <w:tcPr>
            <w:tcW w:w="1483" w:type="dxa"/>
            <w:shd w:val="clear" w:color="auto" w:fill="FFFFFF" w:themeFill="background1"/>
            <w:noWrap/>
            <w:vAlign w:val="center"/>
            <w:hideMark/>
          </w:tcPr>
          <w:p w:rsidR="000178B1" w:rsidRPr="00362096" w:rsidRDefault="000178B1" w:rsidP="00CF3349">
            <w:pPr>
              <w:spacing w:after="0" w:line="240" w:lineRule="auto"/>
              <w:jc w:val="right"/>
              <w:rPr>
                <w:rFonts w:eastAsia="Times New Roman" w:cstheme="minorHAnsi"/>
                <w:b/>
                <w:bCs/>
                <w:color w:val="000000"/>
                <w:sz w:val="18"/>
                <w:szCs w:val="18"/>
                <w:lang w:eastAsia="pl-PL"/>
              </w:rPr>
            </w:pPr>
            <w:r w:rsidRPr="00362096">
              <w:rPr>
                <w:rFonts w:eastAsia="Times New Roman" w:cstheme="minorHAnsi"/>
                <w:b/>
                <w:bCs/>
                <w:color w:val="000000"/>
                <w:sz w:val="18"/>
                <w:szCs w:val="18"/>
                <w:lang w:eastAsia="pl-PL"/>
              </w:rPr>
              <w:t>5 429 347 073,09</w:t>
            </w:r>
          </w:p>
        </w:tc>
        <w:tc>
          <w:tcPr>
            <w:tcW w:w="1483" w:type="dxa"/>
            <w:shd w:val="clear" w:color="auto" w:fill="FFFFFF" w:themeFill="background1"/>
            <w:noWrap/>
            <w:vAlign w:val="center"/>
            <w:hideMark/>
          </w:tcPr>
          <w:p w:rsidR="000178B1" w:rsidRPr="00362096" w:rsidRDefault="000178B1" w:rsidP="00CF3349">
            <w:pPr>
              <w:spacing w:after="0" w:line="240" w:lineRule="auto"/>
              <w:jc w:val="right"/>
              <w:rPr>
                <w:rFonts w:eastAsia="Times New Roman" w:cstheme="minorHAnsi"/>
                <w:b/>
                <w:bCs/>
                <w:color w:val="000000"/>
                <w:sz w:val="18"/>
                <w:szCs w:val="18"/>
                <w:lang w:eastAsia="pl-PL"/>
              </w:rPr>
            </w:pPr>
            <w:r w:rsidRPr="00362096">
              <w:rPr>
                <w:rFonts w:eastAsia="Times New Roman" w:cstheme="minorHAnsi"/>
                <w:b/>
                <w:bCs/>
                <w:color w:val="000000"/>
                <w:sz w:val="18"/>
                <w:szCs w:val="18"/>
                <w:lang w:eastAsia="pl-PL"/>
              </w:rPr>
              <w:t>5 373 490 122,52</w:t>
            </w:r>
          </w:p>
        </w:tc>
        <w:tc>
          <w:tcPr>
            <w:tcW w:w="1483" w:type="dxa"/>
            <w:shd w:val="clear" w:color="auto" w:fill="FFFFFF" w:themeFill="background1"/>
            <w:noWrap/>
            <w:vAlign w:val="center"/>
            <w:hideMark/>
          </w:tcPr>
          <w:p w:rsidR="000178B1" w:rsidRPr="00362096" w:rsidRDefault="000178B1" w:rsidP="00CF3349">
            <w:pPr>
              <w:spacing w:after="0" w:line="240" w:lineRule="auto"/>
              <w:jc w:val="right"/>
              <w:rPr>
                <w:rFonts w:eastAsia="Times New Roman" w:cstheme="minorHAnsi"/>
                <w:b/>
                <w:bCs/>
                <w:color w:val="000000"/>
                <w:sz w:val="18"/>
                <w:szCs w:val="18"/>
                <w:lang w:eastAsia="pl-PL"/>
              </w:rPr>
            </w:pPr>
            <w:r w:rsidRPr="00362096">
              <w:rPr>
                <w:rFonts w:eastAsia="Times New Roman" w:cstheme="minorHAnsi"/>
                <w:b/>
                <w:bCs/>
                <w:color w:val="000000"/>
                <w:sz w:val="18"/>
                <w:szCs w:val="18"/>
                <w:lang w:eastAsia="pl-PL"/>
              </w:rPr>
              <w:t>5 249 125 887,16</w:t>
            </w:r>
          </w:p>
        </w:tc>
        <w:tc>
          <w:tcPr>
            <w:tcW w:w="1483" w:type="dxa"/>
            <w:shd w:val="clear" w:color="auto" w:fill="FFFFFF" w:themeFill="background1"/>
            <w:noWrap/>
            <w:vAlign w:val="center"/>
            <w:hideMark/>
          </w:tcPr>
          <w:p w:rsidR="000178B1" w:rsidRPr="00362096" w:rsidRDefault="000178B1" w:rsidP="00CF3349">
            <w:pPr>
              <w:spacing w:after="0" w:line="240" w:lineRule="auto"/>
              <w:jc w:val="right"/>
              <w:rPr>
                <w:rFonts w:eastAsia="Times New Roman" w:cstheme="minorHAnsi"/>
                <w:b/>
                <w:bCs/>
                <w:color w:val="000000"/>
                <w:sz w:val="18"/>
                <w:szCs w:val="18"/>
                <w:lang w:eastAsia="pl-PL"/>
              </w:rPr>
            </w:pPr>
            <w:r w:rsidRPr="00362096">
              <w:rPr>
                <w:rFonts w:eastAsia="Times New Roman" w:cstheme="minorHAnsi"/>
                <w:b/>
                <w:bCs/>
                <w:color w:val="000000"/>
                <w:sz w:val="18"/>
                <w:szCs w:val="18"/>
                <w:lang w:eastAsia="pl-PL"/>
              </w:rPr>
              <w:t>4 988 447 716,03</w:t>
            </w:r>
          </w:p>
        </w:tc>
      </w:tr>
    </w:tbl>
    <w:p w:rsidR="000178B1" w:rsidRDefault="000178B1" w:rsidP="000178B1">
      <w:pPr>
        <w:pStyle w:val="PODWrof"/>
      </w:pPr>
      <w:r w:rsidRPr="00B27A13">
        <w:t>Źródło: opracowanie własne na podstawie Wieloletnich Prognoz Finansowych gmin i miast tworzących WrOF</w:t>
      </w:r>
      <w:r>
        <w:t>.</w:t>
      </w:r>
    </w:p>
    <w:p w:rsidR="00956340" w:rsidRDefault="00956340" w:rsidP="000178B1">
      <w:pPr>
        <w:pStyle w:val="PODWrof"/>
      </w:pPr>
    </w:p>
    <w:tbl>
      <w:tblPr>
        <w:tblStyle w:val="Tabela-Siatka"/>
        <w:tblW w:w="0" w:type="auto"/>
        <w:tblLook w:val="04A0" w:firstRow="1" w:lastRow="0" w:firstColumn="1" w:lastColumn="0" w:noHBand="0" w:noVBand="1"/>
        <w:tblCaption w:val="Kluczowe wyzwania strategiczne"/>
        <w:tblDescription w:val="Kluczowe wyzwania strategiczne"/>
      </w:tblPr>
      <w:tblGrid>
        <w:gridCol w:w="9062"/>
      </w:tblGrid>
      <w:tr w:rsidR="00956340" w:rsidRPr="00800D30" w:rsidTr="006A36A5">
        <w:trPr>
          <w:trHeight w:val="510"/>
          <w:tblHeader/>
        </w:trPr>
        <w:tc>
          <w:tcPr>
            <w:tcW w:w="9062" w:type="dxa"/>
            <w:vAlign w:val="center"/>
          </w:tcPr>
          <w:p w:rsidR="00956340" w:rsidRPr="00800D30" w:rsidRDefault="00956340" w:rsidP="006A36A5">
            <w:pPr>
              <w:spacing w:line="240" w:lineRule="auto"/>
              <w:jc w:val="left"/>
              <w:rPr>
                <w:b/>
                <w:sz w:val="24"/>
              </w:rPr>
            </w:pPr>
            <w:r w:rsidRPr="00800D30">
              <w:rPr>
                <w:b/>
                <w:sz w:val="24"/>
              </w:rPr>
              <w:t>Kluczowe wyzwania strategiczne</w:t>
            </w:r>
          </w:p>
        </w:tc>
      </w:tr>
      <w:tr w:rsidR="00956340" w:rsidTr="006A36A5">
        <w:trPr>
          <w:trHeight w:val="737"/>
        </w:trPr>
        <w:tc>
          <w:tcPr>
            <w:tcW w:w="9062" w:type="dxa"/>
            <w:vAlign w:val="center"/>
          </w:tcPr>
          <w:p w:rsidR="00956340" w:rsidRPr="00752127" w:rsidRDefault="00956340" w:rsidP="00956340">
            <w:pPr>
              <w:spacing w:line="240" w:lineRule="auto"/>
              <w:jc w:val="left"/>
              <w:rPr>
                <w:rFonts w:cstheme="minorHAnsi"/>
                <w:szCs w:val="20"/>
              </w:rPr>
            </w:pPr>
            <w:r w:rsidRPr="007529E6">
              <w:rPr>
                <w:rFonts w:cstheme="minorHAnsi"/>
                <w:szCs w:val="20"/>
              </w:rPr>
              <w:t xml:space="preserve">Istotne z perspektywy dalszego rozwoju WrOF jest pogłębianie współpracy między gminami </w:t>
            </w:r>
            <w:r>
              <w:rPr>
                <w:rFonts w:cstheme="minorHAnsi"/>
                <w:szCs w:val="20"/>
              </w:rPr>
              <w:br/>
            </w:r>
            <w:r w:rsidRPr="007529E6">
              <w:rPr>
                <w:rFonts w:cstheme="minorHAnsi"/>
                <w:szCs w:val="20"/>
              </w:rPr>
              <w:t>w zakresie pozyskiwania dofinansowania na realizację zadań inwestycyjnych.</w:t>
            </w:r>
          </w:p>
        </w:tc>
      </w:tr>
      <w:tr w:rsidR="00956340" w:rsidTr="006A36A5">
        <w:trPr>
          <w:trHeight w:val="737"/>
        </w:trPr>
        <w:tc>
          <w:tcPr>
            <w:tcW w:w="9062" w:type="dxa"/>
            <w:vAlign w:val="center"/>
          </w:tcPr>
          <w:p w:rsidR="00956340" w:rsidRPr="007529E6" w:rsidRDefault="00956340" w:rsidP="00956340">
            <w:pPr>
              <w:spacing w:line="240" w:lineRule="auto"/>
              <w:jc w:val="left"/>
              <w:rPr>
                <w:rFonts w:cs="Calibri"/>
                <w:szCs w:val="20"/>
              </w:rPr>
            </w:pPr>
            <w:r w:rsidRPr="007529E6">
              <w:rPr>
                <w:rFonts w:cstheme="minorHAnsi"/>
                <w:szCs w:val="20"/>
              </w:rPr>
              <w:t>Wzrastający poziom wydatków samorządów wymaga realnego planowania w zakresie wyzwań inwestycyjnych na poziomie WrOF.</w:t>
            </w:r>
          </w:p>
        </w:tc>
      </w:tr>
    </w:tbl>
    <w:p w:rsidR="00956340" w:rsidRPr="00956340" w:rsidRDefault="00956340" w:rsidP="00956340">
      <w:pPr>
        <w:sectPr w:rsidR="00956340" w:rsidRPr="00956340">
          <w:pgSz w:w="11906" w:h="16838"/>
          <w:pgMar w:top="1417" w:right="1417" w:bottom="1417" w:left="1417" w:header="708" w:footer="708" w:gutter="0"/>
          <w:cols w:space="708"/>
          <w:docGrid w:linePitch="360"/>
        </w:sectPr>
      </w:pPr>
    </w:p>
    <w:p w:rsidR="000178B1" w:rsidRDefault="00BA4A56" w:rsidP="00BA4A56">
      <w:pPr>
        <w:pStyle w:val="Nagwek2"/>
      </w:pPr>
      <w:bookmarkStart w:id="154" w:name="_Toc125707460"/>
      <w:bookmarkStart w:id="155" w:name="_Toc143673217"/>
      <w:r>
        <w:t>II.1</w:t>
      </w:r>
      <w:r w:rsidR="00187AED">
        <w:t>4</w:t>
      </w:r>
      <w:r w:rsidR="0094195E">
        <w:t xml:space="preserve"> </w:t>
      </w:r>
      <w:r w:rsidR="000178B1">
        <w:t>Analiza S</w:t>
      </w:r>
      <w:r w:rsidR="000178B1" w:rsidRPr="00BA4A56">
        <w:t>WOT</w:t>
      </w:r>
      <w:bookmarkEnd w:id="154"/>
      <w:bookmarkEnd w:id="155"/>
    </w:p>
    <w:p w:rsidR="006A36A5" w:rsidRPr="00CF7055" w:rsidRDefault="006A36A5" w:rsidP="006A36A5">
      <w:pPr>
        <w:spacing w:before="120" w:after="0" w:line="240" w:lineRule="auto"/>
        <w:rPr>
          <w:b/>
          <w:color w:val="000000" w:themeColor="text1"/>
        </w:rPr>
      </w:pPr>
      <w:r w:rsidRPr="00CF7055">
        <w:rPr>
          <w:rFonts w:cstheme="minorHAnsi"/>
          <w:b/>
          <w:color w:val="000000" w:themeColor="text1"/>
          <w:sz w:val="28"/>
          <w:szCs w:val="52"/>
        </w:rPr>
        <w:t>Mobilność</w:t>
      </w:r>
    </w:p>
    <w:tbl>
      <w:tblPr>
        <w:tblStyle w:val="Tabela-Siatka1"/>
        <w:tblW w:w="14123" w:type="dxa"/>
        <w:tblLook w:val="04A0" w:firstRow="1" w:lastRow="0" w:firstColumn="1" w:lastColumn="0" w:noHBand="0" w:noVBand="1"/>
        <w:tblCaption w:val="analiza swot"/>
        <w:tblDescription w:val="Mocne i słabe strony mobilności&#10;"/>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Różnorodność środków transportu na terenie WrOF z uwagi na obecność wielu systemów – drogowego, kolejowego, lotniczego i rowerowego (poprawa/wzrost dostępności komunikacyjnej)</w:t>
            </w:r>
          </w:p>
        </w:tc>
        <w:tc>
          <w:tcPr>
            <w:tcW w:w="625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Niezadowalający stan infrastruktury drogowej i rowerowej</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Znaczny potencjał infrastruktury kolejowej w zakresie integracji w systemie transportu zbiorowego</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bCs/>
                <w:noProof/>
                <w:color w:val="000000" w:themeColor="text1"/>
                <w:sz w:val="24"/>
                <w:szCs w:val="24"/>
                <w:lang w:eastAsia="pl-PL"/>
              </w:rPr>
              <w:t>Niski stopień dostosowania taboru autobusowego do osób ze szczególnymi potrzebami oraz wymogów gospodarki zeroemisyjnej</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Gęsta i rozbudowana siatka dróg zapewniająca wysoką dostępność transportową Wrocławia</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bCs/>
                <w:noProof/>
                <w:color w:val="000000" w:themeColor="text1"/>
                <w:sz w:val="24"/>
                <w:szCs w:val="24"/>
                <w:lang w:eastAsia="pl-PL"/>
              </w:rPr>
              <w:t>W kontekście zrównoważonej mobilności i możliwości łączenia podróży – w wielu gminach widoczny jest brak dróg dojazdowych do punktów przesiadkowych i infrastruktury komunikacji zbiorowej</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Potencjał rzeki Odry do przewozów turystycznych (Wrocław), towarowych i żeglugi pasażerskiej.</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bCs/>
                <w:noProof/>
                <w:color w:val="000000" w:themeColor="text1"/>
                <w:sz w:val="24"/>
                <w:szCs w:val="24"/>
                <w:lang w:eastAsia="pl-PL"/>
              </w:rPr>
              <w:t xml:space="preserve">System dróg dla rowerów posiada luki, przez co problemem </w:t>
            </w:r>
            <w:r w:rsidRPr="00A417EF">
              <w:rPr>
                <w:rFonts w:cstheme="minorHAnsi"/>
                <w:bCs/>
                <w:noProof/>
                <w:color w:val="000000" w:themeColor="text1"/>
                <w:sz w:val="24"/>
                <w:szCs w:val="24"/>
                <w:lang w:eastAsia="pl-PL"/>
              </w:rPr>
              <w:br/>
              <w:t xml:space="preserve">jest spójność tras  </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Wdrażanie rozwiązań multimodalnych w gminach WrOF poprzez budowę parkingów Park&amp;Ride i Bike&amp;Ride</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bCs/>
                <w:noProof/>
                <w:color w:val="000000" w:themeColor="text1"/>
                <w:sz w:val="24"/>
                <w:szCs w:val="24"/>
                <w:lang w:eastAsia="pl-PL"/>
              </w:rPr>
              <w:t>W zakresie systemu kolejowego zauważa się niedostateczny rozwój infrastruktury w związku z rozwojem osadniczym oraz niedostosowanie oferty przewozowej do potrzeb i oczekiwań mieszkańców</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 xml:space="preserve">Opracowane dokumenty dotyczące mobilności miejskiej: Plan Zrównoważonej Mobilności dla Miejskiego Obszaru Funkcjonalnego Wrocławia  oraz Plan Zrównoważonej Mobilności Miejskiej Wrocławia  </w:t>
            </w:r>
          </w:p>
        </w:tc>
        <w:tc>
          <w:tcPr>
            <w:tcW w:w="625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Niewystarczająca dostępność wewnętrzna - niewystarczający poziom skomunikowania wewnątrz WrOF</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96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p>
        </w:tc>
        <w:tc>
          <w:tcPr>
            <w:tcW w:w="625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Niska liczba punktów ładowania samochodów elektrycznych na całym obszarze WrOF oraz niezadowalająca jakość powietrza będąca efektem niskiej emisji i emisji liniowej pochodzącej z transportu</w:t>
            </w:r>
          </w:p>
        </w:tc>
        <w:tc>
          <w:tcPr>
            <w:tcW w:w="803" w:type="dxa"/>
            <w:vAlign w:val="center"/>
          </w:tcPr>
          <w:p w:rsidR="006A36A5" w:rsidRPr="00A417EF"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r>
              <w:rPr>
                <w:rFonts w:cstheme="minorHAnsi"/>
                <w:bCs/>
                <w:color w:val="000000" w:themeColor="text1"/>
                <w:sz w:val="24"/>
                <w:szCs w:val="24"/>
              </w:rPr>
              <w:t xml:space="preserve"> </w:t>
            </w:r>
          </w:p>
        </w:tc>
      </w:tr>
    </w:tbl>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Ludność i procesy demograficzne</w:t>
      </w:r>
    </w:p>
    <w:tbl>
      <w:tblPr>
        <w:tblStyle w:val="Tabela-Siatka1"/>
        <w:tblW w:w="14123" w:type="dxa"/>
        <w:tblLook w:val="04A0" w:firstRow="1" w:lastRow="0" w:firstColumn="1" w:lastColumn="0" w:noHBand="0" w:noVBand="1"/>
        <w:tblCaption w:val="analiza swot"/>
        <w:tblDescription w:val="mocne i słabe strony demografii"/>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rPr>
            </w:pPr>
            <w:r w:rsidRPr="00A417EF">
              <w:rPr>
                <w:rFonts w:cstheme="minorHAnsi"/>
                <w:sz w:val="24"/>
              </w:rPr>
              <w:t>Wzrost liczby ludności obszaru WrOF w ostatniej dekadzie o 6,2%</w:t>
            </w:r>
          </w:p>
        </w:tc>
        <w:tc>
          <w:tcPr>
            <w:tcW w:w="6253" w:type="dxa"/>
            <w:vAlign w:val="center"/>
          </w:tcPr>
          <w:p w:rsidR="006A36A5" w:rsidRPr="00A417EF" w:rsidRDefault="006A36A5" w:rsidP="006A36A5">
            <w:pPr>
              <w:spacing w:line="240" w:lineRule="auto"/>
              <w:jc w:val="left"/>
              <w:rPr>
                <w:rFonts w:cstheme="minorHAnsi"/>
                <w:bCs/>
                <w:color w:val="000000" w:themeColor="text1"/>
                <w:sz w:val="24"/>
              </w:rPr>
            </w:pPr>
            <w:r w:rsidRPr="00A417EF">
              <w:rPr>
                <w:rFonts w:cstheme="minorHAnsi"/>
                <w:sz w:val="24"/>
              </w:rPr>
              <w:t>Starzenie się społeczności lokalnej  i zmniejszający się odsetek osób w wieku produkcyjnym, wpływający na potencjał rozwoju ekonomicznego obszaru</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rPr>
            </w:pPr>
            <w:r w:rsidRPr="00A417EF">
              <w:rPr>
                <w:rFonts w:cstheme="minorHAnsi"/>
                <w:sz w:val="24"/>
              </w:rPr>
              <w:t>Wysoki stopień atrakcyjności osiedleńczej terytorium WrOF</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lang w:eastAsia="pl-PL"/>
              </w:rPr>
            </w:pPr>
            <w:r w:rsidRPr="00A417EF">
              <w:rPr>
                <w:rFonts w:cstheme="minorHAnsi"/>
                <w:sz w:val="24"/>
              </w:rPr>
              <w:t>Niekontrolowana suburbanizacja – z punktu widzenia jej skutków i oddziaływania na obszar funkcjonalny</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rPr>
            </w:pPr>
            <w:r w:rsidRPr="00A417EF">
              <w:rPr>
                <w:rFonts w:cstheme="minorHAnsi"/>
                <w:sz w:val="24"/>
              </w:rPr>
              <w:t>Wzrost wielkości kapitału ludzkiego w wyniku napływu imigrantów</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lang w:eastAsia="pl-PL"/>
              </w:rPr>
            </w:pPr>
            <w:r w:rsidRPr="00A417EF">
              <w:rPr>
                <w:rFonts w:cstheme="minorHAnsi"/>
                <w:sz w:val="24"/>
              </w:rPr>
              <w:t>Konieczność stworzenia polityki integracyjnej z uwagi na możliwe trudności związane z integracją ludności napływowej, których konsekwencją mogą być konflikty oraz wykluczenie społeczne</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rPr>
            </w:pPr>
            <w:r w:rsidRPr="00A417EF">
              <w:rPr>
                <w:rFonts w:cstheme="minorHAnsi"/>
                <w:sz w:val="24"/>
              </w:rPr>
              <w:t xml:space="preserve">Przywiązanie mieszkańców do miejsca zamieszkania i zadowolenie </w:t>
            </w:r>
            <w:r w:rsidRPr="00A417EF">
              <w:rPr>
                <w:rFonts w:cstheme="minorHAnsi"/>
                <w:sz w:val="24"/>
              </w:rPr>
              <w:br/>
              <w:t>z zamieszkiwania obszaru WrOF</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lang w:eastAsia="pl-PL"/>
              </w:rPr>
            </w:pPr>
            <w:r w:rsidRPr="00A417EF">
              <w:rPr>
                <w:rFonts w:cstheme="minorHAnsi"/>
                <w:sz w:val="24"/>
              </w:rPr>
              <w:t>Niedostosowanie poziomu rozwoju usług publicznych i oferty wsparcia w stosunku do potrzeb wynikających z nagłego napływu imigrantów na teren WrOF</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Gospodarka i rynek pracy</w:t>
      </w:r>
    </w:p>
    <w:tbl>
      <w:tblPr>
        <w:tblStyle w:val="Tabela-Siatka1"/>
        <w:tblW w:w="14123" w:type="dxa"/>
        <w:tblLook w:val="04A0" w:firstRow="1" w:lastRow="0" w:firstColumn="1" w:lastColumn="0" w:noHBand="0" w:noVBand="1"/>
        <w:tblCaption w:val="analiza swot"/>
        <w:tblDescription w:val="mocne i słabe strony gospodarki i rynku pracy"/>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1D1207" w:rsidRDefault="006A36A5" w:rsidP="006A36A5">
            <w:pPr>
              <w:spacing w:line="240" w:lineRule="auto"/>
              <w:jc w:val="left"/>
              <w:rPr>
                <w:rFonts w:cstheme="minorHAnsi"/>
                <w:sz w:val="24"/>
                <w:szCs w:val="24"/>
              </w:rPr>
            </w:pPr>
            <w:r w:rsidRPr="00A417EF">
              <w:rPr>
                <w:rFonts w:cstheme="minorHAnsi"/>
                <w:sz w:val="24"/>
                <w:szCs w:val="24"/>
              </w:rPr>
              <w:t>Wyższy poziom przedsiębiorczości</w:t>
            </w:r>
            <w:r w:rsidR="001D1207">
              <w:rPr>
                <w:rFonts w:cstheme="minorHAnsi"/>
                <w:sz w:val="24"/>
                <w:szCs w:val="24"/>
              </w:rPr>
              <w:t xml:space="preserve"> mieszkańców WrOF w porównaniu </w:t>
            </w:r>
            <w:r w:rsidRPr="00A417EF">
              <w:rPr>
                <w:rFonts w:cstheme="minorHAnsi"/>
                <w:sz w:val="24"/>
                <w:szCs w:val="24"/>
              </w:rPr>
              <w:t>z Polską i województwem dolnośląskim</w:t>
            </w:r>
          </w:p>
        </w:tc>
        <w:tc>
          <w:tcPr>
            <w:tcW w:w="625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sz w:val="24"/>
                <w:szCs w:val="24"/>
              </w:rPr>
              <w:t>Ograniczenia w zakresie inw</w:t>
            </w:r>
            <w:r w:rsidR="001D1207">
              <w:rPr>
                <w:rFonts w:cstheme="minorHAnsi"/>
                <w:sz w:val="24"/>
                <w:szCs w:val="24"/>
              </w:rPr>
              <w:t>estycji związane z deficytami w </w:t>
            </w:r>
            <w:r w:rsidRPr="00A417EF">
              <w:rPr>
                <w:rFonts w:cstheme="minorHAnsi"/>
                <w:sz w:val="24"/>
                <w:szCs w:val="24"/>
              </w:rPr>
              <w:t>kwestii infrastruktury komunikacyjnej</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sz w:val="24"/>
                <w:szCs w:val="24"/>
              </w:rPr>
              <w:t>Niższy poziom bezrobocia niż w kraju czy województwie</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sz w:val="24"/>
                <w:szCs w:val="24"/>
              </w:rPr>
              <w:t>Niewykorzystany potencjał gospodarczy Odry</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sz w:val="24"/>
                <w:szCs w:val="24"/>
              </w:rPr>
              <w:t>Wzrost liczby młodych przedsiębiorców w wieku 20-29 lat</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theme="minorHAnsi"/>
                <w:sz w:val="24"/>
                <w:szCs w:val="24"/>
              </w:rPr>
              <w:t>Wyższy udział bezrobotnych z niepełnosprawnością cechuje jednostki oddalone od rdzenia WrOF, na co wpływ mogą mieć trudności w dotarciu do pracy oraz brak ofert na terenie poszczególnych gmin</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2E5F40" w:rsidRDefault="006A36A5" w:rsidP="006A36A5">
      <w:pPr>
        <w:rPr>
          <w:sz w:val="2"/>
          <w:szCs w:val="2"/>
        </w:rPr>
      </w:pPr>
    </w:p>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Środowisko naturalne</w:t>
      </w:r>
      <w:r w:rsidRPr="00CF7055">
        <w:rPr>
          <w:rFonts w:cstheme="minorHAnsi"/>
          <w:b/>
          <w:color w:val="000000" w:themeColor="text1"/>
          <w:sz w:val="28"/>
          <w:szCs w:val="52"/>
        </w:rPr>
        <w:tab/>
      </w:r>
    </w:p>
    <w:tbl>
      <w:tblPr>
        <w:tblStyle w:val="Tabela-Siatka1"/>
        <w:tblW w:w="14123" w:type="dxa"/>
        <w:tblLook w:val="04A0" w:firstRow="1" w:lastRow="0" w:firstColumn="1" w:lastColumn="0" w:noHBand="0" w:noVBand="1"/>
        <w:tblCaption w:val="analiza swot"/>
        <w:tblDescription w:val="mocne i słabe strony środowiska"/>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Calibri"/>
                <w:sz w:val="24"/>
                <w:szCs w:val="24"/>
              </w:rPr>
            </w:pPr>
            <w:r w:rsidRPr="00A417EF">
              <w:rPr>
                <w:rFonts w:cs="Calibri"/>
                <w:sz w:val="24"/>
                <w:szCs w:val="24"/>
              </w:rPr>
              <w:t>Występowanie na terenie WrOF form ochrony przyrody oraz cennych i rzadkich gatunków roślin i zwierząt</w:t>
            </w:r>
          </w:p>
        </w:tc>
        <w:tc>
          <w:tcPr>
            <w:tcW w:w="625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Calibri"/>
                <w:sz w:val="24"/>
                <w:szCs w:val="24"/>
              </w:rPr>
              <w:t>Stosunkowo niski udział terenów zieleni oraz wskaźnik lesistości</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Calibri"/>
                <w:sz w:val="24"/>
                <w:szCs w:val="24"/>
              </w:rPr>
              <w:t>Wykorzystywanie OZE do produkcji energii elektrycznej oraz ciepła</w:t>
            </w:r>
          </w:p>
        </w:tc>
        <w:tc>
          <w:tcPr>
            <w:tcW w:w="6253" w:type="dxa"/>
            <w:vAlign w:val="center"/>
          </w:tcPr>
          <w:p w:rsidR="006A36A5" w:rsidRPr="00A417EF" w:rsidRDefault="006A36A5" w:rsidP="006A36A5">
            <w:pPr>
              <w:spacing w:line="240" w:lineRule="auto"/>
              <w:jc w:val="left"/>
              <w:rPr>
                <w:rFonts w:cs="Calibri"/>
                <w:sz w:val="24"/>
                <w:szCs w:val="24"/>
              </w:rPr>
            </w:pPr>
            <w:r w:rsidRPr="00A417EF">
              <w:rPr>
                <w:rFonts w:cs="Calibri"/>
                <w:sz w:val="24"/>
                <w:szCs w:val="24"/>
              </w:rPr>
              <w:t xml:space="preserve">Niedostateczne działania na rzecz </w:t>
            </w:r>
            <w:proofErr w:type="spellStart"/>
            <w:r w:rsidRPr="00A417EF">
              <w:rPr>
                <w:rFonts w:cs="Calibri"/>
                <w:sz w:val="24"/>
                <w:szCs w:val="24"/>
              </w:rPr>
              <w:t>mitygacji</w:t>
            </w:r>
            <w:proofErr w:type="spellEnd"/>
            <w:r w:rsidRPr="00A417EF">
              <w:rPr>
                <w:rFonts w:cs="Calibri"/>
                <w:sz w:val="24"/>
                <w:szCs w:val="24"/>
              </w:rPr>
              <w:t xml:space="preserve"> oraz dostosowania obszaru do skutków zmian klimatu, w tym poprzez błękitną i zieloną  infrastrukturę oraz rozwój obszarów naturalnych i półnaturalnych</w:t>
            </w:r>
          </w:p>
          <w:p w:rsidR="006A36A5" w:rsidRPr="00A417EF" w:rsidRDefault="006A36A5" w:rsidP="006A36A5">
            <w:pPr>
              <w:spacing w:line="240" w:lineRule="auto"/>
              <w:jc w:val="left"/>
              <w:rPr>
                <w:rFonts w:cstheme="minorHAnsi"/>
                <w:bCs/>
                <w:noProof/>
                <w:color w:val="000000" w:themeColor="text1"/>
                <w:sz w:val="24"/>
                <w:szCs w:val="24"/>
                <w:lang w:eastAsia="pl-PL"/>
              </w:rPr>
            </w:pP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Calibri"/>
                <w:sz w:val="24"/>
                <w:szCs w:val="24"/>
              </w:rPr>
              <w:t>Realizacja działań w zakresie poprawy jakości powietrza</w:t>
            </w:r>
          </w:p>
        </w:tc>
        <w:tc>
          <w:tcPr>
            <w:tcW w:w="6253" w:type="dxa"/>
            <w:vAlign w:val="center"/>
          </w:tcPr>
          <w:p w:rsidR="006A36A5" w:rsidRPr="00A417EF" w:rsidRDefault="006A36A5" w:rsidP="006A36A5">
            <w:pPr>
              <w:spacing w:line="240" w:lineRule="auto"/>
              <w:jc w:val="left"/>
              <w:rPr>
                <w:rFonts w:cs="Calibri"/>
                <w:sz w:val="24"/>
                <w:szCs w:val="24"/>
              </w:rPr>
            </w:pPr>
            <w:r w:rsidRPr="00A417EF">
              <w:rPr>
                <w:rFonts w:cs="Calibri"/>
                <w:sz w:val="24"/>
                <w:szCs w:val="24"/>
              </w:rPr>
              <w:t>Niewystarczająca o</w:t>
            </w:r>
            <w:r w:rsidR="001D1207">
              <w:rPr>
                <w:rFonts w:cs="Calibri"/>
                <w:sz w:val="24"/>
                <w:szCs w:val="24"/>
              </w:rPr>
              <w:t>chrona walorów krajobrazowych i </w:t>
            </w:r>
            <w:r w:rsidRPr="00A417EF">
              <w:rPr>
                <w:rFonts w:cs="Calibri"/>
                <w:sz w:val="24"/>
                <w:szCs w:val="24"/>
              </w:rPr>
              <w:t xml:space="preserve">przyrodniczych, w tym przed antropogenicznym wpływem na środowisko </w:t>
            </w:r>
          </w:p>
          <w:p w:rsidR="006A36A5" w:rsidRPr="00A417EF" w:rsidRDefault="006A36A5" w:rsidP="006A36A5">
            <w:pPr>
              <w:spacing w:line="240" w:lineRule="auto"/>
              <w:jc w:val="left"/>
              <w:rPr>
                <w:rFonts w:cstheme="minorHAnsi"/>
                <w:bCs/>
                <w:noProof/>
                <w:color w:val="000000" w:themeColor="text1"/>
                <w:sz w:val="24"/>
                <w:szCs w:val="24"/>
                <w:lang w:eastAsia="pl-PL"/>
              </w:rPr>
            </w:pP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Calibri"/>
                <w:sz w:val="24"/>
                <w:szCs w:val="24"/>
              </w:rPr>
              <w:t>Wysoki udział ludności korzy</w:t>
            </w:r>
            <w:r w:rsidR="001D1207">
              <w:rPr>
                <w:rFonts w:cs="Calibri"/>
                <w:sz w:val="24"/>
                <w:szCs w:val="24"/>
              </w:rPr>
              <w:t>stającej z sieci wodociągowej i </w:t>
            </w:r>
            <w:r w:rsidRPr="00A417EF">
              <w:rPr>
                <w:rFonts w:cs="Calibri"/>
                <w:sz w:val="24"/>
                <w:szCs w:val="24"/>
              </w:rPr>
              <w:t>kanalizacyjnej</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Calibri"/>
                <w:sz w:val="24"/>
                <w:szCs w:val="24"/>
              </w:rPr>
              <w:t>W produkcji energii elektrycznej i cieplnej dominują paliwa konwencjonalne w konsekwencji dochodzi do przekroczeń dopuszczalnych stężeń zanieczyszczeń powietrza</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Calibri"/>
                <w:sz w:val="24"/>
                <w:szCs w:val="24"/>
              </w:rPr>
              <w:t>Wyższy niż w województwie dolnośląskim udział odpadów zebranych selektywnie w stosunku do ogółu masy odpadów</w:t>
            </w: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Calibri"/>
                <w:sz w:val="24"/>
                <w:szCs w:val="24"/>
              </w:rPr>
              <w:t>Wzrost zużycia wody przez mieszkańców</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A417EF" w:rsidRDefault="006A36A5" w:rsidP="006A36A5">
            <w:pPr>
              <w:spacing w:line="240" w:lineRule="auto"/>
              <w:jc w:val="left"/>
              <w:rPr>
                <w:rFonts w:cs="Calibri"/>
                <w:sz w:val="24"/>
                <w:szCs w:val="24"/>
              </w:rPr>
            </w:pP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Calibri"/>
                <w:sz w:val="24"/>
                <w:szCs w:val="24"/>
              </w:rPr>
              <w:t>Przestarzałe oraz wymagające modernizacji instalacje wodno-kanalizacyjne</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A417EF" w:rsidRDefault="006A36A5" w:rsidP="006A36A5">
            <w:pPr>
              <w:spacing w:line="240" w:lineRule="auto"/>
              <w:jc w:val="left"/>
              <w:rPr>
                <w:rFonts w:cs="Calibri"/>
                <w:sz w:val="24"/>
                <w:szCs w:val="24"/>
              </w:rPr>
            </w:pP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rFonts w:cs="Calibri"/>
                <w:sz w:val="24"/>
                <w:szCs w:val="24"/>
              </w:rPr>
              <w:t>Niski stopień skanalizowania i zgazyfikowania gmin wiejskich</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A417EF" w:rsidRDefault="006A36A5" w:rsidP="006A36A5">
            <w:pPr>
              <w:spacing w:line="240" w:lineRule="auto"/>
              <w:jc w:val="left"/>
              <w:rPr>
                <w:rFonts w:cs="Calibri"/>
                <w:sz w:val="24"/>
                <w:szCs w:val="24"/>
              </w:rPr>
            </w:pPr>
          </w:p>
        </w:tc>
        <w:tc>
          <w:tcPr>
            <w:tcW w:w="6253" w:type="dxa"/>
            <w:vAlign w:val="center"/>
          </w:tcPr>
          <w:p w:rsidR="006A36A5" w:rsidRPr="00A417EF" w:rsidRDefault="006A36A5" w:rsidP="006A36A5">
            <w:pPr>
              <w:spacing w:line="240" w:lineRule="auto"/>
              <w:jc w:val="left"/>
              <w:rPr>
                <w:rFonts w:cstheme="minorHAnsi"/>
                <w:bCs/>
                <w:noProof/>
                <w:color w:val="000000" w:themeColor="text1"/>
                <w:sz w:val="24"/>
                <w:szCs w:val="24"/>
                <w:lang w:eastAsia="pl-PL"/>
              </w:rPr>
            </w:pPr>
            <w:r w:rsidRPr="00A417EF">
              <w:rPr>
                <w:sz w:val="24"/>
                <w:szCs w:val="24"/>
              </w:rPr>
              <w:t xml:space="preserve">Wzrost masy odpadów komunalnych wytwarzanych średnio przez jednego mieszkańca oraz </w:t>
            </w:r>
            <w:r w:rsidRPr="00A417EF">
              <w:rPr>
                <w:rFonts w:cs="Calibri"/>
                <w:sz w:val="24"/>
                <w:szCs w:val="24"/>
              </w:rPr>
              <w:t>występowanie dzikich wysypisk</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 xml:space="preserve">W </w:t>
            </w:r>
          </w:p>
        </w:tc>
      </w:tr>
    </w:tbl>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Kultura i dziedzictwo kulturowe</w:t>
      </w:r>
    </w:p>
    <w:tbl>
      <w:tblPr>
        <w:tblStyle w:val="Tabela-Siatka1"/>
        <w:tblW w:w="14123" w:type="dxa"/>
        <w:tblLook w:val="04A0" w:firstRow="1" w:lastRow="0" w:firstColumn="1" w:lastColumn="0" w:noHBand="0" w:noVBand="1"/>
        <w:tblCaption w:val="analiza swot"/>
        <w:tblDescription w:val="mocne i słabe strony kultury i dziedzictwa kulturowego"/>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sz w:val="24"/>
              </w:rPr>
            </w:pPr>
            <w:r w:rsidRPr="002E5F40">
              <w:rPr>
                <w:rFonts w:cstheme="minorHAnsi"/>
                <w:sz w:val="24"/>
              </w:rPr>
              <w:t xml:space="preserve">Wyższy poziom uczestnictwa  w życiu kulturalnym mieszkańców WrOF niż w przypadku przeciętnego mieszkańca Polski czy województwa dolnośląskiego oraz dobrze oceniana przez mieszkańców atrakcyjność </w:t>
            </w:r>
            <w:r w:rsidRPr="002E5F40">
              <w:rPr>
                <w:rFonts w:cstheme="minorHAnsi"/>
                <w:sz w:val="24"/>
              </w:rPr>
              <w:br/>
              <w:t>i dostępność oferty kulturalnej</w:t>
            </w:r>
          </w:p>
        </w:tc>
        <w:tc>
          <w:tcPr>
            <w:tcW w:w="6253"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Stosunkowo ubogie zróżnicowanie instytucji kultury na obszarach poza Wrocławiem</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Duża liczba zabytków ruchomych i nieruchomych w tym obecność unikatowych w skali Polski i świata, jak np. Hala Stulecia - wpisana na Listę Światowego Dziedzictwa  UNESCO</w:t>
            </w:r>
          </w:p>
        </w:tc>
        <w:tc>
          <w:tcPr>
            <w:tcW w:w="6253" w:type="dxa"/>
            <w:vAlign w:val="center"/>
          </w:tcPr>
          <w:p w:rsidR="006A36A5" w:rsidRPr="002E5F40" w:rsidRDefault="006A36A5" w:rsidP="006A36A5">
            <w:pPr>
              <w:spacing w:line="240" w:lineRule="auto"/>
              <w:jc w:val="left"/>
              <w:rPr>
                <w:rFonts w:cstheme="minorHAnsi"/>
                <w:bCs/>
                <w:noProof/>
                <w:color w:val="000000" w:themeColor="text1"/>
                <w:sz w:val="24"/>
                <w:lang w:eastAsia="pl-PL"/>
              </w:rPr>
            </w:pPr>
            <w:r w:rsidRPr="002E5F40">
              <w:rPr>
                <w:rFonts w:cstheme="minorHAnsi"/>
                <w:sz w:val="24"/>
              </w:rPr>
              <w:t>Funkcjonowanie obiektów zabytkowych, będących wyrazem bogatej spuścizny kulturowej, jednak często są to obiekty (w szczególności zabytki ruchome i nieruchome), które niszczeją</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 xml:space="preserve">Bogactwo niematerialnej kultury obszaru, tzw. duch miejsca, dawne tradycje, kulinaria stanowiące potencjał dla działań </w:t>
            </w:r>
            <w:proofErr w:type="spellStart"/>
            <w:r w:rsidRPr="002E5F40">
              <w:rPr>
                <w:rFonts w:cstheme="minorHAnsi"/>
                <w:sz w:val="24"/>
              </w:rPr>
              <w:t>prokulturowych</w:t>
            </w:r>
            <w:proofErr w:type="spellEnd"/>
            <w:r w:rsidRPr="002E5F40">
              <w:rPr>
                <w:rFonts w:cstheme="minorHAnsi"/>
                <w:sz w:val="24"/>
              </w:rPr>
              <w:t xml:space="preserve"> obszaru, kreowania nowych produktów turystycznych</w:t>
            </w:r>
          </w:p>
        </w:tc>
        <w:tc>
          <w:tcPr>
            <w:tcW w:w="6253" w:type="dxa"/>
            <w:vAlign w:val="center"/>
          </w:tcPr>
          <w:p w:rsidR="006A36A5" w:rsidRPr="002E5F40" w:rsidRDefault="006A36A5" w:rsidP="006A36A5">
            <w:pPr>
              <w:spacing w:line="240" w:lineRule="auto"/>
              <w:jc w:val="left"/>
              <w:rPr>
                <w:rFonts w:cstheme="minorHAnsi"/>
                <w:bCs/>
                <w:noProof/>
                <w:color w:val="000000" w:themeColor="text1"/>
                <w:sz w:val="24"/>
                <w:lang w:eastAsia="pl-PL"/>
              </w:rPr>
            </w:pPr>
            <w:r w:rsidRPr="002E5F40">
              <w:rPr>
                <w:rFonts w:cstheme="minorHAnsi"/>
                <w:sz w:val="24"/>
              </w:rPr>
              <w:t>Brak środków finansowych na działania  konserwatorskie dla zabytkowych obiektów ruchomych i nieruchomych</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Sport, rekreacja i turystyka</w:t>
      </w:r>
    </w:p>
    <w:tbl>
      <w:tblPr>
        <w:tblStyle w:val="Tabela-Siatka1"/>
        <w:tblW w:w="14123" w:type="dxa"/>
        <w:tblLook w:val="04A0" w:firstRow="1" w:lastRow="0" w:firstColumn="1" w:lastColumn="0" w:noHBand="0" w:noVBand="1"/>
        <w:tblCaption w:val="analiza swot"/>
        <w:tblDescription w:val="mocne i słabe strony sportu i rekreacji"/>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sz w:val="24"/>
              </w:rPr>
            </w:pPr>
            <w:r w:rsidRPr="002E5F40">
              <w:rPr>
                <w:rFonts w:cstheme="minorHAnsi"/>
                <w:sz w:val="24"/>
              </w:rPr>
              <w:t>Dostępność infrastruktury sportowej i możliwość uprawiania różnorodnych dyscyplin</w:t>
            </w:r>
          </w:p>
        </w:tc>
        <w:tc>
          <w:tcPr>
            <w:tcW w:w="6253"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Niska jakość i stan infrastruktury sportowej oraz niska dostępność obiektów dla osób ze szczególnymi potrzebami</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sz w:val="24"/>
              </w:rPr>
            </w:pPr>
            <w:r w:rsidRPr="002E5F40">
              <w:rPr>
                <w:rFonts w:cstheme="minorHAnsi"/>
                <w:sz w:val="24"/>
              </w:rPr>
              <w:t xml:space="preserve">Wysoki poziom atrakcyjności obszaru, z uwagi na posiadane </w:t>
            </w:r>
          </w:p>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zasoby i potencjały</w:t>
            </w:r>
          </w:p>
        </w:tc>
        <w:tc>
          <w:tcPr>
            <w:tcW w:w="6253" w:type="dxa"/>
            <w:vAlign w:val="center"/>
          </w:tcPr>
          <w:p w:rsidR="006A36A5" w:rsidRPr="002E5F40" w:rsidRDefault="006A36A5" w:rsidP="006A36A5">
            <w:pPr>
              <w:spacing w:line="240" w:lineRule="auto"/>
              <w:jc w:val="left"/>
              <w:rPr>
                <w:rFonts w:cstheme="minorHAnsi"/>
                <w:bCs/>
                <w:noProof/>
                <w:color w:val="000000" w:themeColor="text1"/>
                <w:sz w:val="24"/>
                <w:lang w:eastAsia="pl-PL"/>
              </w:rPr>
            </w:pPr>
            <w:r w:rsidRPr="002E5F40">
              <w:rPr>
                <w:rFonts w:cstheme="minorHAnsi"/>
                <w:sz w:val="24"/>
              </w:rPr>
              <w:t>Nierównomierny dostęp do obiektów sportowych w gminach WrOF</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Wzrost liczby ćwiczących w klubach sportowych</w:t>
            </w:r>
          </w:p>
        </w:tc>
        <w:tc>
          <w:tcPr>
            <w:tcW w:w="6253" w:type="dxa"/>
            <w:vAlign w:val="center"/>
          </w:tcPr>
          <w:p w:rsidR="006A36A5" w:rsidRPr="002E5F40" w:rsidRDefault="006A36A5" w:rsidP="006A36A5">
            <w:pPr>
              <w:spacing w:line="240" w:lineRule="auto"/>
              <w:jc w:val="left"/>
              <w:rPr>
                <w:rFonts w:cstheme="minorHAnsi"/>
                <w:bCs/>
                <w:noProof/>
                <w:color w:val="000000" w:themeColor="text1"/>
                <w:sz w:val="24"/>
                <w:lang w:eastAsia="pl-PL"/>
              </w:rPr>
            </w:pPr>
            <w:r w:rsidRPr="002E5F40">
              <w:rPr>
                <w:rFonts w:cstheme="minorHAnsi"/>
                <w:sz w:val="24"/>
              </w:rPr>
              <w:t>Osłabienie sytuacji związanej z rozwojem turystyki ze względu na wystąpienie pandemii COVID-19</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CF7055" w:rsidRDefault="006A36A5" w:rsidP="006A36A5">
      <w:pPr>
        <w:spacing w:before="120" w:after="0" w:line="240" w:lineRule="auto"/>
        <w:rPr>
          <w:rFonts w:cstheme="minorHAnsi"/>
          <w:b/>
          <w:color w:val="000000" w:themeColor="text1"/>
          <w:sz w:val="28"/>
          <w:szCs w:val="52"/>
        </w:rPr>
      </w:pPr>
      <w:r w:rsidRPr="00CF7055">
        <w:rPr>
          <w:rFonts w:cstheme="minorHAnsi"/>
          <w:b/>
          <w:color w:val="000000" w:themeColor="text1"/>
          <w:sz w:val="28"/>
          <w:szCs w:val="52"/>
        </w:rPr>
        <w:t>Bezpieczeństwo i przestrzenie publiczne</w:t>
      </w:r>
    </w:p>
    <w:tbl>
      <w:tblPr>
        <w:tblStyle w:val="Tabela-Siatka1"/>
        <w:tblW w:w="14123" w:type="dxa"/>
        <w:tblLook w:val="04A0" w:firstRow="1" w:lastRow="0" w:firstColumn="1" w:lastColumn="0" w:noHBand="0" w:noVBand="1"/>
        <w:tblCaption w:val="analiza swot"/>
        <w:tblDescription w:val="mocne i słabe strony bezpieczenstwa publicznego"/>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sz w:val="24"/>
              </w:rPr>
            </w:pPr>
            <w:r w:rsidRPr="002E5F40">
              <w:rPr>
                <w:rFonts w:cstheme="minorHAnsi"/>
                <w:sz w:val="24"/>
              </w:rPr>
              <w:t xml:space="preserve">Trend spadkowy liczby pożarów oraz wypadków samochodowych </w:t>
            </w:r>
            <w:r w:rsidRPr="002E5F40">
              <w:rPr>
                <w:rFonts w:cstheme="minorHAnsi"/>
                <w:sz w:val="24"/>
              </w:rPr>
              <w:br/>
              <w:t>w ostatnich latach na terenie WrOF</w:t>
            </w:r>
          </w:p>
        </w:tc>
        <w:tc>
          <w:tcPr>
            <w:tcW w:w="6253"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 xml:space="preserve">Zagrożenie zarówno powodzią, jak i suszą wynikające </w:t>
            </w:r>
            <w:r w:rsidRPr="002E5F40">
              <w:rPr>
                <w:rFonts w:cstheme="minorHAnsi"/>
                <w:sz w:val="24"/>
              </w:rPr>
              <w:br/>
              <w:t>z uwarunkowań naturalnych</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A417EF" w:rsidTr="006A36A5">
        <w:trPr>
          <w:trHeight w:val="624"/>
        </w:trPr>
        <w:tc>
          <w:tcPr>
            <w:tcW w:w="876"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S</w:t>
            </w:r>
          </w:p>
        </w:tc>
        <w:tc>
          <w:tcPr>
            <w:tcW w:w="6191" w:type="dxa"/>
            <w:vAlign w:val="center"/>
          </w:tcPr>
          <w:p w:rsidR="006A36A5" w:rsidRPr="002E5F40" w:rsidRDefault="006A36A5" w:rsidP="006A36A5">
            <w:pPr>
              <w:spacing w:line="240" w:lineRule="auto"/>
              <w:jc w:val="left"/>
              <w:rPr>
                <w:rFonts w:cstheme="minorHAnsi"/>
                <w:bCs/>
                <w:color w:val="000000" w:themeColor="text1"/>
                <w:sz w:val="24"/>
              </w:rPr>
            </w:pPr>
            <w:r w:rsidRPr="002E5F40">
              <w:rPr>
                <w:rFonts w:cstheme="minorHAnsi"/>
                <w:sz w:val="24"/>
              </w:rPr>
              <w:t>Posiadanie przez większość gmin monitoringu miejskiego/gminnego</w:t>
            </w:r>
          </w:p>
        </w:tc>
        <w:tc>
          <w:tcPr>
            <w:tcW w:w="6253" w:type="dxa"/>
            <w:vAlign w:val="center"/>
          </w:tcPr>
          <w:p w:rsidR="006A36A5" w:rsidRPr="002E5F40" w:rsidRDefault="006A36A5" w:rsidP="006A36A5">
            <w:pPr>
              <w:spacing w:line="240" w:lineRule="auto"/>
              <w:jc w:val="left"/>
              <w:rPr>
                <w:rFonts w:cstheme="minorHAnsi"/>
                <w:bCs/>
                <w:noProof/>
                <w:color w:val="000000" w:themeColor="text1"/>
                <w:sz w:val="24"/>
                <w:lang w:eastAsia="pl-PL"/>
              </w:rPr>
            </w:pPr>
            <w:r w:rsidRPr="002E5F40">
              <w:rPr>
                <w:rFonts w:cstheme="minorHAnsi"/>
                <w:sz w:val="24"/>
              </w:rPr>
              <w:t xml:space="preserve">Nisko oceniane bezpieczeństwo drogowe </w:t>
            </w:r>
          </w:p>
        </w:tc>
        <w:tc>
          <w:tcPr>
            <w:tcW w:w="803" w:type="dxa"/>
            <w:vAlign w:val="center"/>
          </w:tcPr>
          <w:p w:rsidR="006A36A5" w:rsidRPr="00A417EF" w:rsidRDefault="006A36A5"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Default="006A36A5" w:rsidP="006A36A5">
      <w:pPr>
        <w:spacing w:before="240" w:after="0" w:line="240" w:lineRule="auto"/>
      </w:pPr>
      <w:r w:rsidRPr="00CF7055">
        <w:rPr>
          <w:rFonts w:cstheme="minorHAnsi"/>
          <w:b/>
          <w:color w:val="000000" w:themeColor="text1"/>
          <w:sz w:val="28"/>
          <w:szCs w:val="52"/>
        </w:rPr>
        <w:t>Polityka społeczna</w:t>
      </w:r>
    </w:p>
    <w:tbl>
      <w:tblPr>
        <w:tblStyle w:val="Tabela-Siatka1"/>
        <w:tblW w:w="14123" w:type="dxa"/>
        <w:tblLook w:val="04A0" w:firstRow="1" w:lastRow="0" w:firstColumn="1" w:lastColumn="0" w:noHBand="0" w:noVBand="1"/>
        <w:tblCaption w:val="analiza swot"/>
        <w:tblDescription w:val="mocne i słabe strony polityki społecznej"/>
      </w:tblPr>
      <w:tblGrid>
        <w:gridCol w:w="876"/>
        <w:gridCol w:w="6191"/>
        <w:gridCol w:w="6253"/>
        <w:gridCol w:w="803"/>
      </w:tblGrid>
      <w:tr w:rsidR="006A36A5" w:rsidRPr="006A36A5" w:rsidTr="006A36A5">
        <w:trPr>
          <w:trHeight w:val="624"/>
          <w:tblHeader/>
        </w:trPr>
        <w:tc>
          <w:tcPr>
            <w:tcW w:w="876"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w:t>
            </w:r>
          </w:p>
        </w:tc>
        <w:tc>
          <w:tcPr>
            <w:tcW w:w="6191"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Mocne strony</w:t>
            </w:r>
          </w:p>
        </w:tc>
        <w:tc>
          <w:tcPr>
            <w:tcW w:w="625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Słabe strony</w:t>
            </w:r>
          </w:p>
        </w:tc>
        <w:tc>
          <w:tcPr>
            <w:tcW w:w="803"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sz w:val="24"/>
                <w:szCs w:val="24"/>
              </w:rPr>
            </w:pPr>
            <w:r w:rsidRPr="00CF7055">
              <w:rPr>
                <w:rFonts w:cs="Calibri"/>
                <w:sz w:val="24"/>
                <w:szCs w:val="24"/>
              </w:rPr>
              <w:t xml:space="preserve">Pozytywnie oceniana działalności instytucji pomocy społecznej na obszarze WrOF </w:t>
            </w:r>
          </w:p>
        </w:tc>
        <w:tc>
          <w:tcPr>
            <w:tcW w:w="625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 xml:space="preserve">Występowanie obszarów o wyższym, niż średnia wojewódzka i krajowa wskaźniku liczby osób korzystających z pomocy społecznej na 1000 mieszkańców </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Malejąca liczba beneficjentów pomocy społecznej w przeliczeniu na liczbę mieszkańców (spadek o 24,8% w okresie 2017-2020 r.)</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 xml:space="preserve">Występowanie obszarów o niskim odsetku dzieci objętych opieką żłobkową (w szczególności obszarów wiejskich) </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Poprawiająca się sytuacja społeczno-ekonomiczna rodzin (spadek liczby rodzin zagrożonych wykluczeniem społecznym)</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Niższy niż w regionie wskaźnik liczby placówek  stacjonarnej pomocy społecznej w odniesieniu do liczby mieszkańców</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Upowszechnienie opieki żłobkowej (dwukrotnie wyższy wskaźnik liczby dzieci nią objętych w porównaniu z poziomem krajowym)</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Nierównomierny dostęp do usług medycznych</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Silna pozycja Wrocławia jako miejsca z szeroką ofertą usług publicznych w zakresie opieki stacjonarnej oraz świadczenia usług publicznych i prywatnych w obszarze opieki szpitalnej i całodobowej</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 xml:space="preserve">W związku z rosnącą liczbą ludności deficyty w zakresie świadczenia usług opiekuńczych, asystenckich oraz opieki </w:t>
            </w:r>
            <w:proofErr w:type="spellStart"/>
            <w:r w:rsidRPr="00CF7055">
              <w:rPr>
                <w:rFonts w:cs="Calibri"/>
                <w:sz w:val="24"/>
                <w:szCs w:val="24"/>
              </w:rPr>
              <w:t>wytchnieniowej</w:t>
            </w:r>
            <w:proofErr w:type="spellEnd"/>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Brak dostosowania systemu usług publicznych do gwałtownie rosnącej liczby cudzoziemców (uchodźców)</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253" w:type="dxa"/>
            <w:vAlign w:val="center"/>
          </w:tcPr>
          <w:p w:rsidR="006A36A5" w:rsidRPr="00CF7055" w:rsidRDefault="006A36A5" w:rsidP="006A36A5">
            <w:pPr>
              <w:spacing w:line="240" w:lineRule="auto"/>
              <w:jc w:val="left"/>
              <w:rPr>
                <w:rFonts w:cs="Calibri"/>
                <w:sz w:val="24"/>
                <w:szCs w:val="24"/>
              </w:rPr>
            </w:pPr>
            <w:r w:rsidRPr="00CF7055">
              <w:rPr>
                <w:rFonts w:cs="Calibri"/>
                <w:sz w:val="24"/>
                <w:szCs w:val="24"/>
              </w:rPr>
              <w:t>Niewystarczająca liczba lub stan przestrzeni publicznych, które w szczególności przyczyniłoby się pozytywnie do rozwoju kondycji psychofizycznej mieszkańców, poprawy dostępności infrastruktury społecznej i edukacyjnej</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CF7055" w:rsidRDefault="006A36A5" w:rsidP="006A36A5">
      <w:pPr>
        <w:spacing w:before="240" w:after="0" w:line="240" w:lineRule="auto"/>
        <w:rPr>
          <w:rFonts w:cstheme="minorHAnsi"/>
          <w:b/>
          <w:color w:val="000000" w:themeColor="text1"/>
          <w:sz w:val="28"/>
          <w:szCs w:val="52"/>
        </w:rPr>
      </w:pPr>
      <w:r w:rsidRPr="00CF7055">
        <w:rPr>
          <w:rFonts w:cstheme="minorHAnsi"/>
          <w:b/>
          <w:color w:val="000000" w:themeColor="text1"/>
          <w:sz w:val="28"/>
          <w:szCs w:val="52"/>
        </w:rPr>
        <w:t>Edukacja i wychowanie</w:t>
      </w:r>
    </w:p>
    <w:tbl>
      <w:tblPr>
        <w:tblStyle w:val="Tabela-Siatka1"/>
        <w:tblW w:w="14123" w:type="dxa"/>
        <w:tblLook w:val="04A0" w:firstRow="1" w:lastRow="0" w:firstColumn="1" w:lastColumn="0" w:noHBand="0" w:noVBand="1"/>
        <w:tblCaption w:val="analiza swot"/>
        <w:tblDescription w:val="Mocne i słabe strony edukacji i wychowania"/>
      </w:tblPr>
      <w:tblGrid>
        <w:gridCol w:w="876"/>
        <w:gridCol w:w="6191"/>
        <w:gridCol w:w="6253"/>
        <w:gridCol w:w="803"/>
      </w:tblGrid>
      <w:tr w:rsidR="006A36A5" w:rsidRPr="00CF7055" w:rsidTr="006A36A5">
        <w:trPr>
          <w:trHeight w:val="624"/>
          <w:tblHeader/>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Mocne strony</w:t>
            </w:r>
          </w:p>
        </w:tc>
        <w:tc>
          <w:tcPr>
            <w:tcW w:w="625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Słabe strony</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sz w:val="24"/>
                <w:szCs w:val="24"/>
              </w:rPr>
            </w:pPr>
            <w:r w:rsidRPr="00CF7055">
              <w:rPr>
                <w:rFonts w:cs="Calibri"/>
                <w:sz w:val="24"/>
                <w:szCs w:val="24"/>
              </w:rPr>
              <w:t xml:space="preserve">Pozytywnie oceniana działalności instytucji pomocy społecznej na obszarze WrOF </w:t>
            </w:r>
          </w:p>
        </w:tc>
        <w:tc>
          <w:tcPr>
            <w:tcW w:w="625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 xml:space="preserve">Występowanie obszarów o wyższym, niż średnia wojewódzka i krajowa wskaźniku liczby osób korzystających z pomocy społecznej na 1000 mieszkańców </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Malejąca liczba beneficjentów pomocy społecznej w przeliczeniu na liczbę mieszkańców (spadek o 24,8% w okresie 2017-2020 r.)</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 xml:space="preserve">Występowanie obszarów o niskim odsetku dzieci objętych opieką żłobkową (w szczególności obszarów wiejskich) </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Poprawiająca się sytuacja społeczno-ekonomiczna rodzin (spadek liczby rodzin zagrożonych wykluczeniem społecznym)</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Niższy niż w regionie wskaźnik liczby placówek  stacjonarnej pomocy społecznej w odniesieniu do liczby mieszkańców</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Upowszechnienie opieki żłobkowej (dwukrotnie wyższy wskaźnik liczby dzieci nią objętych w porównaniu z poziomem krajowym)</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Nierównomierny dostęp do usług medycznych</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Calibri"/>
                <w:sz w:val="24"/>
                <w:szCs w:val="24"/>
              </w:rPr>
              <w:t>Silna pozycja Wrocławia jako miejsca z szeroką ofertą usług publicznych w zakresie opieki stacjonarnej oraz świadczenia usług publicznych i prywatnych w obszarze opieki szpitalnej i całodobowej</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 xml:space="preserve">W związku z rosnącą liczbą ludności deficyty w zakresie świadczenia usług opiekuńczych, asystenckich oraz opieki </w:t>
            </w:r>
            <w:proofErr w:type="spellStart"/>
            <w:r w:rsidRPr="00CF7055">
              <w:rPr>
                <w:rFonts w:cs="Calibri"/>
                <w:sz w:val="24"/>
                <w:szCs w:val="24"/>
              </w:rPr>
              <w:t>wytchnieniowej</w:t>
            </w:r>
            <w:proofErr w:type="spellEnd"/>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szCs w:val="24"/>
                <w:lang w:eastAsia="pl-PL"/>
              </w:rPr>
            </w:pPr>
            <w:r w:rsidRPr="00CF7055">
              <w:rPr>
                <w:rFonts w:cs="Calibri"/>
                <w:sz w:val="24"/>
                <w:szCs w:val="24"/>
              </w:rPr>
              <w:t>Brak dostosowania systemu usług publicznych do gwałtownie rosnącej liczby cudzoziemców (uchodźców)</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p>
        </w:tc>
        <w:tc>
          <w:tcPr>
            <w:tcW w:w="6253" w:type="dxa"/>
            <w:vAlign w:val="center"/>
          </w:tcPr>
          <w:p w:rsidR="006A36A5" w:rsidRPr="00CF7055" w:rsidRDefault="006A36A5" w:rsidP="006A36A5">
            <w:pPr>
              <w:spacing w:line="240" w:lineRule="auto"/>
              <w:jc w:val="left"/>
              <w:rPr>
                <w:rFonts w:cs="Calibri"/>
                <w:sz w:val="24"/>
                <w:szCs w:val="24"/>
              </w:rPr>
            </w:pPr>
            <w:r w:rsidRPr="00CF7055">
              <w:rPr>
                <w:rFonts w:cs="Calibri"/>
                <w:sz w:val="24"/>
                <w:szCs w:val="24"/>
              </w:rPr>
              <w:t>Niewystarczająca liczba lub stan przestrzeni publicznych, które w szczególności przyczyniłoby się pozytywnie do rozwoju kondycji psychofizycznej mieszkańców, poprawy dostępności infrastruktury społecznej i edukacyjnej</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Pr="00CF7055" w:rsidRDefault="006A36A5" w:rsidP="006A36A5">
      <w:pPr>
        <w:spacing w:before="240" w:after="0" w:line="240" w:lineRule="auto"/>
        <w:rPr>
          <w:rFonts w:cstheme="minorHAnsi"/>
          <w:b/>
          <w:color w:val="000000" w:themeColor="text1"/>
          <w:sz w:val="28"/>
          <w:szCs w:val="52"/>
        </w:rPr>
      </w:pPr>
      <w:r w:rsidRPr="00CF7055">
        <w:rPr>
          <w:rFonts w:cstheme="minorHAnsi"/>
          <w:b/>
          <w:color w:val="000000" w:themeColor="text1"/>
          <w:sz w:val="28"/>
          <w:szCs w:val="52"/>
        </w:rPr>
        <w:t>Kapitał społeczny</w:t>
      </w:r>
    </w:p>
    <w:tbl>
      <w:tblPr>
        <w:tblStyle w:val="Tabela-Siatka1"/>
        <w:tblW w:w="14123" w:type="dxa"/>
        <w:tblLook w:val="04A0" w:firstRow="1" w:lastRow="0" w:firstColumn="1" w:lastColumn="0" w:noHBand="0" w:noVBand="1"/>
        <w:tblCaption w:val="analiza swot"/>
        <w:tblDescription w:val=" ocne i słabe strony kapitału społecznego"/>
      </w:tblPr>
      <w:tblGrid>
        <w:gridCol w:w="876"/>
        <w:gridCol w:w="6191"/>
        <w:gridCol w:w="6253"/>
        <w:gridCol w:w="803"/>
      </w:tblGrid>
      <w:tr w:rsidR="006A36A5" w:rsidRPr="00CF7055" w:rsidTr="006A36A5">
        <w:trPr>
          <w:trHeight w:val="624"/>
          <w:tblHeader/>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Mocne strony</w:t>
            </w:r>
          </w:p>
        </w:tc>
        <w:tc>
          <w:tcPr>
            <w:tcW w:w="625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Słabe strony</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sz w:val="24"/>
              </w:rPr>
            </w:pPr>
            <w:r w:rsidRPr="00CF7055">
              <w:rPr>
                <w:rFonts w:cstheme="minorHAnsi"/>
                <w:sz w:val="24"/>
              </w:rPr>
              <w:t>Wysoka liczba fundacji,  stowarzyszeń i organizacji społecznych</w:t>
            </w:r>
          </w:p>
          <w:p w:rsidR="006A36A5" w:rsidRPr="00CF7055" w:rsidRDefault="006A36A5" w:rsidP="006A36A5">
            <w:pPr>
              <w:spacing w:line="240" w:lineRule="auto"/>
              <w:jc w:val="left"/>
              <w:rPr>
                <w:rFonts w:cstheme="minorHAnsi"/>
                <w:sz w:val="24"/>
              </w:rPr>
            </w:pPr>
            <w:r w:rsidRPr="00CF7055">
              <w:rPr>
                <w:rFonts w:cstheme="minorHAnsi"/>
                <w:sz w:val="24"/>
              </w:rPr>
              <w:t>na 1000 mieszkańców</w:t>
            </w:r>
          </w:p>
        </w:tc>
        <w:tc>
          <w:tcPr>
            <w:tcW w:w="6253"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Niski poziom aktywności seniorów, wyrażony liczbą uczestników zajęć organizowanych przez kluby i domy seniora</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Silny sektor organizacji pozarządowych</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lang w:eastAsia="pl-PL"/>
              </w:rPr>
            </w:pPr>
            <w:r w:rsidRPr="00CF7055">
              <w:rPr>
                <w:rFonts w:cstheme="minorHAnsi"/>
                <w:sz w:val="24"/>
              </w:rPr>
              <w:t>Stosunkowo niska liczba przedsiębiorstw społecznych</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 xml:space="preserve">Stopniowe wdrażanie i realizacja mechanizmu budżetu obywatelskiego </w:t>
            </w:r>
            <w:r w:rsidRPr="00CF7055">
              <w:rPr>
                <w:rFonts w:cstheme="minorHAnsi"/>
                <w:sz w:val="24"/>
              </w:rPr>
              <w:br/>
              <w:t>w gminach</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lang w:eastAsia="pl-PL"/>
              </w:rPr>
            </w:pPr>
            <w:r w:rsidRPr="00CF7055">
              <w:rPr>
                <w:rFonts w:cstheme="minorHAnsi"/>
                <w:sz w:val="24"/>
              </w:rPr>
              <w:t>Niska dostępność podmiotów reintegracyjnych (CIS, KIS, ZAZ, WTZ)</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Default="006A36A5" w:rsidP="006A36A5"/>
    <w:p w:rsidR="006A36A5" w:rsidRDefault="006A36A5" w:rsidP="006A36A5"/>
    <w:p w:rsidR="006A36A5" w:rsidRPr="00CF7055" w:rsidRDefault="006A36A5" w:rsidP="006A36A5">
      <w:pPr>
        <w:spacing w:before="240" w:after="0" w:line="240" w:lineRule="auto"/>
        <w:rPr>
          <w:rFonts w:cstheme="minorHAnsi"/>
          <w:b/>
          <w:color w:val="000000" w:themeColor="text1"/>
          <w:sz w:val="28"/>
          <w:szCs w:val="52"/>
        </w:rPr>
      </w:pPr>
      <w:r w:rsidRPr="00CF7055">
        <w:rPr>
          <w:rFonts w:cstheme="minorHAnsi"/>
          <w:b/>
          <w:color w:val="000000" w:themeColor="text1"/>
          <w:sz w:val="28"/>
          <w:szCs w:val="52"/>
        </w:rPr>
        <w:t>Finanse samorządowe</w:t>
      </w:r>
    </w:p>
    <w:tbl>
      <w:tblPr>
        <w:tblStyle w:val="Tabela-Siatka1"/>
        <w:tblW w:w="14123" w:type="dxa"/>
        <w:tblLook w:val="04A0" w:firstRow="1" w:lastRow="0" w:firstColumn="1" w:lastColumn="0" w:noHBand="0" w:noVBand="1"/>
        <w:tblCaption w:val="analiza swot"/>
        <w:tblDescription w:val="moxne i słabe strony finansów samorządowych "/>
      </w:tblPr>
      <w:tblGrid>
        <w:gridCol w:w="876"/>
        <w:gridCol w:w="6191"/>
        <w:gridCol w:w="6253"/>
        <w:gridCol w:w="803"/>
      </w:tblGrid>
      <w:tr w:rsidR="006A36A5" w:rsidRPr="00CF7055" w:rsidTr="006A36A5">
        <w:trPr>
          <w:trHeight w:val="624"/>
          <w:tblHeader/>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Mocne strony</w:t>
            </w:r>
          </w:p>
        </w:tc>
        <w:tc>
          <w:tcPr>
            <w:tcW w:w="625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Słabe strony</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sz w:val="24"/>
              </w:rPr>
            </w:pPr>
            <w:r w:rsidRPr="00CF7055">
              <w:rPr>
                <w:rFonts w:cstheme="minorHAnsi"/>
                <w:sz w:val="24"/>
              </w:rPr>
              <w:t>Systematyczny wzrost liczby JST generujących nadwyżkę dochodów nad wydatkami na przestrzeni lat 2017-2021</w:t>
            </w:r>
          </w:p>
        </w:tc>
        <w:tc>
          <w:tcPr>
            <w:tcW w:w="6253"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Deficyt budżetowy we wszystkich JST współtworzących WrOF w 2022 roku</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Zachowany wskaźnik obliczonych zgodnie z art. 243 ustawy z dnia 27 sierpnia 2009 r. o finansach publicznych wszystkich JST</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lang w:eastAsia="pl-PL"/>
              </w:rPr>
            </w:pPr>
            <w:r w:rsidRPr="00CF7055">
              <w:rPr>
                <w:rFonts w:cstheme="minorHAnsi"/>
                <w:sz w:val="24"/>
              </w:rPr>
              <w:t>Spadek udziału dochodów własnych w dochodach ogółem na przestrzeni lat 2017-2021</w:t>
            </w:r>
          </w:p>
        </w:tc>
        <w:tc>
          <w:tcPr>
            <w:tcW w:w="803" w:type="dxa"/>
            <w:vAlign w:val="center"/>
          </w:tcPr>
          <w:p w:rsidR="006A36A5" w:rsidRPr="00CF7055" w:rsidRDefault="006A36A5" w:rsidP="006A36A5">
            <w:pPr>
              <w:spacing w:line="240" w:lineRule="auto"/>
              <w:jc w:val="left"/>
              <w:rPr>
                <w:rFonts w:cstheme="minorHAnsi"/>
                <w:bCs/>
                <w:color w:val="000000" w:themeColor="text1"/>
                <w:sz w:val="24"/>
                <w:szCs w:val="24"/>
              </w:rPr>
            </w:pPr>
            <w:r w:rsidRPr="00CF7055">
              <w:rPr>
                <w:rFonts w:cstheme="minorHAnsi"/>
                <w:bCs/>
                <w:color w:val="000000" w:themeColor="text1"/>
                <w:sz w:val="24"/>
                <w:szCs w:val="24"/>
              </w:rPr>
              <w:t>W</w:t>
            </w:r>
          </w:p>
        </w:tc>
      </w:tr>
      <w:tr w:rsidR="006A36A5" w:rsidRPr="00CF7055" w:rsidTr="006A36A5">
        <w:trPr>
          <w:trHeight w:val="624"/>
        </w:trPr>
        <w:tc>
          <w:tcPr>
            <w:tcW w:w="876" w:type="dxa"/>
            <w:vAlign w:val="center"/>
          </w:tcPr>
          <w:p w:rsidR="006A36A5" w:rsidRPr="00CF7055" w:rsidRDefault="006A36A5" w:rsidP="006A36A5">
            <w:pPr>
              <w:spacing w:line="240" w:lineRule="auto"/>
              <w:jc w:val="left"/>
              <w:rPr>
                <w:rFonts w:cstheme="minorHAnsi"/>
                <w:bCs/>
                <w:color w:val="000000" w:themeColor="text1"/>
                <w:sz w:val="24"/>
                <w:szCs w:val="24"/>
              </w:rPr>
            </w:pPr>
            <w:r>
              <w:rPr>
                <w:rFonts w:cstheme="minorHAnsi"/>
                <w:bCs/>
                <w:color w:val="000000" w:themeColor="text1"/>
                <w:sz w:val="24"/>
                <w:szCs w:val="24"/>
              </w:rPr>
              <w:t>S</w:t>
            </w:r>
          </w:p>
        </w:tc>
        <w:tc>
          <w:tcPr>
            <w:tcW w:w="6191" w:type="dxa"/>
            <w:vAlign w:val="center"/>
          </w:tcPr>
          <w:p w:rsidR="006A36A5" w:rsidRPr="00CF7055" w:rsidRDefault="006A36A5" w:rsidP="006A36A5">
            <w:pPr>
              <w:spacing w:line="240" w:lineRule="auto"/>
              <w:jc w:val="left"/>
              <w:rPr>
                <w:rFonts w:cstheme="minorHAnsi"/>
                <w:bCs/>
                <w:color w:val="000000" w:themeColor="text1"/>
                <w:sz w:val="24"/>
              </w:rPr>
            </w:pPr>
            <w:r w:rsidRPr="00CF7055">
              <w:rPr>
                <w:rFonts w:cstheme="minorHAnsi"/>
                <w:sz w:val="24"/>
              </w:rPr>
              <w:t>Duża liczba realizowanych projektów, zarówno z wykorzystaniem środków unijnych, jak i pozostałych źródeł finansowania</w:t>
            </w:r>
          </w:p>
        </w:tc>
        <w:tc>
          <w:tcPr>
            <w:tcW w:w="6253" w:type="dxa"/>
            <w:vAlign w:val="center"/>
          </w:tcPr>
          <w:p w:rsidR="006A36A5" w:rsidRPr="00CF7055" w:rsidRDefault="006A36A5" w:rsidP="006A36A5">
            <w:pPr>
              <w:spacing w:line="240" w:lineRule="auto"/>
              <w:jc w:val="left"/>
              <w:rPr>
                <w:rFonts w:cstheme="minorHAnsi"/>
                <w:bCs/>
                <w:noProof/>
                <w:color w:val="000000" w:themeColor="text1"/>
                <w:sz w:val="24"/>
                <w:lang w:eastAsia="pl-PL"/>
              </w:rPr>
            </w:pPr>
            <w:r w:rsidRPr="00CF7055">
              <w:rPr>
                <w:rFonts w:cstheme="minorHAnsi"/>
                <w:sz w:val="24"/>
              </w:rPr>
              <w:t>Zadłużenie na koniec 2022 roku osiąga poziom ponad 5 mld zł, z tego 85,5% stanowi zadłużenie Wrocławia</w:t>
            </w:r>
          </w:p>
        </w:tc>
        <w:tc>
          <w:tcPr>
            <w:tcW w:w="803" w:type="dxa"/>
            <w:vAlign w:val="center"/>
          </w:tcPr>
          <w:p w:rsidR="006A36A5" w:rsidRPr="00CF7055" w:rsidRDefault="001D1207" w:rsidP="006A36A5">
            <w:pPr>
              <w:spacing w:line="240" w:lineRule="auto"/>
              <w:jc w:val="left"/>
              <w:rPr>
                <w:rFonts w:cstheme="minorHAnsi"/>
                <w:bCs/>
                <w:color w:val="000000" w:themeColor="text1"/>
                <w:sz w:val="24"/>
                <w:szCs w:val="24"/>
              </w:rPr>
            </w:pPr>
            <w:r w:rsidRPr="00A417EF">
              <w:rPr>
                <w:rFonts w:cstheme="minorHAnsi"/>
                <w:bCs/>
                <w:color w:val="000000" w:themeColor="text1"/>
                <w:sz w:val="24"/>
                <w:szCs w:val="24"/>
              </w:rPr>
              <w:t>W</w:t>
            </w:r>
          </w:p>
        </w:tc>
      </w:tr>
    </w:tbl>
    <w:p w:rsidR="006A36A5" w:rsidRDefault="006A36A5" w:rsidP="006A36A5"/>
    <w:tbl>
      <w:tblPr>
        <w:tblStyle w:val="Tabela-Siatka"/>
        <w:tblW w:w="14123" w:type="dxa"/>
        <w:tblLook w:val="04A0" w:firstRow="1" w:lastRow="0" w:firstColumn="1" w:lastColumn="0" w:noHBand="0" w:noVBand="1"/>
        <w:tblCaption w:val="analiza swot"/>
        <w:tblDescription w:val="szanse i zagrożenia"/>
      </w:tblPr>
      <w:tblGrid>
        <w:gridCol w:w="876"/>
        <w:gridCol w:w="6207"/>
        <w:gridCol w:w="6237"/>
        <w:gridCol w:w="803"/>
      </w:tblGrid>
      <w:tr w:rsidR="006A36A5" w:rsidRPr="006A36A5" w:rsidTr="006A36A5">
        <w:trPr>
          <w:trHeight w:val="737"/>
          <w:tblHeader/>
        </w:trPr>
        <w:tc>
          <w:tcPr>
            <w:tcW w:w="876" w:type="dxa"/>
            <w:vAlign w:val="center"/>
          </w:tcPr>
          <w:p w:rsidR="006A36A5" w:rsidRPr="006A36A5" w:rsidRDefault="001D1207" w:rsidP="006A36A5">
            <w:pPr>
              <w:spacing w:line="240" w:lineRule="auto"/>
              <w:jc w:val="left"/>
              <w:rPr>
                <w:rFonts w:cstheme="minorHAnsi"/>
                <w:b/>
                <w:bCs/>
                <w:color w:val="000000" w:themeColor="text1"/>
                <w:sz w:val="24"/>
                <w:szCs w:val="24"/>
              </w:rPr>
            </w:pPr>
            <w:r>
              <w:rPr>
                <w:rFonts w:cstheme="minorHAnsi"/>
                <w:b/>
                <w:bCs/>
                <w:color w:val="000000" w:themeColor="text1"/>
                <w:sz w:val="24"/>
                <w:szCs w:val="24"/>
              </w:rPr>
              <w:t>O</w:t>
            </w:r>
          </w:p>
        </w:tc>
        <w:tc>
          <w:tcPr>
            <w:tcW w:w="6207"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 xml:space="preserve">Szanse </w:t>
            </w:r>
          </w:p>
        </w:tc>
        <w:tc>
          <w:tcPr>
            <w:tcW w:w="6237" w:type="dxa"/>
            <w:vAlign w:val="center"/>
          </w:tcPr>
          <w:p w:rsidR="006A36A5" w:rsidRPr="006A36A5" w:rsidRDefault="006A36A5" w:rsidP="006A36A5">
            <w:pPr>
              <w:spacing w:line="240" w:lineRule="auto"/>
              <w:jc w:val="left"/>
              <w:rPr>
                <w:rFonts w:cstheme="minorHAnsi"/>
                <w:b/>
                <w:bCs/>
                <w:color w:val="000000" w:themeColor="text1"/>
                <w:sz w:val="24"/>
                <w:szCs w:val="24"/>
              </w:rPr>
            </w:pPr>
            <w:r w:rsidRPr="006A36A5">
              <w:rPr>
                <w:rFonts w:cstheme="minorHAnsi"/>
                <w:b/>
                <w:bCs/>
                <w:color w:val="000000" w:themeColor="text1"/>
                <w:sz w:val="24"/>
                <w:szCs w:val="24"/>
              </w:rPr>
              <w:t xml:space="preserve">Zagrożenia </w:t>
            </w:r>
          </w:p>
        </w:tc>
        <w:tc>
          <w:tcPr>
            <w:tcW w:w="803" w:type="dxa"/>
            <w:vAlign w:val="center"/>
          </w:tcPr>
          <w:p w:rsidR="006A36A5" w:rsidRPr="006A36A5" w:rsidRDefault="001D1207" w:rsidP="006A36A5">
            <w:pPr>
              <w:spacing w:line="240" w:lineRule="auto"/>
              <w:jc w:val="left"/>
              <w:rPr>
                <w:rFonts w:cstheme="minorHAnsi"/>
                <w:b/>
                <w:bCs/>
                <w:color w:val="000000" w:themeColor="text1"/>
                <w:sz w:val="24"/>
                <w:szCs w:val="24"/>
              </w:rPr>
            </w:pPr>
            <w:r>
              <w:rPr>
                <w:rFonts w:cstheme="minorHAnsi"/>
                <w:b/>
                <w:bCs/>
                <w:color w:val="000000" w:themeColor="text1"/>
                <w:sz w:val="24"/>
                <w:szCs w:val="24"/>
              </w:rPr>
              <w:t>T</w:t>
            </w:r>
          </w:p>
        </w:tc>
      </w:tr>
      <w:tr w:rsidR="006A36A5" w:rsidRPr="00F41CD0" w:rsidTr="006A36A5">
        <w:trPr>
          <w:trHeight w:val="141"/>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Wzmocnienie potencjału i usprawnienie procesów administracyjnych w administracji publicznej i przedsiębiorstwach poprzez rozwój e-usług</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Dynamicznie zmieniająca się sytuacja geopolityczna w szczególności niestabilna sytuacja państw sąsiednich będąca wynikiem wojny w Ukrainie</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362"/>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Zwiększenie integracji przestrzennej obszaru poprzez wdrożenie rozwiązań P&amp;R, B&amp;R, uzupełnienie luk w infrastrukturze oraz wprowadzenie zintegrowanego biletu</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Niestabilność przepisów prawa m.in. przepisów podatkowych</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28"/>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Rozbudowa Odrzańskiej Drogi Wodnej i uruchomienie tramwaju na Odrze, wspomagającego komunikację publiczną</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Wzrost obciążenia samorządów, związany z nowym zakresem działań i większą odpowiedzialnością, bez zapewnienia wystarczających środków, co powoduje wzrost wydatków</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454"/>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Korzystna sytuacja na rynku pracy</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Zwiększenie poziomu inflacji oraz wzrost cen żywności i energii</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7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Zwiększenie poziomu konkurencyjności obszaru poprzez zapewnienie wysokiej jakości przestrzeni, poprawa jakości życia, zwiększenie poziomu bezpieczeństwa i zabezpieczenie funkcji środowiskowych</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 xml:space="preserve">Postępujący kryzys klimatyczny </w:t>
            </w:r>
          </w:p>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i możliwość wystąpienia ekstremalnych zjawisk pogodowych m.in. powodzi</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Aktywna współpraca i realizacja przedsięwzięć w ramach Dolnośląskiej Doliny Wodorowej</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Rosnąca konkurencyjność gospodarek innych obszarów funkcjonalnych krajowych i Europejskich</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Zwiększenie zakresu cyfryzacji usług publicznych</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Dalsze trudności w dostępie do placówek i usług edukacyjnych na obszarach rozwoju funkcji mieszkaniowych</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Wzrost popularności szkodnictwa zawodowego</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 xml:space="preserve">Niski dostęp do usług społecznych w wyniku ich centralizacji w szczególności w ośrodkach miejskich </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Rozwój postaw uczenia się przez całe życie z uwzględnieniem nowych technologii informacyjno-komunikacyjnych</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Zbyt wolny rozwój placówek służby zdrowia w stosunku do dynamicznych  zmian w rozmieszczeniu ludności</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Digitalizacja zasobów dziedzictwa kulturowego jak i informacji publicznych</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Odpływ kapitału zagranicznego do krajów o stabilniejszej polityce podatkowej oraz niższych kosztach produkcji i usług</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Rozwój potencjału turystyczno-wypoczynkowego</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Brak zmiany preferencji w kierunku powszechnego korzystania z transportu publicznego ze względu na jego niedostosowanie do potrzeb mieszkańców</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Rewitalizacja i konserwacja elementów materialnego dziedzictwa kulturowego</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Postępujące zadłużenie budżetów gmin WrOF</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Poprawa jakości powietrza poprzez wprowadzenie floty nisko i zero emisyjnego do transportu publicznego  systemu dostaw i komunikacji indywidualnej</w:t>
            </w:r>
          </w:p>
        </w:tc>
        <w:tc>
          <w:tcPr>
            <w:tcW w:w="6237" w:type="dxa"/>
            <w:vAlign w:val="center"/>
          </w:tcPr>
          <w:p w:rsidR="006A36A5" w:rsidRPr="00F41CD0" w:rsidRDefault="006A36A5" w:rsidP="00A1431D">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 xml:space="preserve">Wolne tempo przechodzenia  na rozwiązania zero i niskoemisyjne  spowodowane sytuacją ekonomiczną samorządów i sektora prywatnego </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r w:rsidR="006A36A5" w:rsidRPr="00F41CD0" w:rsidTr="006A36A5">
        <w:trPr>
          <w:trHeight w:val="680"/>
        </w:trPr>
        <w:tc>
          <w:tcPr>
            <w:tcW w:w="876"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O</w:t>
            </w:r>
          </w:p>
        </w:tc>
        <w:tc>
          <w:tcPr>
            <w:tcW w:w="620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 xml:space="preserve">Konieczność realizacji założeń zrównoważonej mobilności miejskiej </w:t>
            </w:r>
            <w:proofErr w:type="spellStart"/>
            <w:r w:rsidRPr="00F41CD0">
              <w:rPr>
                <w:rFonts w:cstheme="minorHAnsi"/>
                <w:bCs/>
                <w:color w:val="000000" w:themeColor="text1"/>
                <w:sz w:val="24"/>
                <w:szCs w:val="24"/>
              </w:rPr>
              <w:t>uspójni</w:t>
            </w:r>
            <w:proofErr w:type="spellEnd"/>
            <w:r w:rsidRPr="00F41CD0">
              <w:rPr>
                <w:rFonts w:cstheme="minorHAnsi"/>
                <w:bCs/>
                <w:color w:val="000000" w:themeColor="text1"/>
                <w:sz w:val="24"/>
                <w:szCs w:val="24"/>
              </w:rPr>
              <w:t xml:space="preserve"> rozwój  obszaru </w:t>
            </w:r>
          </w:p>
        </w:tc>
        <w:tc>
          <w:tcPr>
            <w:tcW w:w="6237"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Wolne tempo implementacji założeń polityki mobilnośc</w:t>
            </w:r>
            <w:r w:rsidR="00A1431D">
              <w:rPr>
                <w:rFonts w:cstheme="minorHAnsi"/>
                <w:bCs/>
                <w:color w:val="000000" w:themeColor="text1"/>
                <w:sz w:val="24"/>
                <w:szCs w:val="24"/>
              </w:rPr>
              <w:t xml:space="preserve">i spowodowane niezadawalającym poziomem </w:t>
            </w:r>
            <w:r w:rsidRPr="00F41CD0">
              <w:rPr>
                <w:rFonts w:cstheme="minorHAnsi"/>
                <w:bCs/>
                <w:color w:val="000000" w:themeColor="text1"/>
                <w:sz w:val="24"/>
                <w:szCs w:val="24"/>
              </w:rPr>
              <w:t>finansowania zewnętrznego i oporem społecznym</w:t>
            </w:r>
          </w:p>
        </w:tc>
        <w:tc>
          <w:tcPr>
            <w:tcW w:w="803" w:type="dxa"/>
            <w:vAlign w:val="center"/>
          </w:tcPr>
          <w:p w:rsidR="006A36A5" w:rsidRPr="00F41CD0" w:rsidRDefault="006A36A5" w:rsidP="006A36A5">
            <w:pPr>
              <w:spacing w:line="240" w:lineRule="auto"/>
              <w:jc w:val="left"/>
              <w:rPr>
                <w:rFonts w:cstheme="minorHAnsi"/>
                <w:bCs/>
                <w:color w:val="000000" w:themeColor="text1"/>
                <w:sz w:val="24"/>
                <w:szCs w:val="24"/>
              </w:rPr>
            </w:pPr>
            <w:r w:rsidRPr="00F41CD0">
              <w:rPr>
                <w:rFonts w:cstheme="minorHAnsi"/>
                <w:bCs/>
                <w:color w:val="000000" w:themeColor="text1"/>
                <w:sz w:val="24"/>
                <w:szCs w:val="24"/>
              </w:rPr>
              <w:t>T</w:t>
            </w:r>
          </w:p>
        </w:tc>
      </w:tr>
    </w:tbl>
    <w:p w:rsidR="0094195E" w:rsidRDefault="0094195E"/>
    <w:p w:rsidR="00165241" w:rsidRDefault="00165241"/>
    <w:p w:rsidR="006B148F" w:rsidRPr="00B27A13" w:rsidRDefault="006B148F" w:rsidP="006B148F">
      <w:pPr>
        <w:pStyle w:val="nad"/>
        <w:rPr>
          <w:rFonts w:asciiTheme="minorHAnsi" w:hAnsiTheme="minorHAnsi" w:cstheme="minorHAnsi"/>
        </w:rPr>
        <w:sectPr w:rsidR="006B148F" w:rsidRPr="00B27A13" w:rsidSect="007529E6">
          <w:footerReference w:type="even" r:id="rId39"/>
          <w:footerReference w:type="default" r:id="rId40"/>
          <w:pgSz w:w="16839" w:h="11907" w:orient="landscape" w:code="9"/>
          <w:pgMar w:top="1417" w:right="1417" w:bottom="1417" w:left="1417" w:header="709" w:footer="709" w:gutter="0"/>
          <w:cols w:space="708"/>
          <w:noEndnote/>
          <w:docGrid w:linePitch="299"/>
        </w:sectPr>
      </w:pPr>
    </w:p>
    <w:p w:rsidR="00E87F89" w:rsidRPr="006A36A5" w:rsidRDefault="008D33FC" w:rsidP="006A36A5">
      <w:pPr>
        <w:pStyle w:val="Nagwek1"/>
      </w:pPr>
      <w:bookmarkStart w:id="156" w:name="_Toc143673218"/>
      <w:bookmarkEnd w:id="13"/>
      <w:bookmarkEnd w:id="14"/>
      <w:bookmarkEnd w:id="15"/>
      <w:r w:rsidRPr="006A36A5">
        <w:t>III</w:t>
      </w:r>
      <w:r w:rsidR="00A635CD" w:rsidRPr="006A36A5">
        <w:t>.</w:t>
      </w:r>
      <w:r w:rsidR="008437A5" w:rsidRPr="006A36A5">
        <w:t xml:space="preserve"> </w:t>
      </w:r>
      <w:r w:rsidR="00F50E28" w:rsidRPr="006A36A5">
        <w:t>Założenia strategiczne – poziom strategiczny</w:t>
      </w:r>
      <w:bookmarkEnd w:id="156"/>
    </w:p>
    <w:p w:rsidR="0000651F" w:rsidRPr="006A36A5" w:rsidRDefault="0000651F" w:rsidP="006A36A5">
      <w:pPr>
        <w:spacing w:after="80" w:line="336" w:lineRule="auto"/>
        <w:jc w:val="left"/>
        <w:rPr>
          <w:color w:val="000000" w:themeColor="text1"/>
          <w:sz w:val="24"/>
        </w:rPr>
      </w:pPr>
      <w:r w:rsidRPr="006A36A5">
        <w:rPr>
          <w:b/>
          <w:color w:val="000000" w:themeColor="text1"/>
          <w:sz w:val="24"/>
        </w:rPr>
        <w:t>Strategia Zintegrowanych Inwestycji Terytorialnych Wrocławskiego Obszaru Funkcjonalnego na lata 2021-2027</w:t>
      </w:r>
      <w:r w:rsidR="003B321A" w:rsidRPr="006A36A5">
        <w:rPr>
          <w:b/>
          <w:i/>
          <w:color w:val="000000" w:themeColor="text1"/>
          <w:sz w:val="24"/>
        </w:rPr>
        <w:t xml:space="preserve"> </w:t>
      </w:r>
      <w:r w:rsidRPr="006A36A5">
        <w:rPr>
          <w:color w:val="000000" w:themeColor="text1"/>
          <w:sz w:val="24"/>
        </w:rPr>
        <w:t>jest klasyczny</w:t>
      </w:r>
      <w:r w:rsidR="001D3B5E" w:rsidRPr="006A36A5">
        <w:rPr>
          <w:color w:val="000000" w:themeColor="text1"/>
          <w:sz w:val="24"/>
        </w:rPr>
        <w:t xml:space="preserve">m dokumentem strategicznym. </w:t>
      </w:r>
      <w:r w:rsidR="00173E0D" w:rsidRPr="006A36A5">
        <w:rPr>
          <w:color w:val="000000" w:themeColor="text1"/>
          <w:sz w:val="24"/>
        </w:rPr>
        <w:t>W </w:t>
      </w:r>
      <w:r w:rsidRPr="006A36A5">
        <w:rPr>
          <w:color w:val="000000" w:themeColor="text1"/>
          <w:sz w:val="24"/>
        </w:rPr>
        <w:t>istniejących uwarunkowaniach pra</w:t>
      </w:r>
      <w:r w:rsidR="00E9126B" w:rsidRPr="006A36A5">
        <w:rPr>
          <w:color w:val="000000" w:themeColor="text1"/>
          <w:sz w:val="24"/>
        </w:rPr>
        <w:t>w</w:t>
      </w:r>
      <w:r w:rsidRPr="006A36A5">
        <w:rPr>
          <w:color w:val="000000" w:themeColor="text1"/>
          <w:sz w:val="24"/>
        </w:rPr>
        <w:t>nych pełn</w:t>
      </w:r>
      <w:r w:rsidR="001D3B5E" w:rsidRPr="006A36A5">
        <w:rPr>
          <w:color w:val="000000" w:themeColor="text1"/>
          <w:sz w:val="24"/>
        </w:rPr>
        <w:t xml:space="preserve">i rolę strategii terytorialnej. Jednocześnie </w:t>
      </w:r>
      <w:r w:rsidRPr="006A36A5">
        <w:rPr>
          <w:color w:val="000000" w:themeColor="text1"/>
          <w:sz w:val="24"/>
        </w:rPr>
        <w:t>posiada strukturę, któr</w:t>
      </w:r>
      <w:r w:rsidR="00462BA7" w:rsidRPr="006A36A5">
        <w:rPr>
          <w:color w:val="000000" w:themeColor="text1"/>
          <w:sz w:val="24"/>
        </w:rPr>
        <w:t>a w kolejnych latach pozwoli na </w:t>
      </w:r>
      <w:r w:rsidR="001D3B5E" w:rsidRPr="006A36A5">
        <w:rPr>
          <w:color w:val="000000" w:themeColor="text1"/>
          <w:sz w:val="24"/>
        </w:rPr>
        <w:t xml:space="preserve">jej </w:t>
      </w:r>
      <w:r w:rsidRPr="006A36A5">
        <w:rPr>
          <w:color w:val="000000" w:themeColor="text1"/>
          <w:sz w:val="24"/>
        </w:rPr>
        <w:t>przekształcenie</w:t>
      </w:r>
      <w:r w:rsidR="00E9126B" w:rsidRPr="006A36A5">
        <w:rPr>
          <w:color w:val="000000" w:themeColor="text1"/>
          <w:sz w:val="24"/>
        </w:rPr>
        <w:t xml:space="preserve"> w strategię ponadlokalną w </w:t>
      </w:r>
      <w:r w:rsidRPr="006A36A5">
        <w:rPr>
          <w:color w:val="000000" w:themeColor="text1"/>
          <w:sz w:val="24"/>
        </w:rPr>
        <w:t>rozumieniu</w:t>
      </w:r>
      <w:r w:rsidR="00E9126B" w:rsidRPr="006A36A5">
        <w:rPr>
          <w:color w:val="000000" w:themeColor="text1"/>
          <w:sz w:val="24"/>
        </w:rPr>
        <w:t xml:space="preserve"> przepisów prawa. </w:t>
      </w:r>
      <w:r w:rsidR="001D3B5E" w:rsidRPr="006A36A5">
        <w:rPr>
          <w:color w:val="000000" w:themeColor="text1"/>
          <w:sz w:val="24"/>
        </w:rPr>
        <w:t xml:space="preserve">Wskazana elastyczność </w:t>
      </w:r>
      <w:r w:rsidR="00FE06E7" w:rsidRPr="006A36A5">
        <w:rPr>
          <w:color w:val="000000" w:themeColor="text1"/>
          <w:sz w:val="24"/>
        </w:rPr>
        <w:t>niesie</w:t>
      </w:r>
      <w:r w:rsidRPr="006A36A5">
        <w:rPr>
          <w:color w:val="000000" w:themeColor="text1"/>
          <w:sz w:val="24"/>
        </w:rPr>
        <w:t xml:space="preserve"> ważne kon</w:t>
      </w:r>
      <w:r w:rsidR="00E9126B" w:rsidRPr="006A36A5">
        <w:rPr>
          <w:color w:val="000000" w:themeColor="text1"/>
          <w:sz w:val="24"/>
        </w:rPr>
        <w:t>sekwencje</w:t>
      </w:r>
      <w:r w:rsidR="00FE06E7" w:rsidRPr="006A36A5">
        <w:rPr>
          <w:color w:val="000000" w:themeColor="text1"/>
          <w:sz w:val="24"/>
        </w:rPr>
        <w:t>,</w:t>
      </w:r>
      <w:r w:rsidR="00E9126B" w:rsidRPr="006A36A5">
        <w:rPr>
          <w:color w:val="000000" w:themeColor="text1"/>
          <w:sz w:val="24"/>
        </w:rPr>
        <w:t xml:space="preserve"> szczególnie istotne w </w:t>
      </w:r>
      <w:r w:rsidRPr="006A36A5">
        <w:rPr>
          <w:color w:val="000000" w:themeColor="text1"/>
          <w:sz w:val="24"/>
        </w:rPr>
        <w:t>kontekście koncepcji strategicznej opis</w:t>
      </w:r>
      <w:r w:rsidR="00173E0D" w:rsidRPr="006A36A5">
        <w:rPr>
          <w:color w:val="000000" w:themeColor="text1"/>
          <w:sz w:val="24"/>
        </w:rPr>
        <w:t>anej i </w:t>
      </w:r>
      <w:r w:rsidRPr="006A36A5">
        <w:rPr>
          <w:color w:val="000000" w:themeColor="text1"/>
          <w:sz w:val="24"/>
        </w:rPr>
        <w:t>rozwiniętej w przedmiotowym rozdziale.</w:t>
      </w:r>
    </w:p>
    <w:p w:rsidR="0000651F" w:rsidRPr="006A36A5" w:rsidRDefault="0000651F" w:rsidP="006A36A5">
      <w:pPr>
        <w:spacing w:after="80" w:line="336" w:lineRule="auto"/>
        <w:jc w:val="left"/>
        <w:rPr>
          <w:color w:val="000000" w:themeColor="text1"/>
          <w:sz w:val="24"/>
        </w:rPr>
      </w:pPr>
      <w:r w:rsidRPr="006A36A5">
        <w:rPr>
          <w:color w:val="000000" w:themeColor="text1"/>
          <w:sz w:val="24"/>
        </w:rPr>
        <w:t>Po pierwsze</w:t>
      </w:r>
      <w:r w:rsidR="00FE06E7" w:rsidRPr="006A36A5">
        <w:rPr>
          <w:color w:val="000000" w:themeColor="text1"/>
          <w:sz w:val="24"/>
        </w:rPr>
        <w:t>,</w:t>
      </w:r>
      <w:r w:rsidRPr="006A36A5">
        <w:rPr>
          <w:color w:val="000000" w:themeColor="text1"/>
          <w:sz w:val="24"/>
        </w:rPr>
        <w:t xml:space="preserve"> struktura celów i kierunków działań ma szeroki</w:t>
      </w:r>
      <w:r w:rsidR="00E9126B" w:rsidRPr="006A36A5">
        <w:rPr>
          <w:color w:val="000000" w:themeColor="text1"/>
          <w:sz w:val="24"/>
        </w:rPr>
        <w:t>, rozbudowan</w:t>
      </w:r>
      <w:r w:rsidR="00C13570" w:rsidRPr="006A36A5">
        <w:rPr>
          <w:color w:val="000000" w:themeColor="text1"/>
          <w:sz w:val="24"/>
        </w:rPr>
        <w:t xml:space="preserve">y charakter i nie ogranicza się </w:t>
      </w:r>
      <w:r w:rsidRPr="006A36A5">
        <w:rPr>
          <w:color w:val="000000" w:themeColor="text1"/>
          <w:sz w:val="24"/>
        </w:rPr>
        <w:t xml:space="preserve">do wąsko definiowanej interwencji </w:t>
      </w:r>
      <w:r w:rsidR="001D3B5E" w:rsidRPr="006A36A5">
        <w:rPr>
          <w:color w:val="000000" w:themeColor="text1"/>
          <w:sz w:val="24"/>
        </w:rPr>
        <w:t>w formule zintegrowanych inwestycji terytorialnych. W konsekwencji</w:t>
      </w:r>
      <w:r w:rsidRPr="006A36A5">
        <w:rPr>
          <w:color w:val="000000" w:themeColor="text1"/>
          <w:sz w:val="24"/>
        </w:rPr>
        <w:t xml:space="preserve"> zaplanowane działania</w:t>
      </w:r>
      <w:r w:rsidR="00FE06E7" w:rsidRPr="006A36A5">
        <w:rPr>
          <w:color w:val="000000" w:themeColor="text1"/>
          <w:sz w:val="24"/>
        </w:rPr>
        <w:t xml:space="preserve"> i</w:t>
      </w:r>
      <w:r w:rsidRPr="006A36A5">
        <w:rPr>
          <w:color w:val="000000" w:themeColor="text1"/>
          <w:sz w:val="24"/>
        </w:rPr>
        <w:t xml:space="preserve"> wyszczególnione potencjalne typy prz</w:t>
      </w:r>
      <w:r w:rsidR="00E9126B" w:rsidRPr="006A36A5">
        <w:rPr>
          <w:color w:val="000000" w:themeColor="text1"/>
          <w:sz w:val="24"/>
        </w:rPr>
        <w:t>edsięwzięć nie zawężają</w:t>
      </w:r>
      <w:r w:rsidRPr="006A36A5">
        <w:rPr>
          <w:color w:val="000000" w:themeColor="text1"/>
          <w:sz w:val="24"/>
        </w:rPr>
        <w:t xml:space="preserve"> się do znanych na ten moment programów operacyjnych i innych środków zewnętrznych. Struktura celów i kierunków działań jest wypadkową potrzeb artykułowanych na poziomie społeczności lokalnej (badania ankietowe), głosów eksperckich (badania jakościowe) oraz analiz współtworzonych z gminami tworzącymi Wrocławski Obszar Funkcjonalny. </w:t>
      </w:r>
      <w:r w:rsidR="00E9126B" w:rsidRPr="006A36A5">
        <w:rPr>
          <w:color w:val="000000" w:themeColor="text1"/>
          <w:sz w:val="24"/>
        </w:rPr>
        <w:t>Z</w:t>
      </w:r>
      <w:r w:rsidRPr="006A36A5">
        <w:rPr>
          <w:color w:val="000000" w:themeColor="text1"/>
          <w:sz w:val="24"/>
        </w:rPr>
        <w:t>aprezentowane założenia</w:t>
      </w:r>
      <w:r w:rsidR="00E9126B" w:rsidRPr="006A36A5">
        <w:rPr>
          <w:color w:val="000000" w:themeColor="text1"/>
          <w:sz w:val="24"/>
        </w:rPr>
        <w:t xml:space="preserve"> strategiczne stanowią próbę kompleksowego spojrzenia na </w:t>
      </w:r>
      <w:r w:rsidRPr="006A36A5">
        <w:rPr>
          <w:color w:val="000000" w:themeColor="text1"/>
          <w:sz w:val="24"/>
        </w:rPr>
        <w:t>identyfikowan</w:t>
      </w:r>
      <w:r w:rsidR="001D3B5E" w:rsidRPr="006A36A5">
        <w:rPr>
          <w:color w:val="000000" w:themeColor="text1"/>
          <w:sz w:val="24"/>
        </w:rPr>
        <w:t>e potrzeby rozwojowe. S</w:t>
      </w:r>
      <w:r w:rsidR="00B902DC" w:rsidRPr="006A36A5">
        <w:rPr>
          <w:color w:val="000000" w:themeColor="text1"/>
          <w:sz w:val="24"/>
        </w:rPr>
        <w:t>tanowią</w:t>
      </w:r>
      <w:r w:rsidR="00E9126B" w:rsidRPr="006A36A5">
        <w:rPr>
          <w:color w:val="000000" w:themeColor="text1"/>
          <w:sz w:val="24"/>
        </w:rPr>
        <w:t xml:space="preserve"> one </w:t>
      </w:r>
      <w:r w:rsidR="00B902DC" w:rsidRPr="006A36A5">
        <w:rPr>
          <w:color w:val="000000" w:themeColor="text1"/>
          <w:sz w:val="24"/>
        </w:rPr>
        <w:t>odpowiedź</w:t>
      </w:r>
      <w:r w:rsidR="00065E06" w:rsidRPr="006A36A5">
        <w:rPr>
          <w:color w:val="000000" w:themeColor="text1"/>
          <w:sz w:val="24"/>
        </w:rPr>
        <w:t xml:space="preserve"> na </w:t>
      </w:r>
      <w:r w:rsidR="00D72A54" w:rsidRPr="006A36A5">
        <w:rPr>
          <w:color w:val="000000" w:themeColor="text1"/>
          <w:sz w:val="24"/>
        </w:rPr>
        <w:t xml:space="preserve">szeroki katalog </w:t>
      </w:r>
      <w:r w:rsidR="00950B1E" w:rsidRPr="006A36A5">
        <w:rPr>
          <w:color w:val="000000" w:themeColor="text1"/>
          <w:sz w:val="24"/>
        </w:rPr>
        <w:t>potrzeb</w:t>
      </w:r>
      <w:r w:rsidR="001D3B5E" w:rsidRPr="006A36A5">
        <w:rPr>
          <w:color w:val="000000" w:themeColor="text1"/>
          <w:sz w:val="24"/>
        </w:rPr>
        <w:t>,</w:t>
      </w:r>
      <w:r w:rsidR="00852A20" w:rsidRPr="006A36A5">
        <w:rPr>
          <w:color w:val="000000" w:themeColor="text1"/>
          <w:sz w:val="24"/>
        </w:rPr>
        <w:t xml:space="preserve"> a nie </w:t>
      </w:r>
      <w:r w:rsidR="00950B1E" w:rsidRPr="006A36A5">
        <w:rPr>
          <w:color w:val="000000" w:themeColor="text1"/>
          <w:sz w:val="24"/>
        </w:rPr>
        <w:t xml:space="preserve">tylko </w:t>
      </w:r>
      <w:r w:rsidR="00852A20" w:rsidRPr="006A36A5">
        <w:rPr>
          <w:color w:val="000000" w:themeColor="text1"/>
          <w:sz w:val="24"/>
        </w:rPr>
        <w:t>dostosowywan</w:t>
      </w:r>
      <w:r w:rsidR="004F2C2A" w:rsidRPr="006A36A5">
        <w:rPr>
          <w:color w:val="000000" w:themeColor="text1"/>
          <w:sz w:val="24"/>
        </w:rPr>
        <w:t>i</w:t>
      </w:r>
      <w:r w:rsidR="001B22E2" w:rsidRPr="006A36A5">
        <w:rPr>
          <w:color w:val="000000" w:themeColor="text1"/>
          <w:sz w:val="24"/>
        </w:rPr>
        <w:t>e do </w:t>
      </w:r>
      <w:r w:rsidR="00852A20" w:rsidRPr="006A36A5">
        <w:rPr>
          <w:color w:val="000000" w:themeColor="text1"/>
          <w:sz w:val="24"/>
        </w:rPr>
        <w:t>wąski</w:t>
      </w:r>
      <w:r w:rsidR="001D3B5E" w:rsidRPr="006A36A5">
        <w:rPr>
          <w:color w:val="000000" w:themeColor="text1"/>
          <w:sz w:val="24"/>
        </w:rPr>
        <w:t>ch</w:t>
      </w:r>
      <w:r w:rsidR="008437A5" w:rsidRPr="006A36A5">
        <w:rPr>
          <w:color w:val="000000" w:themeColor="text1"/>
          <w:sz w:val="24"/>
        </w:rPr>
        <w:t xml:space="preserve"> </w:t>
      </w:r>
      <w:r w:rsidR="00852A20" w:rsidRPr="006A36A5">
        <w:rPr>
          <w:color w:val="000000" w:themeColor="text1"/>
          <w:sz w:val="24"/>
        </w:rPr>
        <w:t>r</w:t>
      </w:r>
      <w:r w:rsidR="00950B1E" w:rsidRPr="006A36A5">
        <w:rPr>
          <w:color w:val="000000" w:themeColor="text1"/>
          <w:sz w:val="24"/>
        </w:rPr>
        <w:t>am potencjalnie dostępnych</w:t>
      </w:r>
      <w:r w:rsidR="008437A5" w:rsidRPr="006A36A5">
        <w:rPr>
          <w:color w:val="000000" w:themeColor="text1"/>
          <w:sz w:val="24"/>
        </w:rPr>
        <w:t xml:space="preserve"> </w:t>
      </w:r>
      <w:r w:rsidRPr="006A36A5">
        <w:rPr>
          <w:color w:val="000000" w:themeColor="text1"/>
          <w:sz w:val="24"/>
        </w:rPr>
        <w:t>źród</w:t>
      </w:r>
      <w:r w:rsidR="00C13570" w:rsidRPr="006A36A5">
        <w:rPr>
          <w:color w:val="000000" w:themeColor="text1"/>
          <w:sz w:val="24"/>
        </w:rPr>
        <w:t>eł</w:t>
      </w:r>
      <w:r w:rsidRPr="006A36A5">
        <w:rPr>
          <w:color w:val="000000" w:themeColor="text1"/>
          <w:sz w:val="24"/>
        </w:rPr>
        <w:t xml:space="preserve"> f</w:t>
      </w:r>
      <w:r w:rsidR="00852A20" w:rsidRPr="006A36A5">
        <w:rPr>
          <w:color w:val="000000" w:themeColor="text1"/>
          <w:sz w:val="24"/>
        </w:rPr>
        <w:t>inansowania</w:t>
      </w:r>
      <w:r w:rsidRPr="006A36A5">
        <w:rPr>
          <w:color w:val="000000" w:themeColor="text1"/>
          <w:sz w:val="24"/>
        </w:rPr>
        <w:t xml:space="preserve">. </w:t>
      </w:r>
    </w:p>
    <w:p w:rsidR="0000651F" w:rsidRPr="006A36A5" w:rsidRDefault="0000651F" w:rsidP="006A36A5">
      <w:pPr>
        <w:spacing w:after="80" w:line="336" w:lineRule="auto"/>
        <w:jc w:val="left"/>
        <w:rPr>
          <w:color w:val="000000" w:themeColor="text1"/>
          <w:sz w:val="24"/>
        </w:rPr>
      </w:pPr>
      <w:r w:rsidRPr="006A36A5">
        <w:rPr>
          <w:color w:val="000000" w:themeColor="text1"/>
          <w:sz w:val="24"/>
        </w:rPr>
        <w:t>Po drugie, następujące po sobie zagadnienia</w:t>
      </w:r>
      <w:r w:rsidR="00852A20" w:rsidRPr="006A36A5">
        <w:rPr>
          <w:color w:val="000000" w:themeColor="text1"/>
          <w:sz w:val="24"/>
        </w:rPr>
        <w:t>,</w:t>
      </w:r>
      <w:r w:rsidRPr="006A36A5">
        <w:rPr>
          <w:color w:val="000000" w:themeColor="text1"/>
          <w:sz w:val="24"/>
        </w:rPr>
        <w:t xml:space="preserve"> poszczególne prioryt</w:t>
      </w:r>
      <w:r w:rsidR="00852A20" w:rsidRPr="006A36A5">
        <w:rPr>
          <w:color w:val="000000" w:themeColor="text1"/>
          <w:sz w:val="24"/>
        </w:rPr>
        <w:t>ety i szczegółowe karty zadań w </w:t>
      </w:r>
      <w:r w:rsidRPr="006A36A5">
        <w:rPr>
          <w:color w:val="000000" w:themeColor="text1"/>
          <w:sz w:val="24"/>
        </w:rPr>
        <w:t xml:space="preserve">obiektywny sposób przedstawiają istniejące potrzeby. </w:t>
      </w:r>
      <w:r w:rsidR="001D1207">
        <w:rPr>
          <w:color w:val="000000" w:themeColor="text1"/>
          <w:sz w:val="24"/>
        </w:rPr>
        <w:t>Starano się w sposób jasny i </w:t>
      </w:r>
      <w:r w:rsidR="001D3B5E" w:rsidRPr="006A36A5">
        <w:rPr>
          <w:color w:val="000000" w:themeColor="text1"/>
          <w:sz w:val="24"/>
        </w:rPr>
        <w:t>klarowny przejść</w:t>
      </w:r>
      <w:r w:rsidRPr="006A36A5">
        <w:rPr>
          <w:color w:val="000000" w:themeColor="text1"/>
          <w:sz w:val="24"/>
        </w:rPr>
        <w:t xml:space="preserve"> od deficytów, słabych stron</w:t>
      </w:r>
      <w:r w:rsidR="00852A20" w:rsidRPr="006A36A5">
        <w:rPr>
          <w:color w:val="000000" w:themeColor="text1"/>
          <w:sz w:val="24"/>
        </w:rPr>
        <w:t xml:space="preserve"> oraz bilansu strategicznego do </w:t>
      </w:r>
      <w:r w:rsidRPr="006A36A5">
        <w:rPr>
          <w:color w:val="000000" w:themeColor="text1"/>
          <w:sz w:val="24"/>
        </w:rPr>
        <w:t>obiektywnego zilustrowania celów. Można stwierdzić, że struktura celów (zarówno na poziomie operacyjnym</w:t>
      </w:r>
      <w:r w:rsidR="001D3B5E" w:rsidRPr="006A36A5">
        <w:rPr>
          <w:color w:val="000000" w:themeColor="text1"/>
          <w:sz w:val="24"/>
        </w:rPr>
        <w:t>,</w:t>
      </w:r>
      <w:r w:rsidRPr="006A36A5">
        <w:rPr>
          <w:color w:val="000000" w:themeColor="text1"/>
          <w:sz w:val="24"/>
        </w:rPr>
        <w:t xml:space="preserve"> jak i strategicznym) jest odbiciem problemów</w:t>
      </w:r>
      <w:r w:rsidR="001D3B5E" w:rsidRPr="006A36A5">
        <w:rPr>
          <w:color w:val="000000" w:themeColor="text1"/>
          <w:sz w:val="24"/>
        </w:rPr>
        <w:t>,</w:t>
      </w:r>
      <w:r w:rsidRPr="006A36A5">
        <w:rPr>
          <w:color w:val="000000" w:themeColor="text1"/>
          <w:sz w:val="24"/>
        </w:rPr>
        <w:t xml:space="preserve"> ale też potencjałów, które należy wzmacniać. </w:t>
      </w:r>
    </w:p>
    <w:p w:rsidR="0000651F" w:rsidRPr="006A36A5" w:rsidRDefault="0000651F" w:rsidP="006A36A5">
      <w:pPr>
        <w:spacing w:after="80" w:line="336" w:lineRule="auto"/>
        <w:jc w:val="left"/>
        <w:rPr>
          <w:color w:val="000000" w:themeColor="text1"/>
          <w:sz w:val="24"/>
        </w:rPr>
      </w:pPr>
      <w:r w:rsidRPr="006A36A5">
        <w:rPr>
          <w:color w:val="000000" w:themeColor="text1"/>
          <w:sz w:val="24"/>
        </w:rPr>
        <w:t>Po trzecie</w:t>
      </w:r>
      <w:r w:rsidR="00FE06E7" w:rsidRPr="006A36A5">
        <w:rPr>
          <w:color w:val="000000" w:themeColor="text1"/>
          <w:sz w:val="24"/>
        </w:rPr>
        <w:t>,</w:t>
      </w:r>
      <w:r w:rsidRPr="006A36A5">
        <w:rPr>
          <w:color w:val="000000" w:themeColor="text1"/>
          <w:sz w:val="24"/>
        </w:rPr>
        <w:t xml:space="preserve"> warto podkreślić, że nominalny okres obowiązywania do</w:t>
      </w:r>
      <w:r w:rsidR="00852A20" w:rsidRPr="006A36A5">
        <w:rPr>
          <w:color w:val="000000" w:themeColor="text1"/>
          <w:sz w:val="24"/>
        </w:rPr>
        <w:t xml:space="preserve">kumentu </w:t>
      </w:r>
      <w:r w:rsidR="00D15936" w:rsidRPr="006A36A5">
        <w:rPr>
          <w:color w:val="000000" w:themeColor="text1"/>
          <w:sz w:val="24"/>
        </w:rPr>
        <w:t xml:space="preserve">dotyczy roku </w:t>
      </w:r>
      <w:r w:rsidR="00901D6A" w:rsidRPr="006A36A5">
        <w:rPr>
          <w:color w:val="000000" w:themeColor="text1"/>
          <w:sz w:val="24"/>
        </w:rPr>
        <w:t>2027+</w:t>
      </w:r>
      <w:r w:rsidR="00852A20" w:rsidRPr="006A36A5">
        <w:rPr>
          <w:color w:val="000000" w:themeColor="text1"/>
          <w:sz w:val="24"/>
        </w:rPr>
        <w:t xml:space="preserve"> (zbieżny z </w:t>
      </w:r>
      <w:r w:rsidRPr="006A36A5">
        <w:rPr>
          <w:color w:val="000000" w:themeColor="text1"/>
          <w:sz w:val="24"/>
        </w:rPr>
        <w:t>perspektywą budżetową Unii Europejskiej)</w:t>
      </w:r>
      <w:r w:rsidR="001D3B5E" w:rsidRPr="006A36A5">
        <w:rPr>
          <w:color w:val="000000" w:themeColor="text1"/>
          <w:sz w:val="24"/>
        </w:rPr>
        <w:t>,</w:t>
      </w:r>
      <w:r w:rsidR="00D15936" w:rsidRPr="006A36A5">
        <w:rPr>
          <w:color w:val="000000" w:themeColor="text1"/>
          <w:sz w:val="24"/>
        </w:rPr>
        <w:t xml:space="preserve">jednakże </w:t>
      </w:r>
      <w:r w:rsidRPr="006A36A5">
        <w:rPr>
          <w:color w:val="000000" w:themeColor="text1"/>
          <w:sz w:val="24"/>
        </w:rPr>
        <w:t xml:space="preserve">nie wyklucza </w:t>
      </w:r>
      <w:r w:rsidR="00D15936" w:rsidRPr="006A36A5">
        <w:rPr>
          <w:color w:val="000000" w:themeColor="text1"/>
          <w:sz w:val="24"/>
        </w:rPr>
        <w:t xml:space="preserve">to </w:t>
      </w:r>
      <w:r w:rsidRPr="006A36A5">
        <w:rPr>
          <w:color w:val="000000" w:themeColor="text1"/>
          <w:sz w:val="24"/>
        </w:rPr>
        <w:t>definiowani</w:t>
      </w:r>
      <w:r w:rsidR="001D3B5E" w:rsidRPr="006A36A5">
        <w:rPr>
          <w:color w:val="000000" w:themeColor="text1"/>
          <w:sz w:val="24"/>
        </w:rPr>
        <w:t>a założeń wykraczających poza tę</w:t>
      </w:r>
      <w:r w:rsidRPr="006A36A5">
        <w:rPr>
          <w:color w:val="000000" w:themeColor="text1"/>
          <w:sz w:val="24"/>
        </w:rPr>
        <w:t xml:space="preserve"> datę. Tym samym przedmiotową strategi</w:t>
      </w:r>
      <w:r w:rsidR="00B4777E" w:rsidRPr="006A36A5">
        <w:rPr>
          <w:color w:val="000000" w:themeColor="text1"/>
          <w:sz w:val="24"/>
        </w:rPr>
        <w:t>ę należy odbierać jako wstęp do </w:t>
      </w:r>
      <w:r w:rsidR="00932F31" w:rsidRPr="006A36A5">
        <w:rPr>
          <w:color w:val="000000" w:themeColor="text1"/>
          <w:sz w:val="24"/>
        </w:rPr>
        <w:t>planowania zintegrowanego rozwoju</w:t>
      </w:r>
      <w:r w:rsidRPr="006A36A5">
        <w:rPr>
          <w:color w:val="000000" w:themeColor="text1"/>
          <w:sz w:val="24"/>
        </w:rPr>
        <w:t xml:space="preserve"> Wrocławskiego Obszaru Funkcjonalnego w kategoriach perspektywy 2030+ lub nawet 2040. </w:t>
      </w:r>
    </w:p>
    <w:p w:rsidR="003E692A" w:rsidRPr="006A36A5" w:rsidRDefault="00852A20" w:rsidP="006A36A5">
      <w:pPr>
        <w:spacing w:after="80" w:line="336" w:lineRule="auto"/>
        <w:jc w:val="left"/>
        <w:rPr>
          <w:color w:val="000000" w:themeColor="text1"/>
          <w:sz w:val="24"/>
        </w:rPr>
      </w:pPr>
      <w:r w:rsidRPr="006A36A5">
        <w:rPr>
          <w:color w:val="000000" w:themeColor="text1"/>
          <w:sz w:val="24"/>
        </w:rPr>
        <w:t xml:space="preserve">Koncepcja strategiczna jako optymalny scenariusz rozwoju i plan działań uwzględnia identyfikowane </w:t>
      </w:r>
      <w:r w:rsidR="001D3B5E" w:rsidRPr="006A36A5">
        <w:rPr>
          <w:color w:val="000000" w:themeColor="text1"/>
          <w:sz w:val="24"/>
        </w:rPr>
        <w:t>i </w:t>
      </w:r>
      <w:r w:rsidRPr="006A36A5">
        <w:rPr>
          <w:color w:val="000000" w:themeColor="text1"/>
          <w:sz w:val="24"/>
        </w:rPr>
        <w:t>piętrzące się w ostatnich latach</w:t>
      </w:r>
      <w:r w:rsidR="008437A5" w:rsidRPr="006A36A5">
        <w:rPr>
          <w:color w:val="000000" w:themeColor="text1"/>
          <w:sz w:val="24"/>
        </w:rPr>
        <w:t xml:space="preserve"> </w:t>
      </w:r>
      <w:r w:rsidR="001D3B5E" w:rsidRPr="006A36A5">
        <w:rPr>
          <w:color w:val="000000" w:themeColor="text1"/>
          <w:sz w:val="24"/>
        </w:rPr>
        <w:t>zagrożenia zewnętrzne</w:t>
      </w:r>
      <w:r w:rsidRPr="006A36A5">
        <w:rPr>
          <w:color w:val="000000" w:themeColor="text1"/>
          <w:sz w:val="24"/>
        </w:rPr>
        <w:t xml:space="preserve">. </w:t>
      </w:r>
      <w:r w:rsidR="001D3B5E" w:rsidRPr="006A36A5">
        <w:rPr>
          <w:color w:val="000000" w:themeColor="text1"/>
          <w:sz w:val="24"/>
        </w:rPr>
        <w:t xml:space="preserve">Kryzys energetyczny, wojna w Ukrainie czy też pandemia </w:t>
      </w:r>
      <w:r w:rsidRPr="006A36A5">
        <w:rPr>
          <w:color w:val="000000" w:themeColor="text1"/>
          <w:sz w:val="24"/>
        </w:rPr>
        <w:t xml:space="preserve">to czynniki traktowane </w:t>
      </w:r>
      <w:r w:rsidR="00FE06E7" w:rsidRPr="006A36A5">
        <w:rPr>
          <w:color w:val="000000" w:themeColor="text1"/>
          <w:sz w:val="24"/>
        </w:rPr>
        <w:t>do niedawna</w:t>
      </w:r>
      <w:r w:rsidRPr="006A36A5">
        <w:rPr>
          <w:color w:val="000000" w:themeColor="text1"/>
          <w:sz w:val="24"/>
        </w:rPr>
        <w:t xml:space="preserve"> jako zdarzenia </w:t>
      </w:r>
      <w:r w:rsidR="001D3B5E" w:rsidRPr="006A36A5">
        <w:rPr>
          <w:color w:val="000000" w:themeColor="text1"/>
          <w:sz w:val="24"/>
        </w:rPr>
        <w:t>o </w:t>
      </w:r>
      <w:r w:rsidRPr="006A36A5">
        <w:rPr>
          <w:color w:val="000000" w:themeColor="text1"/>
          <w:sz w:val="24"/>
        </w:rPr>
        <w:t xml:space="preserve">niskim prawdopodobieństwie wystąpienia. Ostatnie lata uczą </w:t>
      </w:r>
      <w:r w:rsidR="001D3B5E" w:rsidRPr="006A36A5">
        <w:rPr>
          <w:color w:val="000000" w:themeColor="text1"/>
          <w:sz w:val="24"/>
        </w:rPr>
        <w:t>szczególnej ostrożności</w:t>
      </w:r>
      <w:r w:rsidRPr="006A36A5">
        <w:rPr>
          <w:color w:val="000000" w:themeColor="text1"/>
          <w:sz w:val="24"/>
        </w:rPr>
        <w:t xml:space="preserve"> w planowaniu strategicznym. Dlatego należy podkreślić, że przedstawiona koncepcja ma charakter elastyczny i</w:t>
      </w:r>
      <w:r w:rsidR="009A290D" w:rsidRPr="006A36A5">
        <w:rPr>
          <w:color w:val="000000" w:themeColor="text1"/>
          <w:sz w:val="24"/>
        </w:rPr>
        <w:t> </w:t>
      </w:r>
      <w:r w:rsidRPr="006A36A5">
        <w:rPr>
          <w:color w:val="000000" w:themeColor="text1"/>
          <w:sz w:val="24"/>
        </w:rPr>
        <w:t>powinna być aktualizowana w</w:t>
      </w:r>
      <w:r w:rsidR="00FE06E7" w:rsidRPr="006A36A5">
        <w:rPr>
          <w:color w:val="000000" w:themeColor="text1"/>
          <w:sz w:val="24"/>
        </w:rPr>
        <w:t> </w:t>
      </w:r>
      <w:r w:rsidRPr="006A36A5">
        <w:rPr>
          <w:color w:val="000000" w:themeColor="text1"/>
          <w:sz w:val="24"/>
        </w:rPr>
        <w:t>kontekście zmieniających się rea</w:t>
      </w:r>
      <w:r w:rsidR="000C0646" w:rsidRPr="006A36A5">
        <w:rPr>
          <w:color w:val="000000" w:themeColor="text1"/>
          <w:sz w:val="24"/>
        </w:rPr>
        <w:t xml:space="preserve">liów. Z poziomu </w:t>
      </w:r>
      <w:r w:rsidR="00FE06E7" w:rsidRPr="006A36A5">
        <w:rPr>
          <w:color w:val="000000" w:themeColor="text1"/>
          <w:sz w:val="24"/>
        </w:rPr>
        <w:t xml:space="preserve">działań </w:t>
      </w:r>
      <w:r w:rsidR="000C0646" w:rsidRPr="006A36A5">
        <w:rPr>
          <w:color w:val="000000" w:themeColor="text1"/>
          <w:sz w:val="24"/>
        </w:rPr>
        <w:t xml:space="preserve">proponowanych </w:t>
      </w:r>
      <w:r w:rsidR="0000651F" w:rsidRPr="006A36A5">
        <w:rPr>
          <w:color w:val="000000" w:themeColor="text1"/>
          <w:sz w:val="24"/>
        </w:rPr>
        <w:t>do realizacji</w:t>
      </w:r>
      <w:r w:rsidR="008437A5" w:rsidRPr="006A36A5">
        <w:rPr>
          <w:color w:val="000000" w:themeColor="text1"/>
          <w:sz w:val="24"/>
        </w:rPr>
        <w:t xml:space="preserve"> </w:t>
      </w:r>
      <w:r w:rsidR="00FE06E7" w:rsidRPr="006A36A5">
        <w:rPr>
          <w:color w:val="000000" w:themeColor="text1"/>
          <w:sz w:val="24"/>
        </w:rPr>
        <w:t xml:space="preserve">w strategii </w:t>
      </w:r>
      <w:r w:rsidR="000C0646" w:rsidRPr="006A36A5">
        <w:rPr>
          <w:color w:val="000000" w:themeColor="text1"/>
          <w:sz w:val="24"/>
        </w:rPr>
        <w:t>podstawą</w:t>
      </w:r>
      <w:r w:rsidR="0000651F" w:rsidRPr="006A36A5">
        <w:rPr>
          <w:color w:val="000000" w:themeColor="text1"/>
          <w:sz w:val="24"/>
        </w:rPr>
        <w:t xml:space="preserve"> jest instrument ZIT i możliwości jego rozwijania na różnych płaszczyznach. </w:t>
      </w:r>
    </w:p>
    <w:p w:rsidR="00BE6C79" w:rsidRPr="003E6152" w:rsidRDefault="00BE6C79" w:rsidP="003E6152">
      <w:pPr>
        <w:pStyle w:val="Nagwek2"/>
      </w:pPr>
      <w:bookmarkStart w:id="157" w:name="_Toc143673219"/>
      <w:r w:rsidRPr="003E6152">
        <w:t>III.1 Wizja rozwoju Wrocławskiego Obszaru Funkcjonalnego</w:t>
      </w:r>
      <w:bookmarkEnd w:id="157"/>
    </w:p>
    <w:p w:rsidR="00BE6C79" w:rsidRPr="006A36A5" w:rsidRDefault="00BE6C79" w:rsidP="006A36A5">
      <w:pPr>
        <w:jc w:val="left"/>
        <w:rPr>
          <w:spacing w:val="-2"/>
          <w:kern w:val="22"/>
          <w:sz w:val="24"/>
        </w:rPr>
      </w:pPr>
      <w:r w:rsidRPr="006A36A5">
        <w:rPr>
          <w:b/>
          <w:color w:val="000000" w:themeColor="text1"/>
          <w:sz w:val="24"/>
        </w:rPr>
        <w:t xml:space="preserve">Wizja </w:t>
      </w:r>
      <w:r w:rsidR="000678FB" w:rsidRPr="006A36A5">
        <w:rPr>
          <w:b/>
          <w:color w:val="000000" w:themeColor="text1"/>
          <w:sz w:val="24"/>
        </w:rPr>
        <w:t>rozwoju WrOF</w:t>
      </w:r>
      <w:r w:rsidR="00A32724" w:rsidRPr="006A36A5">
        <w:rPr>
          <w:b/>
          <w:i/>
          <w:color w:val="000000" w:themeColor="text1"/>
          <w:sz w:val="24"/>
        </w:rPr>
        <w:t xml:space="preserve"> </w:t>
      </w:r>
      <w:r w:rsidR="000678FB" w:rsidRPr="006A36A5">
        <w:rPr>
          <w:spacing w:val="-2"/>
          <w:kern w:val="22"/>
          <w:sz w:val="24"/>
        </w:rPr>
        <w:t xml:space="preserve">wypracowana </w:t>
      </w:r>
      <w:r w:rsidRPr="006A36A5">
        <w:rPr>
          <w:spacing w:val="-2"/>
          <w:kern w:val="22"/>
          <w:sz w:val="24"/>
        </w:rPr>
        <w:t xml:space="preserve">w ramach </w:t>
      </w:r>
      <w:r w:rsidR="000678FB" w:rsidRPr="006A36A5">
        <w:rPr>
          <w:spacing w:val="-2"/>
          <w:kern w:val="22"/>
          <w:sz w:val="24"/>
        </w:rPr>
        <w:t>Strategii</w:t>
      </w:r>
      <w:r w:rsidRPr="006A36A5">
        <w:rPr>
          <w:spacing w:val="-2"/>
          <w:kern w:val="22"/>
          <w:sz w:val="24"/>
        </w:rPr>
        <w:t xml:space="preserve"> ma dwojaki chara</w:t>
      </w:r>
      <w:r w:rsidR="001C4BA4" w:rsidRPr="006A36A5">
        <w:rPr>
          <w:spacing w:val="-2"/>
          <w:kern w:val="22"/>
          <w:sz w:val="24"/>
        </w:rPr>
        <w:t>kter. Po pierwsze odnosi się do </w:t>
      </w:r>
      <w:r w:rsidRPr="006A36A5">
        <w:rPr>
          <w:spacing w:val="-2"/>
          <w:kern w:val="22"/>
          <w:sz w:val="24"/>
        </w:rPr>
        <w:t>efektu krótkoterminowego</w:t>
      </w:r>
      <w:r w:rsidR="000678FB" w:rsidRPr="006A36A5">
        <w:rPr>
          <w:spacing w:val="-2"/>
          <w:kern w:val="22"/>
          <w:sz w:val="24"/>
        </w:rPr>
        <w:t>,</w:t>
      </w:r>
      <w:r w:rsidRPr="006A36A5">
        <w:rPr>
          <w:spacing w:val="-2"/>
          <w:kern w:val="22"/>
          <w:sz w:val="24"/>
        </w:rPr>
        <w:t xml:space="preserve"> czyli oznaczonego na okres realizacji instrumentu ZIT (perspektywa 2027). Po drugie odwołuje się do potencjalnej perspektywy wieloletniej</w:t>
      </w:r>
      <w:r w:rsidR="000678FB" w:rsidRPr="006A36A5">
        <w:rPr>
          <w:spacing w:val="-2"/>
          <w:kern w:val="22"/>
          <w:sz w:val="24"/>
        </w:rPr>
        <w:t>,</w:t>
      </w:r>
      <w:r w:rsidRPr="006A36A5">
        <w:rPr>
          <w:spacing w:val="-2"/>
          <w:kern w:val="22"/>
          <w:sz w:val="24"/>
        </w:rPr>
        <w:t xml:space="preserve"> wskazującej wizję w optyce tworzenia w kolejnych latach strategii ponadlokalnej.</w:t>
      </w:r>
    </w:p>
    <w:p w:rsidR="006A36A5" w:rsidRPr="00F41CD0" w:rsidRDefault="006A36A5" w:rsidP="006A36A5">
      <w:pPr>
        <w:spacing w:after="0"/>
        <w:jc w:val="left"/>
        <w:rPr>
          <w:b/>
          <w:bCs/>
          <w:spacing w:val="-2"/>
          <w:kern w:val="22"/>
          <w:sz w:val="24"/>
          <w:szCs w:val="24"/>
        </w:rPr>
      </w:pPr>
      <w:r w:rsidRPr="00F41CD0">
        <w:rPr>
          <w:b/>
          <w:bCs/>
          <w:spacing w:val="-2"/>
          <w:kern w:val="22"/>
          <w:sz w:val="24"/>
          <w:szCs w:val="24"/>
        </w:rPr>
        <w:t>Uwarunkowania wizji rozwoju Wrocławskiego Obszaru Funkcjonalnego:</w:t>
      </w:r>
    </w:p>
    <w:p w:rsidR="006A36A5" w:rsidRPr="00F41CD0" w:rsidRDefault="006A36A5" w:rsidP="006A36A5">
      <w:pPr>
        <w:spacing w:after="0"/>
        <w:jc w:val="left"/>
        <w:rPr>
          <w:spacing w:val="-2"/>
          <w:kern w:val="22"/>
          <w:sz w:val="24"/>
          <w:szCs w:val="24"/>
        </w:rPr>
      </w:pPr>
      <w:r w:rsidRPr="00F41CD0">
        <w:rPr>
          <w:spacing w:val="-2"/>
          <w:kern w:val="22"/>
          <w:sz w:val="24"/>
          <w:szCs w:val="24"/>
        </w:rPr>
        <w:t>Wizja rozwoju WrOF stanowi kontynuację zapisów zawartych w obowiązującej dotychczas Strategii ZIT WrOF opracowanej w odpowiedzi na pow</w:t>
      </w:r>
      <w:r w:rsidR="001D1207">
        <w:rPr>
          <w:spacing w:val="-2"/>
          <w:kern w:val="22"/>
          <w:sz w:val="24"/>
          <w:szCs w:val="24"/>
        </w:rPr>
        <w:t>ołany do życia instrument ZIT w </w:t>
      </w:r>
      <w:r w:rsidRPr="00F41CD0">
        <w:rPr>
          <w:spacing w:val="-2"/>
          <w:kern w:val="22"/>
          <w:sz w:val="24"/>
          <w:szCs w:val="24"/>
        </w:rPr>
        <w:t>perspektywie finansowej 2014-2020.</w:t>
      </w:r>
    </w:p>
    <w:p w:rsidR="006A36A5" w:rsidRPr="00F41CD0" w:rsidRDefault="006A36A5" w:rsidP="006A36A5">
      <w:pPr>
        <w:spacing w:after="0"/>
        <w:jc w:val="left"/>
        <w:rPr>
          <w:spacing w:val="-2"/>
          <w:kern w:val="22"/>
          <w:sz w:val="24"/>
          <w:szCs w:val="24"/>
        </w:rPr>
      </w:pPr>
      <w:r w:rsidRPr="00F41CD0">
        <w:rPr>
          <w:spacing w:val="-2"/>
          <w:kern w:val="22"/>
          <w:sz w:val="24"/>
          <w:szCs w:val="24"/>
        </w:rPr>
        <w:t>Przedstawiony zapis, ale również rozbudowane odniesienie się do poszczególnych jego elementów, są zredagowanym i usystematyzowanym efektem przeprowadzonych prac diagnostycznych i badawczych, spośród których jako kluczowe należy uznać:</w:t>
      </w:r>
    </w:p>
    <w:p w:rsidR="006A36A5" w:rsidRPr="00F41CD0" w:rsidRDefault="006A36A5" w:rsidP="006A36A5">
      <w:pPr>
        <w:pStyle w:val="Akapitzlist"/>
        <w:numPr>
          <w:ilvl w:val="0"/>
          <w:numId w:val="72"/>
        </w:numPr>
        <w:spacing w:after="0"/>
        <w:jc w:val="left"/>
        <w:rPr>
          <w:spacing w:val="-2"/>
          <w:kern w:val="22"/>
          <w:sz w:val="24"/>
          <w:szCs w:val="24"/>
        </w:rPr>
      </w:pPr>
      <w:r w:rsidRPr="00F41CD0">
        <w:rPr>
          <w:spacing w:val="-2"/>
          <w:kern w:val="22"/>
          <w:sz w:val="24"/>
          <w:szCs w:val="24"/>
        </w:rPr>
        <w:t xml:space="preserve">Warsztaty design </w:t>
      </w:r>
      <w:proofErr w:type="spellStart"/>
      <w:r w:rsidRPr="00F41CD0">
        <w:rPr>
          <w:spacing w:val="-2"/>
          <w:kern w:val="22"/>
          <w:sz w:val="24"/>
          <w:szCs w:val="24"/>
        </w:rPr>
        <w:t>thinking</w:t>
      </w:r>
      <w:proofErr w:type="spellEnd"/>
      <w:r w:rsidRPr="00F41CD0">
        <w:rPr>
          <w:spacing w:val="-2"/>
          <w:kern w:val="22"/>
          <w:sz w:val="24"/>
          <w:szCs w:val="24"/>
        </w:rPr>
        <w:t>,</w:t>
      </w:r>
    </w:p>
    <w:p w:rsidR="006A36A5" w:rsidRPr="00F41CD0" w:rsidRDefault="006A36A5" w:rsidP="006A36A5">
      <w:pPr>
        <w:pStyle w:val="Akapitzlist"/>
        <w:numPr>
          <w:ilvl w:val="0"/>
          <w:numId w:val="72"/>
        </w:numPr>
        <w:spacing w:after="0"/>
        <w:jc w:val="left"/>
        <w:rPr>
          <w:spacing w:val="-2"/>
          <w:kern w:val="22"/>
          <w:sz w:val="24"/>
          <w:szCs w:val="24"/>
        </w:rPr>
      </w:pPr>
      <w:r w:rsidRPr="00F41CD0">
        <w:rPr>
          <w:spacing w:val="-2"/>
          <w:kern w:val="22"/>
          <w:sz w:val="24"/>
          <w:szCs w:val="24"/>
        </w:rPr>
        <w:t>Zogniskowane wywiady grupowe z interesariuszami WrOF,</w:t>
      </w:r>
    </w:p>
    <w:p w:rsidR="006A36A5" w:rsidRPr="00F41CD0" w:rsidRDefault="006A36A5" w:rsidP="006A36A5">
      <w:pPr>
        <w:pStyle w:val="Akapitzlist"/>
        <w:numPr>
          <w:ilvl w:val="0"/>
          <w:numId w:val="72"/>
        </w:numPr>
        <w:spacing w:after="0"/>
        <w:jc w:val="left"/>
        <w:rPr>
          <w:spacing w:val="-2"/>
          <w:kern w:val="22"/>
          <w:sz w:val="24"/>
          <w:szCs w:val="24"/>
        </w:rPr>
      </w:pPr>
      <w:r w:rsidRPr="00F41CD0">
        <w:rPr>
          <w:spacing w:val="-2"/>
          <w:kern w:val="22"/>
          <w:sz w:val="24"/>
          <w:szCs w:val="24"/>
        </w:rPr>
        <w:t>Zrealizowany na podstawie diagnozy bilans strategiczny.</w:t>
      </w:r>
    </w:p>
    <w:p w:rsidR="006A36A5" w:rsidRPr="00F41CD0" w:rsidRDefault="006A36A5" w:rsidP="006A36A5">
      <w:pPr>
        <w:spacing w:after="0"/>
        <w:jc w:val="left"/>
        <w:rPr>
          <w:spacing w:val="-2"/>
          <w:kern w:val="22"/>
          <w:sz w:val="24"/>
          <w:szCs w:val="24"/>
        </w:rPr>
      </w:pPr>
      <w:r w:rsidRPr="00F41CD0">
        <w:rPr>
          <w:spacing w:val="-2"/>
          <w:kern w:val="22"/>
          <w:sz w:val="24"/>
          <w:szCs w:val="24"/>
        </w:rPr>
        <w:t>Wizja rozwoju w kontekście stanu docelowego wykracza realizacyjnie poza przyjęte ramy czasowe opracowania (rok 2027) i jest elementem szerszej długookresowej polityki rozwojowej nakreślonej dla WrOF</w:t>
      </w:r>
    </w:p>
    <w:p w:rsidR="006A36A5" w:rsidRDefault="006A36A5" w:rsidP="006A36A5">
      <w:pPr>
        <w:spacing w:after="0"/>
        <w:jc w:val="left"/>
        <w:rPr>
          <w:spacing w:val="-2"/>
          <w:kern w:val="22"/>
          <w:sz w:val="24"/>
          <w:szCs w:val="24"/>
        </w:rPr>
      </w:pPr>
      <w:r w:rsidRPr="00F41CD0">
        <w:rPr>
          <w:spacing w:val="-2"/>
          <w:kern w:val="22"/>
          <w:sz w:val="24"/>
          <w:szCs w:val="24"/>
        </w:rPr>
        <w:t>Osiągnięciu wizji poświęcone są wszystkie wyznaczone w dalszej części opracowania cele strategiczne i kierunki działania. Wizję traktuje się jako czynnik integrujący podejmowane działania, w tym przede wszystkim te o zintegrowanym charakterze.</w:t>
      </w:r>
      <w:r>
        <w:rPr>
          <w:spacing w:val="-2"/>
          <w:kern w:val="22"/>
          <w:sz w:val="24"/>
          <w:szCs w:val="24"/>
        </w:rPr>
        <w:br w:type="page"/>
      </w:r>
    </w:p>
    <w:tbl>
      <w:tblPr>
        <w:tblStyle w:val="Tabela-Siatka"/>
        <w:tblW w:w="0" w:type="auto"/>
        <w:tblLook w:val="04A0" w:firstRow="1" w:lastRow="0" w:firstColumn="1" w:lastColumn="0" w:noHBand="0" w:noVBand="1"/>
        <w:tblCaption w:val="Wizja rozwoju WrOF"/>
        <w:tblDescription w:val="Wizja rozwoju WrOF"/>
      </w:tblPr>
      <w:tblGrid>
        <w:gridCol w:w="9062"/>
      </w:tblGrid>
      <w:tr w:rsidR="006A36A5" w:rsidRPr="00CF7055" w:rsidTr="00EF02E5">
        <w:trPr>
          <w:tblHeader/>
        </w:trPr>
        <w:tc>
          <w:tcPr>
            <w:tcW w:w="9062" w:type="dxa"/>
          </w:tcPr>
          <w:p w:rsidR="006A36A5" w:rsidRPr="00CF7055" w:rsidRDefault="006A36A5" w:rsidP="006A36A5">
            <w:pPr>
              <w:spacing w:before="240" w:after="240"/>
              <w:rPr>
                <w:b/>
                <w:bCs/>
                <w:color w:val="000000" w:themeColor="text1"/>
                <w:sz w:val="28"/>
                <w:szCs w:val="28"/>
              </w:rPr>
            </w:pPr>
            <w:r w:rsidRPr="00CF7055">
              <w:rPr>
                <w:b/>
                <w:bCs/>
                <w:color w:val="000000" w:themeColor="text1"/>
                <w:sz w:val="28"/>
                <w:szCs w:val="28"/>
              </w:rPr>
              <w:t>Wizja rozwoju WrOF</w:t>
            </w:r>
          </w:p>
        </w:tc>
      </w:tr>
      <w:tr w:rsidR="006A36A5" w:rsidRPr="00CF7055" w:rsidTr="006A36A5">
        <w:tc>
          <w:tcPr>
            <w:tcW w:w="9062" w:type="dxa"/>
          </w:tcPr>
          <w:p w:rsidR="006A36A5" w:rsidRPr="00CF7055" w:rsidRDefault="006A36A5" w:rsidP="006A36A5">
            <w:pPr>
              <w:spacing w:before="240" w:after="240"/>
              <w:jc w:val="left"/>
              <w:rPr>
                <w:b/>
                <w:color w:val="000000" w:themeColor="text1"/>
                <w:sz w:val="28"/>
                <w:szCs w:val="28"/>
              </w:rPr>
            </w:pPr>
            <w:r w:rsidRPr="00CF7055">
              <w:rPr>
                <w:b/>
                <w:bCs/>
                <w:iCs/>
                <w:color w:val="000000" w:themeColor="text1"/>
                <w:sz w:val="28"/>
                <w:szCs w:val="28"/>
              </w:rPr>
              <w:t>WrOF stanowi obszar przyjazny mieszkańcom, gwarantujący wysoką jakość życia, gdzie rozwój nowoczesnej gospodarki odbywa się z dbałością o jakość środowiska przyrodniczego.</w:t>
            </w:r>
            <w:r>
              <w:rPr>
                <w:b/>
                <w:bCs/>
                <w:iCs/>
                <w:color w:val="000000" w:themeColor="text1"/>
                <w:sz w:val="28"/>
                <w:szCs w:val="28"/>
              </w:rPr>
              <w:t xml:space="preserve"> </w:t>
            </w:r>
            <w:r w:rsidRPr="00CF7055">
              <w:rPr>
                <w:b/>
                <w:bCs/>
                <w:iCs/>
                <w:color w:val="000000" w:themeColor="text1"/>
                <w:sz w:val="28"/>
                <w:szCs w:val="28"/>
              </w:rPr>
              <w:t>WrOF charakteryzuje się wysokim poziomem spójności terytorialnej, przede wszystkim w wymiarze komunikacyjnym, przestrzennym, gospodarczym oraz społecznym.</w:t>
            </w:r>
          </w:p>
        </w:tc>
      </w:tr>
    </w:tbl>
    <w:p w:rsidR="006A36A5" w:rsidRDefault="006A36A5" w:rsidP="00BE6C79">
      <w:pPr>
        <w:spacing w:line="259" w:lineRule="auto"/>
        <w:jc w:val="left"/>
      </w:pPr>
    </w:p>
    <w:p w:rsidR="00FA08E0" w:rsidRPr="003E6152" w:rsidRDefault="00F50E28" w:rsidP="003E6152">
      <w:pPr>
        <w:pStyle w:val="Nagwek2"/>
      </w:pPr>
      <w:bookmarkStart w:id="158" w:name="_Toc143673220"/>
      <w:r w:rsidRPr="003E6152">
        <w:t xml:space="preserve">III.2 </w:t>
      </w:r>
      <w:r w:rsidR="003E6152" w:rsidRPr="003E6152">
        <w:t>Wymiar, Cele strategiczne</w:t>
      </w:r>
      <w:r w:rsidR="00216B5C" w:rsidRPr="003E6152">
        <w:t>, Priorytety i Kierunki działań</w:t>
      </w:r>
      <w:bookmarkEnd w:id="158"/>
    </w:p>
    <w:p w:rsidR="00216B5C" w:rsidRPr="006A36A5" w:rsidRDefault="00216B5C" w:rsidP="006A36A5">
      <w:pPr>
        <w:spacing w:after="0"/>
        <w:jc w:val="left"/>
        <w:rPr>
          <w:sz w:val="24"/>
        </w:rPr>
      </w:pPr>
      <w:r w:rsidRPr="006A36A5">
        <w:rPr>
          <w:sz w:val="24"/>
        </w:rPr>
        <w:t>Poniższy schemat przedstawia wprowadzenie do st</w:t>
      </w:r>
      <w:r w:rsidR="001D1207">
        <w:rPr>
          <w:sz w:val="24"/>
        </w:rPr>
        <w:t>ruktury planów strategicznych i </w:t>
      </w:r>
      <w:r w:rsidRPr="006A36A5">
        <w:rPr>
          <w:sz w:val="24"/>
        </w:rPr>
        <w:t>operacyjnych. Rozwinięciem tej części będą priorytety i konkretne kierunki działań. Natomiast uszczegółowieniem kierunków działania będą ty</w:t>
      </w:r>
      <w:r w:rsidR="001D1207">
        <w:rPr>
          <w:sz w:val="24"/>
        </w:rPr>
        <w:t>py przewidzianych interwencji w </w:t>
      </w:r>
      <w:r w:rsidRPr="006A36A5">
        <w:rPr>
          <w:sz w:val="24"/>
        </w:rPr>
        <w:t xml:space="preserve">ramach wdrażania Strategii ZIT WrOF 2021-2027, które zostaną zaprezentowane w formie kart działania </w:t>
      </w:r>
      <w:r w:rsidR="00A32724" w:rsidRPr="006A36A5">
        <w:rPr>
          <w:sz w:val="24"/>
        </w:rPr>
        <w:t>dla każdego</w:t>
      </w:r>
      <w:r w:rsidRPr="006A36A5">
        <w:rPr>
          <w:sz w:val="24"/>
        </w:rPr>
        <w:t xml:space="preserve"> priorytet</w:t>
      </w:r>
      <w:r w:rsidR="00A32724" w:rsidRPr="006A36A5">
        <w:rPr>
          <w:sz w:val="24"/>
        </w:rPr>
        <w:t>u</w:t>
      </w:r>
      <w:r w:rsidRPr="006A36A5">
        <w:rPr>
          <w:sz w:val="24"/>
        </w:rPr>
        <w:t xml:space="preserve">. </w:t>
      </w:r>
    </w:p>
    <w:p w:rsidR="00216B5C" w:rsidRDefault="00216B5C" w:rsidP="003E6152">
      <w:pPr>
        <w:spacing w:after="0"/>
        <w:ind w:hanging="426"/>
        <w:jc w:val="center"/>
      </w:pPr>
      <w:r w:rsidRPr="00684C98">
        <w:rPr>
          <w:noProof/>
          <w:lang w:eastAsia="pl-PL"/>
        </w:rPr>
        <w:drawing>
          <wp:inline distT="0" distB="0" distL="0" distR="0" wp14:anchorId="73186305" wp14:editId="099BA7D0">
            <wp:extent cx="6103468" cy="3242945"/>
            <wp:effectExtent l="0" t="0" r="0" b="0"/>
            <wp:docPr id="226" name="Obraz 226" descr="schemat przedstawia wprowadzenie do struktury planów strategicznych i operacyjnych" title="sche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BIT\wszyscy\ZIT\Realizacja STRATEGIA ZIT WrOF\Ikony schematów\schemat wzorcowy-0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15260" cy="3249210"/>
                    </a:xfrm>
                    <a:prstGeom prst="rect">
                      <a:avLst/>
                    </a:prstGeom>
                    <a:noFill/>
                    <a:ln>
                      <a:noFill/>
                    </a:ln>
                  </pic:spPr>
                </pic:pic>
              </a:graphicData>
            </a:graphic>
          </wp:inline>
        </w:drawing>
      </w:r>
    </w:p>
    <w:p w:rsidR="00216B5C" w:rsidRPr="006A36A5" w:rsidRDefault="00216B5C" w:rsidP="006A36A5">
      <w:pPr>
        <w:jc w:val="left"/>
        <w:rPr>
          <w:sz w:val="24"/>
        </w:rPr>
      </w:pPr>
      <w:r w:rsidRPr="006A36A5">
        <w:rPr>
          <w:sz w:val="24"/>
        </w:rPr>
        <w:t>Z poziomu strategicznego mamy  do czynienia z trzema wymiarami i czterema celami realizującymi jego założenia. W domenie przestrzennej wyróżniono zagadnienia infrastrukturalne oraz kwestie dotyczące zagospodarowania przestrzennego</w:t>
      </w:r>
      <w:r w:rsidR="00A32724" w:rsidRPr="006A36A5">
        <w:rPr>
          <w:sz w:val="24"/>
        </w:rPr>
        <w:t xml:space="preserve"> </w:t>
      </w:r>
      <w:r w:rsidRPr="006A36A5">
        <w:rPr>
          <w:sz w:val="24"/>
        </w:rPr>
        <w:t>i</w:t>
      </w:r>
      <w:r w:rsidR="00A32724" w:rsidRPr="006A36A5">
        <w:rPr>
          <w:sz w:val="24"/>
        </w:rPr>
        <w:t xml:space="preserve"> </w:t>
      </w:r>
      <w:r w:rsidRPr="006A36A5">
        <w:rPr>
          <w:sz w:val="24"/>
        </w:rPr>
        <w:t>elementów ochrony środowiska naturalnego.</w:t>
      </w:r>
    </w:p>
    <w:p w:rsidR="00216B5C" w:rsidRDefault="00216B5C" w:rsidP="00216B5C">
      <w:pPr>
        <w:spacing w:after="0"/>
      </w:pPr>
      <w:r w:rsidRPr="00FB3DC0">
        <w:rPr>
          <w:noProof/>
          <w:lang w:eastAsia="pl-PL"/>
        </w:rPr>
        <w:drawing>
          <wp:inline distT="0" distB="0" distL="0" distR="0" wp14:anchorId="338186BE" wp14:editId="0B1AF900">
            <wp:extent cx="5760720" cy="2383126"/>
            <wp:effectExtent l="0" t="0" r="0" b="0"/>
            <wp:docPr id="231" name="Obraz 231" descr="przedstawienie trzech celów strategicznych w wymiarze społecznym, gospodarczym i przestrzennym" title="cele strategicz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BIT\wszyscy\ZIT\Realizacja STRATEGIA ZIT WrOF\Ikony schematów\ikony schematów 2\cele all.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2383126"/>
                    </a:xfrm>
                    <a:prstGeom prst="rect">
                      <a:avLst/>
                    </a:prstGeom>
                    <a:noFill/>
                    <a:ln>
                      <a:noFill/>
                    </a:ln>
                  </pic:spPr>
                </pic:pic>
              </a:graphicData>
            </a:graphic>
          </wp:inline>
        </w:drawing>
      </w:r>
    </w:p>
    <w:p w:rsidR="00216B5C" w:rsidRPr="006A36A5" w:rsidRDefault="00216B5C" w:rsidP="006A36A5">
      <w:pPr>
        <w:spacing w:after="0" w:line="336" w:lineRule="auto"/>
        <w:jc w:val="left"/>
        <w:rPr>
          <w:sz w:val="24"/>
        </w:rPr>
      </w:pPr>
      <w:r w:rsidRPr="006A36A5">
        <w:rPr>
          <w:sz w:val="24"/>
        </w:rPr>
        <w:t>Opis celów strategicznych koncentruje się na wskazaniu najważniejszych wyzwań rozwojowych stojących przed WrOF. Charakterystyki te mają na celu zasygnalizowanie aspektów szczególnie</w:t>
      </w:r>
      <w:r w:rsidR="00A32724" w:rsidRPr="006A36A5">
        <w:rPr>
          <w:sz w:val="24"/>
        </w:rPr>
        <w:t xml:space="preserve"> </w:t>
      </w:r>
      <w:r w:rsidRPr="006A36A5">
        <w:rPr>
          <w:sz w:val="24"/>
        </w:rPr>
        <w:t>ważnych dla całego obszaru funkcjonalnego traktowanego jako integralny podmiot polityki rozwojowej. Ich rozwinięcie i uszczegółowienie zostanie natomiast umieszczone w kartach działań.</w:t>
      </w:r>
    </w:p>
    <w:p w:rsidR="00216B5C" w:rsidRPr="006A36A5" w:rsidRDefault="00216B5C" w:rsidP="006A36A5">
      <w:pPr>
        <w:jc w:val="left"/>
        <w:rPr>
          <w:sz w:val="24"/>
        </w:rPr>
      </w:pPr>
      <w:r w:rsidRPr="006A36A5">
        <w:rPr>
          <w:sz w:val="24"/>
        </w:rPr>
        <w:t>Kierunki działań zostały uszczegółowione poprzez wskazanie przykładowych typów przedsięwzięć do realizacji w ramach zaplanowanej interwencji wraz z krótką charakterystyką. Karta działania uwzględnia zarówno zaplanowane do realizacji projekty, okres ich realizacji, jak również wskazuje katalog potencjalnych interesariuszy i partnerów odpowiedzia</w:t>
      </w:r>
      <w:r w:rsidR="00E34FAE" w:rsidRPr="006A36A5">
        <w:rPr>
          <w:sz w:val="24"/>
        </w:rPr>
        <w:t>l</w:t>
      </w:r>
      <w:r w:rsidRPr="006A36A5">
        <w:rPr>
          <w:sz w:val="24"/>
        </w:rPr>
        <w:t>nych za wdrażanie zaplanowanych przedsięwzięć. Ponadto wskazuje potencjalne źródła finansowania oraz wskaźniki monitorujące realizację kierunku działania. Taka struktura umożliwia przedstawienie interwencji i działań zaplanowanych do realizacji w perspektywie 2027 roku w sposób przejrzysty oraz kompleksowy.</w:t>
      </w:r>
    </w:p>
    <w:p w:rsidR="00216B5C" w:rsidRDefault="00216B5C" w:rsidP="00216B5C"/>
    <w:p w:rsidR="00216B5C" w:rsidRDefault="00216B5C" w:rsidP="00216B5C"/>
    <w:p w:rsidR="00216B5C" w:rsidRDefault="00216B5C" w:rsidP="00216B5C">
      <w:pPr>
        <w:spacing w:after="0" w:line="336" w:lineRule="auto"/>
        <w:sectPr w:rsidR="00216B5C" w:rsidSect="00D74575">
          <w:footerReference w:type="even" r:id="rId43"/>
          <w:footerReference w:type="default" r:id="rId44"/>
          <w:footerReference w:type="first" r:id="rId45"/>
          <w:pgSz w:w="11906" w:h="16838"/>
          <w:pgMar w:top="1417" w:right="1417" w:bottom="1417" w:left="1417" w:header="708" w:footer="708" w:gutter="0"/>
          <w:cols w:space="708"/>
          <w:titlePg/>
          <w:docGrid w:linePitch="360"/>
        </w:sectPr>
      </w:pPr>
    </w:p>
    <w:p w:rsidR="00216B5C" w:rsidRDefault="00216B5C" w:rsidP="00216B5C">
      <w:pPr>
        <w:sectPr w:rsidR="00216B5C" w:rsidSect="00D74575">
          <w:type w:val="continuous"/>
          <w:pgSz w:w="11906" w:h="16838"/>
          <w:pgMar w:top="1417" w:right="1417" w:bottom="1417" w:left="1417" w:header="708" w:footer="708" w:gutter="0"/>
          <w:cols w:space="708"/>
          <w:titlePg/>
          <w:docGrid w:linePitch="360"/>
        </w:sectPr>
      </w:pPr>
    </w:p>
    <w:tbl>
      <w:tblPr>
        <w:tblStyle w:val="Tabela-Siatka"/>
        <w:tblW w:w="21194" w:type="dxa"/>
        <w:tblLayout w:type="fixed"/>
        <w:tblLook w:val="04A0" w:firstRow="1" w:lastRow="0" w:firstColumn="1" w:lastColumn="0" w:noHBand="0" w:noVBand="1"/>
        <w:tblCaption w:val="Schemat interwencji strategicznej"/>
        <w:tblDescription w:val="Schemat podziału na wymiary, cele, priorytety i kierunki działań"/>
      </w:tblPr>
      <w:tblGrid>
        <w:gridCol w:w="4956"/>
        <w:gridCol w:w="4960"/>
        <w:gridCol w:w="5640"/>
        <w:gridCol w:w="5638"/>
      </w:tblGrid>
      <w:tr w:rsidR="006A36A5" w:rsidRPr="00240A48" w:rsidTr="006A36A5">
        <w:trPr>
          <w:trHeight w:val="850"/>
          <w:tblHeader/>
        </w:trPr>
        <w:tc>
          <w:tcPr>
            <w:tcW w:w="4956" w:type="dxa"/>
            <w:shd w:val="clear" w:color="auto" w:fill="FFF7DD"/>
            <w:vAlign w:val="center"/>
          </w:tcPr>
          <w:p w:rsidR="006A36A5" w:rsidRPr="00240A48" w:rsidRDefault="006A36A5" w:rsidP="006A36A5">
            <w:pPr>
              <w:spacing w:line="240" w:lineRule="auto"/>
              <w:jc w:val="left"/>
              <w:rPr>
                <w:b/>
                <w:color w:val="000000" w:themeColor="text1"/>
                <w:sz w:val="36"/>
                <w:szCs w:val="36"/>
              </w:rPr>
            </w:pPr>
            <w:r w:rsidRPr="00240A48">
              <w:rPr>
                <w:b/>
                <w:color w:val="000000" w:themeColor="text1"/>
                <w:sz w:val="36"/>
                <w:szCs w:val="36"/>
              </w:rPr>
              <w:t>Wymiar społeczny</w:t>
            </w:r>
          </w:p>
        </w:tc>
        <w:tc>
          <w:tcPr>
            <w:tcW w:w="4960" w:type="dxa"/>
            <w:shd w:val="clear" w:color="auto" w:fill="D0E6F6" w:themeFill="accent6" w:themeFillTint="33"/>
            <w:vAlign w:val="center"/>
          </w:tcPr>
          <w:p w:rsidR="006A36A5" w:rsidRPr="00240A48" w:rsidRDefault="006A36A5" w:rsidP="006A36A5">
            <w:pPr>
              <w:spacing w:line="240" w:lineRule="auto"/>
              <w:jc w:val="left"/>
              <w:rPr>
                <w:b/>
                <w:color w:val="000000" w:themeColor="text1"/>
                <w:sz w:val="36"/>
                <w:szCs w:val="36"/>
              </w:rPr>
            </w:pPr>
            <w:r w:rsidRPr="00240A48">
              <w:rPr>
                <w:b/>
                <w:color w:val="000000" w:themeColor="text1"/>
                <w:sz w:val="36"/>
                <w:szCs w:val="36"/>
              </w:rPr>
              <w:t>Wymiar gospodarczy</w:t>
            </w:r>
          </w:p>
        </w:tc>
        <w:tc>
          <w:tcPr>
            <w:tcW w:w="5640" w:type="dxa"/>
            <w:shd w:val="clear" w:color="auto" w:fill="E3F1ED" w:themeFill="accent3" w:themeFillTint="33"/>
            <w:vAlign w:val="center"/>
          </w:tcPr>
          <w:p w:rsidR="006A36A5" w:rsidRPr="00240A48" w:rsidRDefault="006A36A5" w:rsidP="006A36A5">
            <w:pPr>
              <w:spacing w:line="240" w:lineRule="auto"/>
              <w:jc w:val="left"/>
              <w:rPr>
                <w:b/>
                <w:color w:val="000000" w:themeColor="text1"/>
                <w:sz w:val="36"/>
                <w:szCs w:val="36"/>
              </w:rPr>
            </w:pPr>
            <w:r w:rsidRPr="00240A48">
              <w:rPr>
                <w:b/>
                <w:color w:val="000000" w:themeColor="text1"/>
                <w:sz w:val="36"/>
                <w:szCs w:val="36"/>
              </w:rPr>
              <w:t>Wymiar przestrzenny</w:t>
            </w:r>
          </w:p>
        </w:tc>
        <w:tc>
          <w:tcPr>
            <w:tcW w:w="5638" w:type="dxa"/>
            <w:shd w:val="clear" w:color="auto" w:fill="E3F1ED" w:themeFill="accent3" w:themeFillTint="33"/>
            <w:vAlign w:val="center"/>
          </w:tcPr>
          <w:p w:rsidR="006A36A5" w:rsidRPr="00240A48" w:rsidRDefault="006A36A5" w:rsidP="006A36A5">
            <w:pPr>
              <w:spacing w:line="240" w:lineRule="auto"/>
              <w:jc w:val="left"/>
              <w:rPr>
                <w:b/>
                <w:color w:val="000000" w:themeColor="text1"/>
                <w:sz w:val="36"/>
                <w:szCs w:val="36"/>
              </w:rPr>
            </w:pPr>
            <w:r w:rsidRPr="00240A48">
              <w:rPr>
                <w:b/>
                <w:color w:val="000000" w:themeColor="text1"/>
                <w:sz w:val="36"/>
                <w:szCs w:val="36"/>
              </w:rPr>
              <w:t>Wymiar przestrzenny</w:t>
            </w:r>
          </w:p>
        </w:tc>
      </w:tr>
      <w:tr w:rsidR="006A36A5" w:rsidRPr="00240A48" w:rsidTr="006A36A5">
        <w:trPr>
          <w:trHeight w:val="907"/>
        </w:trPr>
        <w:tc>
          <w:tcPr>
            <w:tcW w:w="4956" w:type="dxa"/>
            <w:vAlign w:val="center"/>
          </w:tcPr>
          <w:p w:rsidR="006A36A5" w:rsidRPr="00240A48" w:rsidRDefault="006A36A5" w:rsidP="006A36A5">
            <w:pPr>
              <w:spacing w:line="240" w:lineRule="auto"/>
              <w:jc w:val="left"/>
              <w:rPr>
                <w:b/>
                <w:bCs/>
                <w:color w:val="000000" w:themeColor="text1"/>
              </w:rPr>
            </w:pPr>
            <w:r w:rsidRPr="00240A48">
              <w:rPr>
                <w:b/>
                <w:bCs/>
                <w:color w:val="000000" w:themeColor="text1"/>
              </w:rPr>
              <w:t>Cel strategiczny 1. Poprawa jakości życia na terenie WrOF</w:t>
            </w:r>
          </w:p>
        </w:tc>
        <w:tc>
          <w:tcPr>
            <w:tcW w:w="4960" w:type="dxa"/>
            <w:vAlign w:val="center"/>
          </w:tcPr>
          <w:p w:rsidR="006A36A5" w:rsidRPr="00240A48" w:rsidRDefault="006A36A5" w:rsidP="006A36A5">
            <w:pPr>
              <w:spacing w:line="240" w:lineRule="auto"/>
              <w:jc w:val="left"/>
              <w:rPr>
                <w:b/>
                <w:bCs/>
                <w:color w:val="000000" w:themeColor="text1"/>
              </w:rPr>
            </w:pPr>
            <w:r w:rsidRPr="00240A48">
              <w:rPr>
                <w:b/>
                <w:bCs/>
                <w:color w:val="000000" w:themeColor="text1"/>
              </w:rPr>
              <w:t>Cel strategiczny 2. Wzmacnianie innowacyjności i konkurencyjności gospodarki WrOF</w:t>
            </w:r>
          </w:p>
        </w:tc>
        <w:tc>
          <w:tcPr>
            <w:tcW w:w="5640" w:type="dxa"/>
            <w:vAlign w:val="center"/>
          </w:tcPr>
          <w:p w:rsidR="006A36A5" w:rsidRPr="00240A48" w:rsidRDefault="006A36A5" w:rsidP="006A36A5">
            <w:pPr>
              <w:spacing w:line="240" w:lineRule="auto"/>
              <w:jc w:val="left"/>
              <w:rPr>
                <w:b/>
                <w:bCs/>
                <w:color w:val="000000" w:themeColor="text1"/>
              </w:rPr>
            </w:pPr>
            <w:r w:rsidRPr="00240A48">
              <w:rPr>
                <w:b/>
                <w:bCs/>
                <w:color w:val="000000" w:themeColor="text1"/>
              </w:rPr>
              <w:t xml:space="preserve">Cel strategiczny 3. Ochrona środowiska naturalnego </w:t>
            </w:r>
            <w:r w:rsidRPr="00240A48">
              <w:rPr>
                <w:b/>
                <w:bCs/>
                <w:color w:val="000000" w:themeColor="text1"/>
              </w:rPr>
              <w:br/>
              <w:t>i adaptacja WrOF do zmian klimatu</w:t>
            </w:r>
          </w:p>
        </w:tc>
        <w:tc>
          <w:tcPr>
            <w:tcW w:w="5638" w:type="dxa"/>
            <w:vAlign w:val="center"/>
          </w:tcPr>
          <w:p w:rsidR="006A36A5" w:rsidRPr="00240A48" w:rsidRDefault="006A36A5" w:rsidP="006A36A5">
            <w:pPr>
              <w:spacing w:line="240" w:lineRule="auto"/>
              <w:jc w:val="left"/>
              <w:rPr>
                <w:b/>
                <w:bCs/>
                <w:color w:val="000000" w:themeColor="text1"/>
              </w:rPr>
            </w:pPr>
            <w:r w:rsidRPr="00240A48">
              <w:rPr>
                <w:b/>
                <w:bCs/>
                <w:color w:val="000000" w:themeColor="text1"/>
              </w:rPr>
              <w:t>Cel strategiczny 4. Integracja i rozwój terytorialny WrOF</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1. Kultura</w:t>
            </w:r>
          </w:p>
        </w:tc>
        <w:tc>
          <w:tcPr>
            <w:tcW w:w="4960" w:type="dxa"/>
            <w:vAlign w:val="center"/>
          </w:tcPr>
          <w:p w:rsidR="006A36A5" w:rsidRPr="00240A48" w:rsidRDefault="006A36A5" w:rsidP="006A36A5">
            <w:pPr>
              <w:spacing w:line="240" w:lineRule="auto"/>
              <w:jc w:val="left"/>
              <w:rPr>
                <w:color w:val="000000" w:themeColor="text1"/>
              </w:rPr>
            </w:pPr>
            <w:r w:rsidRPr="00240A48">
              <w:rPr>
                <w:color w:val="000000" w:themeColor="text1"/>
              </w:rPr>
              <w:t xml:space="preserve">Priorytet 5. Innowacyjność </w:t>
            </w:r>
          </w:p>
        </w:tc>
        <w:tc>
          <w:tcPr>
            <w:tcW w:w="5640"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9. Gospodarka o obiegu zamkniętym</w:t>
            </w:r>
          </w:p>
        </w:tc>
        <w:tc>
          <w:tcPr>
            <w:tcW w:w="5638"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14.Przestrzeń publiczna</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1.1 </w:t>
            </w:r>
            <w:r w:rsidRPr="00240A48">
              <w:rPr>
                <w:color w:val="000000" w:themeColor="text1"/>
                <w:sz w:val="20"/>
                <w:szCs w:val="20"/>
              </w:rPr>
              <w:t>Wzmacnianie i rozwój placówek kultury oraz ochrona dziedzictwa kulturowego</w:t>
            </w:r>
          </w:p>
        </w:tc>
        <w:tc>
          <w:tcPr>
            <w:tcW w:w="4960" w:type="dxa"/>
            <w:vAlign w:val="center"/>
          </w:tcPr>
          <w:p w:rsidR="006A36A5" w:rsidRPr="00240A48" w:rsidRDefault="006A36A5" w:rsidP="006A36A5">
            <w:pPr>
              <w:spacing w:line="240" w:lineRule="auto"/>
              <w:jc w:val="left"/>
              <w:rPr>
                <w:color w:val="000000" w:themeColor="text1"/>
              </w:rPr>
            </w:pPr>
            <w:r w:rsidRPr="00240A48">
              <w:rPr>
                <w:b/>
                <w:bCs/>
                <w:color w:val="000000" w:themeColor="text1"/>
              </w:rPr>
              <w:t xml:space="preserve">Kierunek działania 5.1 </w:t>
            </w:r>
            <w:r w:rsidRPr="00240A48">
              <w:rPr>
                <w:color w:val="000000" w:themeColor="text1"/>
                <w:sz w:val="20"/>
                <w:szCs w:val="20"/>
              </w:rPr>
              <w:t>Wzmacnianie potencjału sektora B+R</w:t>
            </w:r>
            <w:r w:rsidRPr="00240A48">
              <w:rPr>
                <w:rStyle w:val="Odwoanieprzypisudolnego"/>
                <w:color w:val="000000" w:themeColor="text1"/>
                <w:sz w:val="20"/>
                <w:szCs w:val="20"/>
              </w:rPr>
              <w:footnoteReference w:id="117"/>
            </w:r>
            <w:r w:rsidRPr="00240A48">
              <w:rPr>
                <w:color w:val="000000" w:themeColor="text1"/>
                <w:sz w:val="20"/>
                <w:szCs w:val="20"/>
              </w:rPr>
              <w:t xml:space="preserve">oraz działania na rzecz nowoczesnej reindustrializacji </w:t>
            </w:r>
          </w:p>
        </w:tc>
        <w:tc>
          <w:tcPr>
            <w:tcW w:w="5640" w:type="dxa"/>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 9.1 </w:t>
            </w:r>
            <w:r w:rsidRPr="00240A48">
              <w:rPr>
                <w:color w:val="000000" w:themeColor="text1"/>
                <w:sz w:val="20"/>
                <w:szCs w:val="20"/>
              </w:rPr>
              <w:t>Transformacja obszaru w kierunku gospodarki o obiegu zamkniętym</w:t>
            </w:r>
          </w:p>
        </w:tc>
        <w:tc>
          <w:tcPr>
            <w:tcW w:w="5638"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14.1 </w:t>
            </w:r>
            <w:r w:rsidRPr="00240A48">
              <w:rPr>
                <w:color w:val="000000" w:themeColor="text1"/>
                <w:sz w:val="20"/>
                <w:szCs w:val="20"/>
              </w:rPr>
              <w:t xml:space="preserve">Utworzenie i odnowa przestrzeni publicznych, w tym wnętrz podwórzowych, terenów zielonych, parków, skwerów i przestrzeni rekreacyjnych </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2. Zdrowie</w:t>
            </w:r>
          </w:p>
        </w:tc>
        <w:tc>
          <w:tcPr>
            <w:tcW w:w="4960" w:type="dxa"/>
            <w:vAlign w:val="center"/>
          </w:tcPr>
          <w:p w:rsidR="006A36A5" w:rsidRPr="00240A48" w:rsidRDefault="006A36A5" w:rsidP="006A36A5">
            <w:pPr>
              <w:spacing w:line="240" w:lineRule="auto"/>
              <w:jc w:val="left"/>
              <w:rPr>
                <w:color w:val="000000" w:themeColor="text1"/>
              </w:rPr>
            </w:pPr>
            <w:r w:rsidRPr="00240A48">
              <w:rPr>
                <w:b/>
                <w:bCs/>
                <w:color w:val="000000" w:themeColor="text1"/>
              </w:rPr>
              <w:t xml:space="preserve">Kierunek działania 5.2 </w:t>
            </w:r>
            <w:r w:rsidRPr="00240A48">
              <w:rPr>
                <w:color w:val="000000" w:themeColor="text1"/>
                <w:sz w:val="20"/>
                <w:szCs w:val="20"/>
              </w:rPr>
              <w:t xml:space="preserve">Rozwój e-usług </w:t>
            </w:r>
          </w:p>
        </w:tc>
        <w:tc>
          <w:tcPr>
            <w:tcW w:w="5640"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10. Transformacja energetyczna</w:t>
            </w:r>
          </w:p>
        </w:tc>
        <w:tc>
          <w:tcPr>
            <w:tcW w:w="5638"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14.2 </w:t>
            </w:r>
            <w:r w:rsidRPr="00240A48">
              <w:rPr>
                <w:color w:val="000000" w:themeColor="text1"/>
                <w:sz w:val="20"/>
                <w:szCs w:val="20"/>
              </w:rPr>
              <w:t>Infrastruktura aktywizacji i integracji społecznej mająca na celu poprawę kondycji psychofizycznej mieszkańców</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2.1 </w:t>
            </w:r>
            <w:r w:rsidRPr="00240A48">
              <w:rPr>
                <w:color w:val="000000" w:themeColor="text1"/>
                <w:sz w:val="20"/>
                <w:szCs w:val="20"/>
              </w:rPr>
              <w:t>Podnoszenie jakości i dostępności systemu opieki zdrowotnej i zapewnianie równego dostępu, w tym inwestycje w infrastrukturę</w:t>
            </w:r>
          </w:p>
        </w:tc>
        <w:tc>
          <w:tcPr>
            <w:tcW w:w="4960" w:type="dxa"/>
            <w:vAlign w:val="center"/>
          </w:tcPr>
          <w:p w:rsidR="006A36A5" w:rsidRPr="00240A48" w:rsidRDefault="006A36A5" w:rsidP="006A36A5">
            <w:pPr>
              <w:spacing w:line="240" w:lineRule="auto"/>
              <w:jc w:val="left"/>
              <w:rPr>
                <w:color w:val="000000" w:themeColor="text1"/>
              </w:rPr>
            </w:pPr>
            <w:r w:rsidRPr="00240A48">
              <w:rPr>
                <w:color w:val="000000" w:themeColor="text1"/>
              </w:rPr>
              <w:t xml:space="preserve">Priorytet 6. Cyfryzacja </w:t>
            </w:r>
          </w:p>
        </w:tc>
        <w:tc>
          <w:tcPr>
            <w:tcW w:w="5640" w:type="dxa"/>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 10.1 </w:t>
            </w:r>
            <w:r w:rsidRPr="00240A48">
              <w:rPr>
                <w:color w:val="000000" w:themeColor="text1"/>
                <w:sz w:val="20"/>
                <w:szCs w:val="20"/>
              </w:rPr>
              <w:t xml:space="preserve">Wypracowanie modelu funkcjonowania energetyki </w:t>
            </w:r>
          </w:p>
        </w:tc>
        <w:tc>
          <w:tcPr>
            <w:tcW w:w="5638"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14.3 </w:t>
            </w:r>
            <w:r w:rsidRPr="00240A48">
              <w:rPr>
                <w:color w:val="000000" w:themeColor="text1"/>
                <w:sz w:val="20"/>
                <w:szCs w:val="20"/>
              </w:rPr>
              <w:t>Poprawa dostępności usług publicznych</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2.2 </w:t>
            </w:r>
            <w:r w:rsidRPr="00240A48">
              <w:rPr>
                <w:color w:val="000000" w:themeColor="text1"/>
                <w:sz w:val="20"/>
                <w:szCs w:val="20"/>
              </w:rPr>
              <w:t>Wspieranie poprawy jakości i dostępności usług społecznych, w tym dla osób ze szczególnymi potrzebami oraz ograniczenie zjawiska wykluczenia społecznego</w:t>
            </w:r>
          </w:p>
        </w:tc>
        <w:tc>
          <w:tcPr>
            <w:tcW w:w="4960" w:type="dxa"/>
            <w:vAlign w:val="center"/>
          </w:tcPr>
          <w:p w:rsidR="006A36A5" w:rsidRPr="00240A48" w:rsidRDefault="006A36A5" w:rsidP="006A36A5">
            <w:pPr>
              <w:spacing w:line="240" w:lineRule="auto"/>
              <w:jc w:val="left"/>
              <w:rPr>
                <w:color w:val="000000" w:themeColor="text1"/>
              </w:rPr>
            </w:pPr>
            <w:r w:rsidRPr="00240A48">
              <w:rPr>
                <w:b/>
                <w:bCs/>
                <w:color w:val="000000" w:themeColor="text1"/>
              </w:rPr>
              <w:t xml:space="preserve">Kierunek działania 6.1 </w:t>
            </w:r>
            <w:r w:rsidRPr="00240A48">
              <w:rPr>
                <w:color w:val="000000" w:themeColor="text1"/>
                <w:sz w:val="20"/>
                <w:szCs w:val="20"/>
              </w:rPr>
              <w:t>Rozwój e-usług publicznych</w:t>
            </w:r>
          </w:p>
        </w:tc>
        <w:tc>
          <w:tcPr>
            <w:tcW w:w="5640" w:type="dxa"/>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 10.2 </w:t>
            </w:r>
            <w:r w:rsidRPr="00240A48">
              <w:rPr>
                <w:color w:val="000000" w:themeColor="text1"/>
                <w:sz w:val="20"/>
                <w:szCs w:val="20"/>
              </w:rPr>
              <w:t>Rozwój inteligentnych sieci energetycznych oraz systemów magazynowania energii poza transeuropejską siecią energetyczną (TEN-E)</w:t>
            </w:r>
          </w:p>
        </w:tc>
        <w:tc>
          <w:tcPr>
            <w:tcW w:w="5638"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15. Zintegrowane zarządzanie obszarem</w:t>
            </w:r>
          </w:p>
        </w:tc>
      </w:tr>
      <w:tr w:rsidR="006A36A5" w:rsidRPr="00240A48" w:rsidTr="006A36A5">
        <w:trPr>
          <w:trHeight w:val="624"/>
        </w:trPr>
        <w:tc>
          <w:tcPr>
            <w:tcW w:w="4956" w:type="dxa"/>
            <w:vAlign w:val="center"/>
          </w:tcPr>
          <w:p w:rsidR="006A36A5" w:rsidRPr="00240A48" w:rsidRDefault="006A36A5" w:rsidP="006A36A5">
            <w:pPr>
              <w:spacing w:line="240" w:lineRule="auto"/>
              <w:jc w:val="left"/>
              <w:rPr>
                <w:b/>
                <w:bCs/>
                <w:color w:val="000000" w:themeColor="text1"/>
                <w:sz w:val="20"/>
                <w:szCs w:val="20"/>
              </w:rPr>
            </w:pPr>
            <w:r w:rsidRPr="00240A48">
              <w:rPr>
                <w:b/>
                <w:bCs/>
                <w:color w:val="000000" w:themeColor="text1"/>
                <w:sz w:val="20"/>
                <w:szCs w:val="20"/>
              </w:rPr>
              <w:t xml:space="preserve">Kierunek działania 2.3 </w:t>
            </w:r>
            <w:r w:rsidRPr="00240A48">
              <w:rPr>
                <w:color w:val="000000" w:themeColor="text1"/>
                <w:sz w:val="20"/>
                <w:szCs w:val="20"/>
              </w:rPr>
              <w:t>Rozwijanie zintegrowanego systemu wsparcia senioralnego</w:t>
            </w:r>
          </w:p>
        </w:tc>
        <w:tc>
          <w:tcPr>
            <w:tcW w:w="4960" w:type="dxa"/>
            <w:vAlign w:val="center"/>
          </w:tcPr>
          <w:p w:rsidR="006A36A5" w:rsidRPr="00240A48" w:rsidRDefault="006A36A5" w:rsidP="006A36A5">
            <w:pPr>
              <w:spacing w:line="240" w:lineRule="auto"/>
              <w:jc w:val="left"/>
              <w:rPr>
                <w:color w:val="000000" w:themeColor="text1"/>
              </w:rPr>
            </w:pPr>
            <w:r w:rsidRPr="00240A48">
              <w:rPr>
                <w:b/>
                <w:bCs/>
                <w:color w:val="000000" w:themeColor="text1"/>
              </w:rPr>
              <w:t xml:space="preserve">Kierunek działania 6.2 </w:t>
            </w:r>
            <w:r w:rsidRPr="00240A48">
              <w:rPr>
                <w:color w:val="000000" w:themeColor="text1"/>
                <w:sz w:val="20"/>
                <w:szCs w:val="20"/>
              </w:rPr>
              <w:t>Cyfryzacja zasobów i zwiększenie dostępności danych publicznych</w:t>
            </w:r>
          </w:p>
        </w:tc>
        <w:tc>
          <w:tcPr>
            <w:tcW w:w="5640"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11. Gospodarka niskoemisyjna</w:t>
            </w:r>
          </w:p>
        </w:tc>
        <w:tc>
          <w:tcPr>
            <w:tcW w:w="5638"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15.1 </w:t>
            </w:r>
            <w:r w:rsidRPr="00240A48">
              <w:rPr>
                <w:color w:val="000000" w:themeColor="text1"/>
                <w:sz w:val="20"/>
                <w:szCs w:val="20"/>
              </w:rPr>
              <w:t>Wdrażanie instrumentu Zintegrowanych Inwestycji Terytorialnych</w:t>
            </w:r>
          </w:p>
        </w:tc>
      </w:tr>
      <w:tr w:rsidR="006A36A5" w:rsidRPr="00240A48" w:rsidTr="006A36A5">
        <w:trPr>
          <w:trHeight w:val="20"/>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2.4 </w:t>
            </w:r>
            <w:r w:rsidRPr="00240A48">
              <w:rPr>
                <w:bCs/>
                <w:color w:val="000000" w:themeColor="text1"/>
                <w:sz w:val="20"/>
                <w:szCs w:val="20"/>
              </w:rPr>
              <w:t>Wspieranie opieki żłobkowej i opieki nad dziećmi do lat 3</w:t>
            </w:r>
          </w:p>
        </w:tc>
        <w:tc>
          <w:tcPr>
            <w:tcW w:w="4960" w:type="dxa"/>
            <w:vAlign w:val="center"/>
          </w:tcPr>
          <w:p w:rsidR="006A36A5" w:rsidRPr="00240A48" w:rsidRDefault="006A36A5" w:rsidP="006A36A5">
            <w:pPr>
              <w:spacing w:line="240" w:lineRule="auto"/>
              <w:jc w:val="left"/>
              <w:rPr>
                <w:color w:val="000000" w:themeColor="text1"/>
              </w:rPr>
            </w:pPr>
            <w:r w:rsidRPr="00240A48">
              <w:rPr>
                <w:color w:val="000000" w:themeColor="text1"/>
              </w:rPr>
              <w:t xml:space="preserve">Priorytet 7. Rynek pracy </w:t>
            </w:r>
          </w:p>
        </w:tc>
        <w:tc>
          <w:tcPr>
            <w:tcW w:w="5640" w:type="dxa"/>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działania11.1 </w:t>
            </w:r>
            <w:r w:rsidRPr="00240A48">
              <w:rPr>
                <w:color w:val="000000" w:themeColor="text1"/>
                <w:sz w:val="20"/>
                <w:szCs w:val="20"/>
              </w:rPr>
              <w:t>Wspieranie efektywności energetycznej i redukcji emisji gazów cieplarnianych</w:t>
            </w:r>
          </w:p>
        </w:tc>
        <w:tc>
          <w:tcPr>
            <w:tcW w:w="5638" w:type="dxa"/>
            <w:vAlign w:val="center"/>
          </w:tcPr>
          <w:p w:rsidR="006A36A5" w:rsidRPr="00240A48" w:rsidRDefault="006A36A5" w:rsidP="006A36A5">
            <w:pPr>
              <w:spacing w:line="240" w:lineRule="auto"/>
              <w:jc w:val="left"/>
              <w:rPr>
                <w:color w:val="000000" w:themeColor="text1"/>
                <w:sz w:val="20"/>
                <w:szCs w:val="20"/>
              </w:rPr>
            </w:pPr>
            <w:r w:rsidRPr="00240A48">
              <w:rPr>
                <w:b/>
                <w:bCs/>
                <w:color w:val="000000" w:themeColor="text1"/>
                <w:sz w:val="20"/>
                <w:szCs w:val="20"/>
              </w:rPr>
              <w:t xml:space="preserve">Kierunek działania 15.2 </w:t>
            </w:r>
            <w:r w:rsidRPr="00240A48">
              <w:rPr>
                <w:color w:val="000000" w:themeColor="text1"/>
                <w:sz w:val="20"/>
                <w:szCs w:val="20"/>
              </w:rPr>
              <w:t>Tworzenie partnerskich projektów przez gminy WrOF poza mechanizmem ZIT</w:t>
            </w:r>
          </w:p>
        </w:tc>
      </w:tr>
      <w:tr w:rsidR="006A36A5" w:rsidRPr="00240A48" w:rsidTr="006A36A5">
        <w:trPr>
          <w:trHeight w:val="567"/>
        </w:trPr>
        <w:tc>
          <w:tcPr>
            <w:tcW w:w="4956" w:type="dxa"/>
            <w:vAlign w:val="center"/>
          </w:tcPr>
          <w:p w:rsidR="006A36A5" w:rsidRPr="00240A48" w:rsidRDefault="006A36A5" w:rsidP="006A36A5">
            <w:pPr>
              <w:spacing w:line="240" w:lineRule="auto"/>
              <w:jc w:val="left"/>
              <w:rPr>
                <w:color w:val="000000" w:themeColor="text1"/>
              </w:rPr>
            </w:pPr>
            <w:r w:rsidRPr="00240A48">
              <w:rPr>
                <w:color w:val="000000" w:themeColor="text1"/>
              </w:rPr>
              <w:t>Priorytet 3. Edukacja</w:t>
            </w:r>
          </w:p>
        </w:tc>
        <w:tc>
          <w:tcPr>
            <w:tcW w:w="4960" w:type="dxa"/>
            <w:vAlign w:val="center"/>
          </w:tcPr>
          <w:p w:rsidR="006A36A5" w:rsidRPr="00240A48" w:rsidRDefault="006A36A5" w:rsidP="006A36A5">
            <w:pPr>
              <w:spacing w:line="240" w:lineRule="auto"/>
              <w:jc w:val="left"/>
              <w:rPr>
                <w:color w:val="000000" w:themeColor="text1"/>
                <w:sz w:val="20"/>
                <w:szCs w:val="20"/>
              </w:rPr>
            </w:pPr>
            <w:r w:rsidRPr="00240A48">
              <w:rPr>
                <w:b/>
                <w:bCs/>
                <w:color w:val="000000" w:themeColor="text1"/>
              </w:rPr>
              <w:t xml:space="preserve">Kierunek działania 7.1 </w:t>
            </w:r>
            <w:r w:rsidRPr="00240A48">
              <w:rPr>
                <w:color w:val="000000" w:themeColor="text1"/>
                <w:sz w:val="20"/>
                <w:szCs w:val="20"/>
              </w:rPr>
              <w:t>Wdrażanie różnorodnych form aktywizacji zawodowej</w:t>
            </w:r>
          </w:p>
        </w:tc>
        <w:tc>
          <w:tcPr>
            <w:tcW w:w="5640" w:type="dxa"/>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 11.2 </w:t>
            </w:r>
            <w:r w:rsidRPr="00240A48">
              <w:rPr>
                <w:color w:val="000000" w:themeColor="text1"/>
                <w:sz w:val="20"/>
                <w:szCs w:val="20"/>
              </w:rPr>
              <w:t>Wspieranie rozwoju energii odnawialnej</w:t>
            </w:r>
          </w:p>
        </w:tc>
        <w:tc>
          <w:tcPr>
            <w:tcW w:w="5638" w:type="dxa"/>
            <w:tcBorders>
              <w:bottom w:val="single" w:sz="4" w:space="0" w:color="000000" w:themeColor="text1"/>
            </w:tcBorders>
            <w:vAlign w:val="center"/>
          </w:tcPr>
          <w:p w:rsidR="006A36A5" w:rsidRPr="00240A48" w:rsidRDefault="006A36A5" w:rsidP="006A36A5">
            <w:pPr>
              <w:spacing w:line="240" w:lineRule="auto"/>
              <w:jc w:val="left"/>
              <w:rPr>
                <w:color w:val="000000" w:themeColor="text1"/>
                <w:sz w:val="20"/>
                <w:szCs w:val="20"/>
              </w:rPr>
            </w:pPr>
            <w:r w:rsidRPr="00240A48">
              <w:rPr>
                <w:color w:val="000000" w:themeColor="text1"/>
              </w:rPr>
              <w:t>Priorytet 16. Planowanie przestrzenne</w:t>
            </w:r>
          </w:p>
        </w:tc>
      </w:tr>
      <w:tr w:rsidR="006A36A5" w:rsidRPr="00240A48" w:rsidTr="006A36A5">
        <w:trPr>
          <w:trHeight w:val="610"/>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3.1 </w:t>
            </w:r>
            <w:r w:rsidRPr="00240A48">
              <w:rPr>
                <w:color w:val="000000" w:themeColor="text1"/>
                <w:sz w:val="20"/>
                <w:szCs w:val="20"/>
              </w:rPr>
              <w:t>Wspieranie równego dostępu do wysokiej jakości kształcenia i szkolenia</w:t>
            </w:r>
          </w:p>
        </w:tc>
        <w:tc>
          <w:tcPr>
            <w:tcW w:w="4960" w:type="dxa"/>
            <w:vAlign w:val="center"/>
          </w:tcPr>
          <w:p w:rsidR="006A36A5" w:rsidRPr="00240A48" w:rsidRDefault="006A36A5" w:rsidP="006A36A5">
            <w:pPr>
              <w:spacing w:line="240" w:lineRule="auto"/>
              <w:jc w:val="left"/>
              <w:rPr>
                <w:color w:val="000000" w:themeColor="text1"/>
              </w:rPr>
            </w:pPr>
            <w:r w:rsidRPr="00240A48">
              <w:rPr>
                <w:b/>
                <w:bCs/>
                <w:color w:val="000000" w:themeColor="text1"/>
              </w:rPr>
              <w:t xml:space="preserve">Kierunek działania 7.2 </w:t>
            </w:r>
            <w:r w:rsidRPr="00240A48">
              <w:rPr>
                <w:color w:val="000000" w:themeColor="text1"/>
                <w:sz w:val="20"/>
                <w:szCs w:val="20"/>
              </w:rPr>
              <w:t>Adaptacja do zmian na rynku pracy</w:t>
            </w:r>
          </w:p>
        </w:tc>
        <w:tc>
          <w:tcPr>
            <w:tcW w:w="5640" w:type="dxa"/>
            <w:tcBorders>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color w:val="000000" w:themeColor="text1"/>
              </w:rPr>
              <w:t>Priorytet 12. Ochrona zasobów środowiska i jego bioróżnorodności</w:t>
            </w:r>
          </w:p>
        </w:tc>
        <w:tc>
          <w:tcPr>
            <w:tcW w:w="56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sz w:val="20"/>
                <w:szCs w:val="20"/>
              </w:rPr>
            </w:pPr>
            <w:r w:rsidRPr="00240A48">
              <w:rPr>
                <w:b/>
                <w:bCs/>
                <w:color w:val="000000" w:themeColor="text1"/>
                <w:sz w:val="20"/>
                <w:szCs w:val="20"/>
              </w:rPr>
              <w:t xml:space="preserve">Kierunek działania 16.1 </w:t>
            </w:r>
            <w:r w:rsidRPr="00240A48">
              <w:rPr>
                <w:color w:val="000000" w:themeColor="text1"/>
                <w:sz w:val="20"/>
                <w:szCs w:val="20"/>
              </w:rPr>
              <w:t>Koordynacja planowania przestrzennego</w:t>
            </w:r>
          </w:p>
        </w:tc>
      </w:tr>
      <w:tr w:rsidR="006A36A5" w:rsidRPr="00240A48" w:rsidTr="006A36A5">
        <w:trPr>
          <w:trHeight w:val="610"/>
        </w:trPr>
        <w:tc>
          <w:tcPr>
            <w:tcW w:w="4956" w:type="dxa"/>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3.2 </w:t>
            </w:r>
            <w:r w:rsidRPr="00240A48">
              <w:rPr>
                <w:color w:val="000000" w:themeColor="text1"/>
                <w:sz w:val="20"/>
                <w:szCs w:val="20"/>
              </w:rPr>
              <w:t xml:space="preserve">Wspieranie podnoszenia kwalifikacji i uczenia się przez całe życie </w:t>
            </w:r>
          </w:p>
        </w:tc>
        <w:tc>
          <w:tcPr>
            <w:tcW w:w="4960" w:type="dxa"/>
            <w:tcBorders>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color w:val="000000" w:themeColor="text1"/>
              </w:rPr>
              <w:t>Priorytet 8. Turystyka</w:t>
            </w: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b/>
                <w:bCs/>
                <w:color w:val="000000" w:themeColor="text1"/>
                <w:szCs w:val="20"/>
              </w:rPr>
              <w:t xml:space="preserve">Kierunek działania </w:t>
            </w:r>
            <w:r w:rsidRPr="00240A48">
              <w:rPr>
                <w:b/>
                <w:bCs/>
                <w:color w:val="000000" w:themeColor="text1"/>
                <w:szCs w:val="20"/>
                <w:shd w:val="clear" w:color="auto" w:fill="FFFFFF" w:themeFill="background1"/>
              </w:rPr>
              <w:t>1</w:t>
            </w:r>
            <w:r w:rsidRPr="00240A48">
              <w:rPr>
                <w:b/>
                <w:bCs/>
                <w:color w:val="000000" w:themeColor="text1"/>
                <w:szCs w:val="20"/>
              </w:rPr>
              <w:t xml:space="preserve">2.1 </w:t>
            </w:r>
            <w:r w:rsidRPr="00240A48">
              <w:rPr>
                <w:color w:val="000000" w:themeColor="text1"/>
                <w:sz w:val="20"/>
                <w:szCs w:val="20"/>
              </w:rPr>
              <w:t xml:space="preserve">Rozwijanie gospodarki wodno-ściekowej </w:t>
            </w:r>
          </w:p>
        </w:tc>
        <w:tc>
          <w:tcPr>
            <w:tcW w:w="5638" w:type="dxa"/>
            <w:tcBorders>
              <w:top w:val="single" w:sz="4" w:space="0" w:color="000000" w:themeColor="text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sz w:val="20"/>
                <w:szCs w:val="20"/>
              </w:rPr>
            </w:pPr>
          </w:p>
        </w:tc>
      </w:tr>
      <w:tr w:rsidR="006A36A5" w:rsidRPr="00240A48" w:rsidTr="006A36A5">
        <w:trPr>
          <w:trHeight w:val="610"/>
        </w:trPr>
        <w:tc>
          <w:tcPr>
            <w:tcW w:w="4956" w:type="dxa"/>
            <w:tcBorders>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color w:val="000000" w:themeColor="text1"/>
              </w:rPr>
              <w:t>Priorytet 4. Migranci</w:t>
            </w:r>
          </w:p>
        </w:tc>
        <w:tc>
          <w:tcPr>
            <w:tcW w:w="4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r w:rsidRPr="00240A48">
              <w:rPr>
                <w:b/>
                <w:bCs/>
                <w:color w:val="000000" w:themeColor="text1"/>
              </w:rPr>
              <w:t xml:space="preserve">Kierunek działania 8.1 </w:t>
            </w:r>
            <w:r w:rsidRPr="00240A48">
              <w:rPr>
                <w:color w:val="000000" w:themeColor="text1"/>
                <w:sz w:val="20"/>
                <w:szCs w:val="20"/>
              </w:rPr>
              <w:t>Promocja obszaru i wzmacnianie roli zrównoważonej turystyki w rozwoju gospodarczym</w:t>
            </w: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szCs w:val="20"/>
              </w:rPr>
            </w:pPr>
            <w:r w:rsidRPr="00240A48">
              <w:rPr>
                <w:b/>
                <w:bCs/>
                <w:color w:val="000000" w:themeColor="text1"/>
                <w:szCs w:val="20"/>
              </w:rPr>
              <w:t xml:space="preserve">Kierunek działania 12.2 </w:t>
            </w:r>
            <w:r w:rsidRPr="00240A48">
              <w:rPr>
                <w:color w:val="000000" w:themeColor="text1"/>
                <w:sz w:val="20"/>
                <w:szCs w:val="20"/>
              </w:rPr>
              <w:t>Ochrona różnorodności biologicznej oraz adaptacja do zmian klimatu wraz z zabezpieczeniem i zwiększeniem odporności na klęski żywiołowe</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r w:rsidR="006A36A5" w:rsidRPr="00240A48" w:rsidTr="006A36A5">
        <w:trPr>
          <w:trHeight w:val="610"/>
        </w:trPr>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4.1 </w:t>
            </w:r>
            <w:r w:rsidRPr="00240A48">
              <w:rPr>
                <w:color w:val="000000" w:themeColor="text1"/>
                <w:sz w:val="20"/>
                <w:szCs w:val="20"/>
              </w:rPr>
              <w:t>Wspieranie integracji społeczno-gospodarczej obywateli państw trzecich</w:t>
            </w:r>
          </w:p>
        </w:tc>
        <w:tc>
          <w:tcPr>
            <w:tcW w:w="4960" w:type="dxa"/>
            <w:tcBorders>
              <w:top w:val="single" w:sz="4" w:space="0" w:color="000000" w:themeColor="text1"/>
              <w:left w:val="single" w:sz="4" w:space="0" w:color="000000" w:themeColor="text1"/>
              <w:bottom w:val="single" w:sz="4" w:space="0" w:color="FFFFFF" w:themeColor="background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szCs w:val="20"/>
              </w:rPr>
            </w:pPr>
            <w:r w:rsidRPr="00240A48">
              <w:rPr>
                <w:color w:val="000000" w:themeColor="text1"/>
              </w:rPr>
              <w:t>Priorytet 13. Zrównoważona mobilność</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r w:rsidR="006A36A5" w:rsidRPr="00240A48" w:rsidTr="006A36A5">
        <w:trPr>
          <w:trHeight w:val="610"/>
        </w:trPr>
        <w:tc>
          <w:tcPr>
            <w:tcW w:w="4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rPr>
            </w:pPr>
            <w:r w:rsidRPr="00240A48">
              <w:rPr>
                <w:b/>
                <w:bCs/>
                <w:color w:val="000000" w:themeColor="text1"/>
                <w:sz w:val="20"/>
                <w:szCs w:val="20"/>
              </w:rPr>
              <w:t xml:space="preserve">Kierunek działania 4.2 </w:t>
            </w:r>
            <w:r w:rsidRPr="00240A48">
              <w:rPr>
                <w:color w:val="000000" w:themeColor="text1"/>
                <w:sz w:val="20"/>
                <w:szCs w:val="20"/>
              </w:rPr>
              <w:t>Tworzenie systemu skutecznej integracji migrantów</w:t>
            </w:r>
          </w:p>
        </w:tc>
        <w:tc>
          <w:tcPr>
            <w:tcW w:w="4960" w:type="dxa"/>
            <w:tcBorders>
              <w:top w:val="single" w:sz="4" w:space="0" w:color="FFFFFF" w:themeColor="background1"/>
              <w:left w:val="single" w:sz="4" w:space="0" w:color="000000" w:themeColor="text1"/>
              <w:bottom w:val="single" w:sz="4" w:space="0" w:color="FFFFFF" w:themeColor="background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szCs w:val="20"/>
              </w:rPr>
            </w:pPr>
            <w:r w:rsidRPr="00240A48">
              <w:rPr>
                <w:b/>
                <w:bCs/>
                <w:color w:val="000000" w:themeColor="text1"/>
                <w:szCs w:val="20"/>
              </w:rPr>
              <w:t xml:space="preserve">Kierunek działania 13.1 </w:t>
            </w:r>
            <w:r w:rsidRPr="00240A48">
              <w:rPr>
                <w:color w:val="000000" w:themeColor="text1"/>
                <w:sz w:val="20"/>
                <w:szCs w:val="20"/>
              </w:rPr>
              <w:t>Zwiększenie konkurencyjności transportu zbiorowego i niskoemisyjnych form przemieszczania się</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r w:rsidR="006A36A5" w:rsidRPr="00240A48" w:rsidTr="006A36A5">
        <w:trPr>
          <w:trHeight w:val="610"/>
        </w:trPr>
        <w:tc>
          <w:tcPr>
            <w:tcW w:w="4956"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c>
          <w:tcPr>
            <w:tcW w:w="496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color w:val="000000" w:themeColor="text1"/>
                <w:sz w:val="20"/>
                <w:szCs w:val="20"/>
              </w:rPr>
            </w:pPr>
            <w:r w:rsidRPr="00240A48">
              <w:rPr>
                <w:b/>
                <w:bCs/>
                <w:color w:val="000000" w:themeColor="text1"/>
                <w:szCs w:val="20"/>
              </w:rPr>
              <w:t xml:space="preserve">Kierunek działania 13.2 </w:t>
            </w:r>
            <w:r w:rsidRPr="00240A48">
              <w:rPr>
                <w:color w:val="000000" w:themeColor="text1"/>
                <w:sz w:val="20"/>
                <w:szCs w:val="20"/>
              </w:rPr>
              <w:t>Rozwój infrastruktury i działań wspierających osiągnięcie zrównoważonej mobilności</w:t>
            </w:r>
          </w:p>
          <w:p w:rsidR="006A36A5" w:rsidRPr="00240A48" w:rsidRDefault="006A36A5" w:rsidP="006A36A5">
            <w:pPr>
              <w:spacing w:line="240" w:lineRule="auto"/>
              <w:jc w:val="left"/>
              <w:rPr>
                <w:b/>
                <w:bCs/>
                <w:color w:val="000000" w:themeColor="text1"/>
                <w:szCs w:val="20"/>
              </w:rPr>
            </w:pPr>
            <w:r w:rsidRPr="00240A48">
              <w:rPr>
                <w:b/>
                <w:bCs/>
                <w:color w:val="000000" w:themeColor="text1"/>
                <w:szCs w:val="20"/>
              </w:rPr>
              <w:t xml:space="preserve">Kierunek działania 13.3 </w:t>
            </w:r>
            <w:r w:rsidRPr="00240A48">
              <w:rPr>
                <w:color w:val="000000" w:themeColor="text1"/>
                <w:sz w:val="20"/>
                <w:szCs w:val="20"/>
              </w:rPr>
              <w:t>Promowanie oraz rozwój nowych form i usług z zakresu mobilności</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r w:rsidR="006A36A5" w:rsidRPr="00240A48" w:rsidTr="006A36A5">
        <w:trPr>
          <w:trHeight w:val="610"/>
        </w:trPr>
        <w:tc>
          <w:tcPr>
            <w:tcW w:w="4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c>
          <w:tcPr>
            <w:tcW w:w="496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szCs w:val="20"/>
              </w:rPr>
            </w:pPr>
            <w:r w:rsidRPr="00240A48">
              <w:rPr>
                <w:b/>
                <w:bCs/>
                <w:color w:val="000000" w:themeColor="text1"/>
                <w:szCs w:val="20"/>
              </w:rPr>
              <w:t xml:space="preserve">Kierunek działania 13.4 </w:t>
            </w:r>
            <w:r w:rsidRPr="00240A48">
              <w:rPr>
                <w:color w:val="000000" w:themeColor="text1"/>
                <w:sz w:val="20"/>
                <w:szCs w:val="20"/>
              </w:rPr>
              <w:t>Rozwój i wsparcie infrastruktury w ramach TEN-T</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r w:rsidR="006A36A5" w:rsidRPr="00240A48" w:rsidTr="006A36A5">
        <w:trPr>
          <w:trHeight w:val="610"/>
        </w:trPr>
        <w:tc>
          <w:tcPr>
            <w:tcW w:w="49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c>
          <w:tcPr>
            <w:tcW w:w="4960" w:type="dxa"/>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vAlign w:val="center"/>
          </w:tcPr>
          <w:p w:rsidR="006A36A5" w:rsidRPr="00240A48" w:rsidRDefault="006A36A5" w:rsidP="006A36A5">
            <w:pPr>
              <w:spacing w:line="240" w:lineRule="auto"/>
              <w:jc w:val="left"/>
              <w:rPr>
                <w:b/>
                <w:bCs/>
                <w:color w:val="000000" w:themeColor="text1"/>
              </w:rPr>
            </w:pPr>
          </w:p>
        </w:tc>
        <w:tc>
          <w:tcPr>
            <w:tcW w:w="56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A36A5" w:rsidRPr="00240A48" w:rsidRDefault="006A36A5" w:rsidP="006A36A5">
            <w:pPr>
              <w:spacing w:line="240" w:lineRule="auto"/>
              <w:jc w:val="left"/>
              <w:rPr>
                <w:b/>
                <w:bCs/>
                <w:color w:val="000000" w:themeColor="text1"/>
                <w:szCs w:val="20"/>
              </w:rPr>
            </w:pPr>
            <w:r w:rsidRPr="00240A48">
              <w:rPr>
                <w:b/>
                <w:bCs/>
                <w:color w:val="000000" w:themeColor="text1"/>
                <w:szCs w:val="20"/>
              </w:rPr>
              <w:t xml:space="preserve">Kierunek działania 13.5 </w:t>
            </w:r>
            <w:r w:rsidRPr="00240A48">
              <w:rPr>
                <w:color w:val="000000" w:themeColor="text1"/>
                <w:sz w:val="20"/>
                <w:szCs w:val="20"/>
              </w:rPr>
              <w:t>Rozwój i udoskonalanie infrastruktury transportu drogowego, kolejowego oraz wodnego śródlądowego na rzecz poprawy dostępu do TEN-T oraz mobilności transgranicznej</w:t>
            </w:r>
          </w:p>
        </w:tc>
        <w:tc>
          <w:tcPr>
            <w:tcW w:w="5638"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vAlign w:val="center"/>
          </w:tcPr>
          <w:p w:rsidR="006A36A5" w:rsidRPr="00240A48" w:rsidRDefault="006A36A5" w:rsidP="006A36A5">
            <w:pPr>
              <w:spacing w:line="240" w:lineRule="auto"/>
              <w:jc w:val="left"/>
              <w:rPr>
                <w:color w:val="000000" w:themeColor="text1"/>
              </w:rPr>
            </w:pPr>
          </w:p>
        </w:tc>
      </w:tr>
    </w:tbl>
    <w:p w:rsidR="00216B5C" w:rsidRDefault="00216B5C" w:rsidP="00216B5C">
      <w:pPr>
        <w:sectPr w:rsidR="00216B5C" w:rsidSect="00D74575">
          <w:headerReference w:type="first" r:id="rId46"/>
          <w:footerReference w:type="first" r:id="rId47"/>
          <w:pgSz w:w="23811" w:h="16838" w:orient="landscape" w:code="8"/>
          <w:pgMar w:top="1417" w:right="1417" w:bottom="1417" w:left="1417" w:header="708" w:footer="708" w:gutter="0"/>
          <w:cols w:space="708"/>
          <w:titlePg/>
          <w:docGrid w:linePitch="360"/>
        </w:sectPr>
      </w:pPr>
    </w:p>
    <w:p w:rsidR="006A36A5" w:rsidRDefault="00216B5C" w:rsidP="00216B5C">
      <w:pPr>
        <w:spacing w:after="0" w:line="336" w:lineRule="auto"/>
        <w:rPr>
          <w:rFonts w:asciiTheme="majorHAnsi" w:eastAsiaTheme="majorEastAsia" w:hAnsiTheme="majorHAnsi" w:cstheme="majorBidi"/>
          <w:b/>
          <w:color w:val="FFC000"/>
          <w:sz w:val="32"/>
          <w:szCs w:val="26"/>
        </w:rPr>
      </w:pPr>
      <w:r w:rsidRPr="00CA6C23">
        <w:rPr>
          <w:noProof/>
          <w:lang w:eastAsia="pl-PL"/>
        </w:rPr>
        <w:drawing>
          <wp:inline distT="0" distB="0" distL="0" distR="0" wp14:anchorId="24CF1D8A" wp14:editId="38ACF4E0">
            <wp:extent cx="1541780" cy="2150110"/>
            <wp:effectExtent l="0" t="0" r="1270" b="2540"/>
            <wp:docPr id="236" name="Obraz 236" descr="wymiar społeczny - cel strategiczny 1 - poprawa jakości życia na terenie WroF - cel strategiczny 1 - poprawa jakości życia na terenie WroF" title="wymiar społeczny - cel strategiczny 1 - poprawa jakości życia na terenie WroF - cel strategiczny 1 - poprawa jakości życia na terenie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BIT\wszyscy\ZIT\Realizacja STRATEGIA ZIT WrOF\Ikony schematów\ikony schematów 2\cel strategiczny 2-07.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41780" cy="2150110"/>
                    </a:xfrm>
                    <a:prstGeom prst="rect">
                      <a:avLst/>
                    </a:prstGeom>
                    <a:noFill/>
                    <a:ln>
                      <a:noFill/>
                    </a:ln>
                  </pic:spPr>
                </pic:pic>
              </a:graphicData>
            </a:graphic>
          </wp:inline>
        </w:drawing>
      </w:r>
    </w:p>
    <w:p w:rsidR="00216B5C" w:rsidRPr="006A36A5" w:rsidRDefault="00216B5C" w:rsidP="006A36A5">
      <w:pPr>
        <w:spacing w:after="0" w:line="336" w:lineRule="auto"/>
        <w:jc w:val="left"/>
        <w:rPr>
          <w:color w:val="000000" w:themeColor="text1"/>
          <w:sz w:val="24"/>
        </w:rPr>
      </w:pPr>
      <w:r w:rsidRPr="006A36A5">
        <w:rPr>
          <w:rFonts w:asciiTheme="majorHAnsi" w:eastAsiaTheme="majorEastAsia" w:hAnsiTheme="majorHAnsi" w:cstheme="majorBidi"/>
          <w:b/>
          <w:color w:val="000000" w:themeColor="text1"/>
          <w:sz w:val="36"/>
          <w:szCs w:val="26"/>
        </w:rPr>
        <w:t>Wymiar społeczny</w:t>
      </w:r>
      <w:r w:rsidR="001244E0" w:rsidRPr="006A36A5">
        <w:rPr>
          <w:rFonts w:asciiTheme="majorHAnsi" w:eastAsiaTheme="majorEastAsia" w:hAnsiTheme="majorHAnsi" w:cstheme="majorBidi"/>
          <w:b/>
          <w:color w:val="000000" w:themeColor="text1"/>
          <w:sz w:val="36"/>
          <w:szCs w:val="26"/>
        </w:rPr>
        <w:t xml:space="preserve"> </w:t>
      </w:r>
      <w:r w:rsidRPr="006A36A5">
        <w:rPr>
          <w:color w:val="000000" w:themeColor="text1"/>
          <w:sz w:val="24"/>
        </w:rPr>
        <w:t>skupiony</w:t>
      </w:r>
      <w:r w:rsidR="00246827" w:rsidRPr="006A36A5">
        <w:rPr>
          <w:color w:val="000000" w:themeColor="text1"/>
          <w:sz w:val="24"/>
        </w:rPr>
        <w:t xml:space="preserve"> </w:t>
      </w:r>
      <w:r w:rsidRPr="006A36A5">
        <w:rPr>
          <w:color w:val="000000" w:themeColor="text1"/>
          <w:sz w:val="24"/>
        </w:rPr>
        <w:t>jest na zaspokojeniu potrzeb wszystkich grup mieszkańców, jak również zapewnieniu we WrOF odpowiednich warunków do życia, a tym samym wzmocnieniu atrakcyjności osiedleńczej. W ramach celu strategicznego 1 wyróżniono cztery priorytety dotyczące szeroko rozumianej polityki społecznej. Realizacja przewidzianych w ich ramach kierunków działań pozwoli na poprawę jakości życia mieszkańców, wzrost integracji społecznej oraz zwiększenie atrakcyjności obszaru WrOF jako miejsca zamieszkania.</w:t>
      </w:r>
    </w:p>
    <w:tbl>
      <w:tblPr>
        <w:tblStyle w:val="Tabela-Siatka"/>
        <w:tblW w:w="9052" w:type="dxa"/>
        <w:tblLook w:val="04A0" w:firstRow="1" w:lastRow="0" w:firstColumn="1" w:lastColumn="0" w:noHBand="0" w:noVBand="1"/>
        <w:tblCaption w:val="Wyzwania w ramach pierwszego celu strategicznego "/>
        <w:tblDescription w:val="Wyzwania w ramach pierwszego celu strategicznego "/>
      </w:tblPr>
      <w:tblGrid>
        <w:gridCol w:w="699"/>
        <w:gridCol w:w="8353"/>
      </w:tblGrid>
      <w:tr w:rsidR="00F25E70" w:rsidRPr="00240A48" w:rsidTr="00F25E70">
        <w:trPr>
          <w:trHeight w:val="624"/>
          <w:tblHeader/>
        </w:trPr>
        <w:tc>
          <w:tcPr>
            <w:tcW w:w="699" w:type="dxa"/>
            <w:shd w:val="clear" w:color="auto" w:fill="FFF7DD"/>
            <w:vAlign w:val="center"/>
          </w:tcPr>
          <w:p w:rsidR="00F25E70" w:rsidRPr="00240A48" w:rsidRDefault="00F25E70" w:rsidP="006A36A5">
            <w:pPr>
              <w:autoSpaceDE w:val="0"/>
              <w:autoSpaceDN w:val="0"/>
              <w:adjustRightInd w:val="0"/>
              <w:spacing w:before="120" w:after="120" w:line="240" w:lineRule="auto"/>
              <w:jc w:val="left"/>
              <w:rPr>
                <w:color w:val="000000" w:themeColor="text1"/>
              </w:rPr>
            </w:pPr>
            <w:proofErr w:type="spellStart"/>
            <w:r>
              <w:rPr>
                <w:color w:val="000000" w:themeColor="text1"/>
              </w:rPr>
              <w:t>lp</w:t>
            </w:r>
            <w:proofErr w:type="spellEnd"/>
          </w:p>
        </w:tc>
        <w:tc>
          <w:tcPr>
            <w:tcW w:w="8353" w:type="dxa"/>
            <w:shd w:val="clear" w:color="auto" w:fill="FFF7DD"/>
            <w:vAlign w:val="center"/>
          </w:tcPr>
          <w:p w:rsidR="00F25E70" w:rsidRPr="00240A48" w:rsidRDefault="00F25E70" w:rsidP="006A36A5">
            <w:pPr>
              <w:autoSpaceDE w:val="0"/>
              <w:autoSpaceDN w:val="0"/>
              <w:adjustRightInd w:val="0"/>
              <w:spacing w:before="120" w:after="120" w:line="240" w:lineRule="auto"/>
              <w:jc w:val="left"/>
              <w:rPr>
                <w:color w:val="000000" w:themeColor="text1"/>
              </w:rPr>
            </w:pPr>
            <w:r w:rsidRPr="00240A48">
              <w:rPr>
                <w:rFonts w:asciiTheme="majorHAnsi" w:eastAsiaTheme="majorEastAsia" w:hAnsiTheme="majorHAnsi" w:cstheme="majorBidi"/>
                <w:b/>
                <w:color w:val="000000" w:themeColor="text1"/>
                <w:sz w:val="32"/>
                <w:szCs w:val="26"/>
              </w:rPr>
              <w:t>Wyzwania w ramach pierwszego celu strategicznego to:</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w:t>
            </w:r>
          </w:p>
        </w:tc>
        <w:tc>
          <w:tcPr>
            <w:tcW w:w="8353" w:type="dxa"/>
            <w:vAlign w:val="center"/>
          </w:tcPr>
          <w:p w:rsidR="006A36A5" w:rsidRDefault="006A36A5" w:rsidP="006A36A5">
            <w:pPr>
              <w:autoSpaceDE w:val="0"/>
              <w:autoSpaceDN w:val="0"/>
              <w:adjustRightInd w:val="0"/>
              <w:spacing w:line="240" w:lineRule="auto"/>
              <w:jc w:val="left"/>
            </w:pPr>
            <w:r>
              <w:t xml:space="preserve">Wyeksponowanie, </w:t>
            </w:r>
            <w:r w:rsidRPr="001D30C6">
              <w:t xml:space="preserve">ochrona </w:t>
            </w:r>
            <w:r>
              <w:t xml:space="preserve">i odnowa </w:t>
            </w:r>
            <w:r w:rsidRPr="001D30C6">
              <w:t>zasobów dziedzictwa kulturowego i historycznego terenu W</w:t>
            </w:r>
            <w:r>
              <w:t>rOF.</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2</w:t>
            </w:r>
          </w:p>
        </w:tc>
        <w:tc>
          <w:tcPr>
            <w:tcW w:w="8353" w:type="dxa"/>
            <w:vAlign w:val="center"/>
          </w:tcPr>
          <w:p w:rsidR="006A36A5" w:rsidRDefault="006A36A5" w:rsidP="006A36A5">
            <w:pPr>
              <w:autoSpaceDE w:val="0"/>
              <w:autoSpaceDN w:val="0"/>
              <w:adjustRightInd w:val="0"/>
              <w:spacing w:line="240" w:lineRule="auto"/>
              <w:jc w:val="left"/>
            </w:pPr>
            <w:r w:rsidRPr="00D37080">
              <w:t>Budow</w:t>
            </w:r>
            <w:r>
              <w:t>a, rozbudowa, remont, konserwacja lub</w:t>
            </w:r>
            <w:r w:rsidRPr="00D37080">
              <w:t xml:space="preserve"> modernizacj</w:t>
            </w:r>
            <w:r>
              <w:t>a</w:t>
            </w:r>
            <w:r w:rsidRPr="00D37080">
              <w:t xml:space="preserve"> budynków pełniących funkcje kulturalne,</w:t>
            </w:r>
            <w:r>
              <w:t xml:space="preserve"> z uwzględnieniem wyposażenia oraz terenów tych budynków.</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3</w:t>
            </w:r>
          </w:p>
        </w:tc>
        <w:tc>
          <w:tcPr>
            <w:tcW w:w="8353" w:type="dxa"/>
            <w:vAlign w:val="center"/>
          </w:tcPr>
          <w:p w:rsidR="006A36A5" w:rsidRPr="001D30C6" w:rsidRDefault="006A36A5" w:rsidP="006A36A5">
            <w:pPr>
              <w:autoSpaceDE w:val="0"/>
              <w:autoSpaceDN w:val="0"/>
              <w:adjustRightInd w:val="0"/>
              <w:spacing w:line="240" w:lineRule="auto"/>
              <w:jc w:val="left"/>
            </w:pPr>
            <w:r w:rsidRPr="001D30C6">
              <w:t>Poszerzanie ofer</w:t>
            </w:r>
            <w:r>
              <w:t>ty kulturalnej na obszarze WROF.</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4</w:t>
            </w:r>
          </w:p>
        </w:tc>
        <w:tc>
          <w:tcPr>
            <w:tcW w:w="8353" w:type="dxa"/>
            <w:vAlign w:val="center"/>
          </w:tcPr>
          <w:p w:rsidR="006A36A5" w:rsidRDefault="006A36A5" w:rsidP="006A36A5">
            <w:pPr>
              <w:autoSpaceDE w:val="0"/>
              <w:autoSpaceDN w:val="0"/>
              <w:adjustRightInd w:val="0"/>
              <w:spacing w:line="240" w:lineRule="auto"/>
              <w:jc w:val="left"/>
            </w:pPr>
            <w:r w:rsidRPr="00192D31">
              <w:t>Budowa, rozbudowa, modernizacja i doposażenie podmiotó</w:t>
            </w:r>
            <w:r>
              <w:t>w leczniczych, w tym szpitali i </w:t>
            </w:r>
            <w:r w:rsidRPr="00192D31">
              <w:t>placówek podstawowej opieki zdrowotnej.</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5</w:t>
            </w:r>
          </w:p>
        </w:tc>
        <w:tc>
          <w:tcPr>
            <w:tcW w:w="8353" w:type="dxa"/>
            <w:vAlign w:val="center"/>
          </w:tcPr>
          <w:p w:rsidR="006A36A5" w:rsidRDefault="006A36A5" w:rsidP="006A36A5">
            <w:pPr>
              <w:autoSpaceDE w:val="0"/>
              <w:autoSpaceDN w:val="0"/>
              <w:adjustRightInd w:val="0"/>
              <w:spacing w:line="240" w:lineRule="auto"/>
              <w:jc w:val="left"/>
            </w:pPr>
            <w:r w:rsidRPr="00192D31">
              <w:t>Poprawa jakości i dostępności usług medycznych</w:t>
            </w:r>
            <w:r>
              <w:t>,</w:t>
            </w:r>
            <w:r w:rsidRPr="00192D31">
              <w:t xml:space="preserve"> wspieranie oraz wdrażanie projektów profilaktycznych.</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6</w:t>
            </w:r>
          </w:p>
        </w:tc>
        <w:tc>
          <w:tcPr>
            <w:tcW w:w="8353" w:type="dxa"/>
            <w:vAlign w:val="center"/>
          </w:tcPr>
          <w:p w:rsidR="006A36A5" w:rsidRDefault="006A36A5" w:rsidP="006A36A5">
            <w:pPr>
              <w:autoSpaceDE w:val="0"/>
              <w:autoSpaceDN w:val="0"/>
              <w:adjustRightInd w:val="0"/>
              <w:spacing w:line="240" w:lineRule="auto"/>
              <w:jc w:val="left"/>
            </w:pPr>
            <w:r w:rsidRPr="00192D31">
              <w:t xml:space="preserve">Umożliwianie </w:t>
            </w:r>
            <w:r>
              <w:t>rodzinom</w:t>
            </w:r>
            <w:r w:rsidRPr="00192D31">
              <w:t xml:space="preserve"> przezwyciężania trudnych sytuacji ży</w:t>
            </w:r>
            <w:r>
              <w:t>ciowych,  szczególnie w </w:t>
            </w:r>
            <w:r w:rsidRPr="00192D31">
              <w:t>kontekście zachodzących przemian demografi</w:t>
            </w:r>
            <w:r>
              <w:t>cznych.</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7</w:t>
            </w:r>
          </w:p>
        </w:tc>
        <w:tc>
          <w:tcPr>
            <w:tcW w:w="8353" w:type="dxa"/>
            <w:vAlign w:val="center"/>
          </w:tcPr>
          <w:p w:rsidR="006A36A5" w:rsidRDefault="006A36A5" w:rsidP="006A36A5">
            <w:pPr>
              <w:autoSpaceDE w:val="0"/>
              <w:autoSpaceDN w:val="0"/>
              <w:adjustRightInd w:val="0"/>
              <w:spacing w:line="240" w:lineRule="auto"/>
              <w:jc w:val="left"/>
            </w:pPr>
            <w:r w:rsidRPr="00192D31">
              <w:t>Modernizacja istniejących i tworzeni</w:t>
            </w:r>
            <w:r>
              <w:t>e</w:t>
            </w:r>
            <w:r w:rsidRPr="00192D31">
              <w:t xml:space="preserve"> nowych miejsc opieki oraz podnoszeni</w:t>
            </w:r>
            <w:r>
              <w:t>e</w:t>
            </w:r>
            <w:r w:rsidRPr="00192D31">
              <w:t xml:space="preserve"> dostę</w:t>
            </w:r>
            <w:r>
              <w:t>pności usług dla osób starszych.</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8</w:t>
            </w:r>
          </w:p>
        </w:tc>
        <w:tc>
          <w:tcPr>
            <w:tcW w:w="8353" w:type="dxa"/>
            <w:vAlign w:val="center"/>
          </w:tcPr>
          <w:p w:rsidR="006A36A5" w:rsidRDefault="006A36A5" w:rsidP="006A36A5">
            <w:pPr>
              <w:autoSpaceDE w:val="0"/>
              <w:autoSpaceDN w:val="0"/>
              <w:adjustRightInd w:val="0"/>
              <w:spacing w:line="240" w:lineRule="auto"/>
              <w:jc w:val="left"/>
            </w:pPr>
            <w:r w:rsidRPr="00192D31">
              <w:t>Realizacja projektów innowacyjnych w zakresie usług społecznych, w tym cyfryzacja.</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9</w:t>
            </w:r>
          </w:p>
        </w:tc>
        <w:tc>
          <w:tcPr>
            <w:tcW w:w="8353" w:type="dxa"/>
            <w:vAlign w:val="center"/>
          </w:tcPr>
          <w:p w:rsidR="006A36A5" w:rsidRDefault="006A36A5" w:rsidP="006A36A5">
            <w:pPr>
              <w:autoSpaceDE w:val="0"/>
              <w:autoSpaceDN w:val="0"/>
              <w:adjustRightInd w:val="0"/>
              <w:spacing w:line="240" w:lineRule="auto"/>
              <w:jc w:val="left"/>
            </w:pPr>
            <w:r w:rsidRPr="00192D31">
              <w:t xml:space="preserve">Rozwój i upowszechnienie usług opieki </w:t>
            </w:r>
            <w:proofErr w:type="spellStart"/>
            <w:r w:rsidRPr="00192D31">
              <w:t>wytc</w:t>
            </w:r>
            <w:r>
              <w:t>hnieniowej</w:t>
            </w:r>
            <w:proofErr w:type="spellEnd"/>
            <w:r>
              <w:t xml:space="preserve"> i asystenckiej.</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10</w:t>
            </w:r>
          </w:p>
        </w:tc>
        <w:tc>
          <w:tcPr>
            <w:tcW w:w="8353" w:type="dxa"/>
            <w:vAlign w:val="center"/>
          </w:tcPr>
          <w:p w:rsidR="006A36A5" w:rsidRDefault="006A36A5" w:rsidP="006A36A5">
            <w:pPr>
              <w:autoSpaceDE w:val="0"/>
              <w:autoSpaceDN w:val="0"/>
              <w:adjustRightInd w:val="0"/>
              <w:spacing w:line="240" w:lineRule="auto"/>
              <w:jc w:val="left"/>
            </w:pPr>
            <w:r w:rsidRPr="00192D31">
              <w:t>Realizacji działań związanych z aktywizacją seniorów</w:t>
            </w:r>
            <w:r>
              <w:t>.</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11</w:t>
            </w:r>
          </w:p>
        </w:tc>
        <w:tc>
          <w:tcPr>
            <w:tcW w:w="8353" w:type="dxa"/>
            <w:vAlign w:val="center"/>
          </w:tcPr>
          <w:p w:rsidR="006A36A5" w:rsidRDefault="006A36A5" w:rsidP="006A36A5">
            <w:pPr>
              <w:autoSpaceDE w:val="0"/>
              <w:autoSpaceDN w:val="0"/>
              <w:adjustRightInd w:val="0"/>
              <w:spacing w:line="240" w:lineRule="auto"/>
              <w:jc w:val="left"/>
            </w:pPr>
            <w:r>
              <w:t xml:space="preserve">Budowa, rozbudowa, modernizacja i doposażenie </w:t>
            </w:r>
            <w:r w:rsidRPr="00844356">
              <w:t>infrastru</w:t>
            </w:r>
            <w:r>
              <w:t>ktury społecznej w powiązaniu z </w:t>
            </w:r>
            <w:r w:rsidRPr="00844356">
              <w:t>potrzebami</w:t>
            </w:r>
            <w:r>
              <w:t xml:space="preserve"> wynikającymi ze</w:t>
            </w:r>
            <w:r w:rsidRPr="00844356">
              <w:t xml:space="preserve"> świadczonych usług publicznych</w:t>
            </w:r>
            <w:r>
              <w:t>.</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12</w:t>
            </w:r>
          </w:p>
        </w:tc>
        <w:tc>
          <w:tcPr>
            <w:tcW w:w="8353" w:type="dxa"/>
            <w:vAlign w:val="center"/>
          </w:tcPr>
          <w:p w:rsidR="006A36A5" w:rsidRDefault="006A36A5" w:rsidP="006A36A5">
            <w:pPr>
              <w:spacing w:line="240" w:lineRule="auto"/>
              <w:jc w:val="left"/>
            </w:pPr>
            <w:r w:rsidRPr="00844356">
              <w:t xml:space="preserve">Kompleksowe zwiększenie dostępności usług </w:t>
            </w:r>
            <w:r>
              <w:t>opieki nad dziećmi do lat 3.</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13</w:t>
            </w:r>
          </w:p>
        </w:tc>
        <w:tc>
          <w:tcPr>
            <w:tcW w:w="8353" w:type="dxa"/>
            <w:vAlign w:val="center"/>
          </w:tcPr>
          <w:p w:rsidR="006A36A5" w:rsidRPr="0055381C" w:rsidRDefault="006A36A5" w:rsidP="006A36A5">
            <w:pPr>
              <w:pStyle w:val="Default"/>
              <w:rPr>
                <w:rFonts w:asciiTheme="minorHAnsi" w:hAnsiTheme="minorHAnsi"/>
                <w:sz w:val="22"/>
                <w:szCs w:val="22"/>
              </w:rPr>
            </w:pPr>
            <w:r>
              <w:rPr>
                <w:rFonts w:asciiTheme="minorHAnsi" w:hAnsiTheme="minorHAnsi"/>
                <w:sz w:val="22"/>
                <w:szCs w:val="22"/>
              </w:rPr>
              <w:t>Rozbudowa i modernizacja placówek wychowania przedszkolnego i szkół podstawowych, obiektów wspomagających działania edukacyjne, a także zaplecza sportowego.</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14</w:t>
            </w:r>
          </w:p>
        </w:tc>
        <w:tc>
          <w:tcPr>
            <w:tcW w:w="8353" w:type="dxa"/>
            <w:vAlign w:val="center"/>
          </w:tcPr>
          <w:p w:rsidR="006A36A5" w:rsidRDefault="006A36A5" w:rsidP="006A36A5">
            <w:pPr>
              <w:pStyle w:val="Default"/>
              <w:rPr>
                <w:rFonts w:asciiTheme="minorHAnsi" w:hAnsiTheme="minorHAnsi"/>
                <w:sz w:val="22"/>
                <w:szCs w:val="22"/>
              </w:rPr>
            </w:pPr>
            <w:r>
              <w:rPr>
                <w:rFonts w:asciiTheme="minorHAnsi" w:hAnsiTheme="minorHAnsi"/>
                <w:sz w:val="22"/>
                <w:szCs w:val="22"/>
              </w:rPr>
              <w:t>Doposażenie szkół i placówek prowadzących kształcenie zawodowe.</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15</w:t>
            </w:r>
          </w:p>
        </w:tc>
        <w:tc>
          <w:tcPr>
            <w:tcW w:w="8353" w:type="dxa"/>
            <w:vAlign w:val="center"/>
          </w:tcPr>
          <w:p w:rsidR="006A36A5" w:rsidRDefault="006A36A5" w:rsidP="006A36A5">
            <w:pPr>
              <w:autoSpaceDE w:val="0"/>
              <w:autoSpaceDN w:val="0"/>
              <w:adjustRightInd w:val="0"/>
              <w:spacing w:line="240" w:lineRule="auto"/>
              <w:jc w:val="left"/>
            </w:pPr>
            <w:r w:rsidRPr="009F0304">
              <w:t>Prowadzenie działań społeczno-kulturalnych nakierowanych na integrację i asymilację emigrantów z lokalną społecznością</w:t>
            </w:r>
            <w:r>
              <w:t>.</w:t>
            </w:r>
          </w:p>
        </w:tc>
      </w:tr>
      <w:tr w:rsidR="006A36A5" w:rsidTr="006A36A5">
        <w:trPr>
          <w:trHeight w:val="510"/>
        </w:trPr>
        <w:tc>
          <w:tcPr>
            <w:tcW w:w="699" w:type="dxa"/>
            <w:vAlign w:val="center"/>
          </w:tcPr>
          <w:p w:rsidR="006A36A5" w:rsidRPr="00240A48" w:rsidRDefault="006A36A5" w:rsidP="006A36A5">
            <w:pPr>
              <w:autoSpaceDE w:val="0"/>
              <w:autoSpaceDN w:val="0"/>
              <w:adjustRightInd w:val="0"/>
              <w:spacing w:line="240" w:lineRule="auto"/>
              <w:jc w:val="left"/>
              <w:rPr>
                <w:color w:val="000000" w:themeColor="text1"/>
              </w:rPr>
            </w:pPr>
            <w:r w:rsidRPr="00240A48">
              <w:rPr>
                <w:color w:val="000000" w:themeColor="text1"/>
              </w:rPr>
              <w:t>16</w:t>
            </w:r>
          </w:p>
        </w:tc>
        <w:tc>
          <w:tcPr>
            <w:tcW w:w="8353" w:type="dxa"/>
            <w:vAlign w:val="center"/>
          </w:tcPr>
          <w:p w:rsidR="006A36A5" w:rsidRDefault="006A36A5" w:rsidP="006A36A5">
            <w:pPr>
              <w:autoSpaceDE w:val="0"/>
              <w:autoSpaceDN w:val="0"/>
              <w:adjustRightInd w:val="0"/>
              <w:spacing w:line="240" w:lineRule="auto"/>
              <w:jc w:val="left"/>
            </w:pPr>
            <w:r>
              <w:t>Tworzenie na obszarze WrOF oferty edukacyjnej dla cudzoziemców, w tym umożliwiającej naukę „powszechnego” oraz zawodowego języka polskiego.</w:t>
            </w:r>
          </w:p>
        </w:tc>
      </w:tr>
    </w:tbl>
    <w:p w:rsidR="006A36A5" w:rsidRDefault="006A36A5" w:rsidP="00216B5C">
      <w:pPr>
        <w:spacing w:after="0" w:line="336" w:lineRule="auto"/>
      </w:pPr>
    </w:p>
    <w:p w:rsidR="006A36A5" w:rsidRDefault="006A36A5" w:rsidP="00216B5C">
      <w:pPr>
        <w:spacing w:after="0" w:line="336" w:lineRule="auto"/>
      </w:pPr>
    </w:p>
    <w:p w:rsidR="00216B5C" w:rsidRDefault="00216B5C" w:rsidP="00216B5C">
      <w:pPr>
        <w:rPr>
          <w:noProof/>
          <w:lang w:eastAsia="pl-PL"/>
        </w:rPr>
        <w:sectPr w:rsidR="00216B5C" w:rsidSect="00D74575">
          <w:footerReference w:type="first" r:id="rId49"/>
          <w:pgSz w:w="11906" w:h="16838"/>
          <w:pgMar w:top="1417" w:right="1417" w:bottom="1417" w:left="1417" w:header="708" w:footer="708" w:gutter="0"/>
          <w:cols w:space="708"/>
          <w:titlePg/>
          <w:docGrid w:linePitch="360"/>
        </w:sectPr>
      </w:pPr>
    </w:p>
    <w:p w:rsidR="00216B5C" w:rsidRDefault="006A36A5" w:rsidP="00216B5C">
      <w:pPr>
        <w:tabs>
          <w:tab w:val="left" w:pos="4350"/>
        </w:tabs>
        <w:rPr>
          <w:noProof/>
          <w:sz w:val="24"/>
          <w:szCs w:val="24"/>
          <w:lang w:eastAsia="pl-PL"/>
        </w:rPr>
      </w:pPr>
      <w:r w:rsidRPr="00ED1F0F">
        <w:rPr>
          <w:rFonts w:asciiTheme="majorHAnsi" w:eastAsiaTheme="majorEastAsia" w:hAnsiTheme="majorHAnsi" w:cstheme="majorBidi"/>
          <w:b/>
          <w:color w:val="000000" w:themeColor="text1"/>
          <w:sz w:val="24"/>
          <w:szCs w:val="24"/>
        </w:rPr>
        <w:t>Schemat wymiaru społecznego wraz z celem strategicznym, priorytetami i kierunkami działań</w:t>
      </w:r>
      <w:r w:rsidRPr="00ED1F0F">
        <w:rPr>
          <w:noProof/>
          <w:sz w:val="24"/>
          <w:szCs w:val="24"/>
          <w:lang w:eastAsia="pl-PL"/>
        </w:rPr>
        <w:t xml:space="preserve"> </w:t>
      </w:r>
      <w:r w:rsidR="003E6152" w:rsidRPr="00757F87">
        <w:rPr>
          <w:noProof/>
          <w:lang w:eastAsia="pl-PL"/>
        </w:rPr>
        <w:drawing>
          <wp:inline distT="0" distB="0" distL="0" distR="0" wp14:anchorId="5E3B02A0" wp14:editId="18E09862">
            <wp:extent cx="5758815" cy="8324602"/>
            <wp:effectExtent l="0" t="0" r="0" b="635"/>
            <wp:docPr id="237" name="Obraz 237" descr="Wymiar społeczny - cel strategiczny 1 - priorytet 1. Kultura, Priorytet 2, Zdrowie, Priorytet 3. Edukacja, Priorytet 4. Migranci" title="Schemat wymiaru społecznego wraz z celem strategicznym, priorytetami i kierunkami działań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BIT\wszyscy\ZIT\Realizacja STRATEGIA ZIT WrOF\Ikony schematów\Cel strategiczny 1 plus rozgałęzienie.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8815" cy="8324602"/>
                    </a:xfrm>
                    <a:prstGeom prst="rect">
                      <a:avLst/>
                    </a:prstGeom>
                    <a:noFill/>
                    <a:ln>
                      <a:noFill/>
                    </a:ln>
                  </pic:spPr>
                </pic:pic>
              </a:graphicData>
            </a:graphic>
          </wp:inline>
        </w:drawing>
      </w:r>
    </w:p>
    <w:p w:rsidR="00EF02E5" w:rsidRDefault="00EF02E5" w:rsidP="00216B5C">
      <w:pPr>
        <w:tabs>
          <w:tab w:val="left" w:pos="4350"/>
        </w:tabs>
        <w:rPr>
          <w:noProof/>
          <w:sz w:val="24"/>
          <w:szCs w:val="24"/>
          <w:lang w:eastAsia="pl-PL"/>
        </w:rPr>
      </w:pPr>
      <w:r w:rsidRPr="00CA6C23">
        <w:rPr>
          <w:noProof/>
          <w:sz w:val="10"/>
          <w:lang w:eastAsia="pl-PL"/>
        </w:rPr>
        <w:drawing>
          <wp:inline distT="0" distB="0" distL="0" distR="0" wp14:anchorId="7B429C6C" wp14:editId="4577DD9C">
            <wp:extent cx="4615180" cy="1725295"/>
            <wp:effectExtent l="0" t="0" r="0" b="8255"/>
            <wp:docPr id="238" name="Obraz 238" descr="Cel strategiczny 1 - Priorytet 1. Kultura - Kierunek działania 1.1" title="Cel strategiczny 1 - Priorytet 1. Kultura - Kierunek działani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BIT\wszyscy\ZIT\Realizacja STRATEGIA ZIT WrOF\Ikony schematów\ikony schematów 2\cel strategiczny 1 priorytet 1-03.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15180" cy="1725295"/>
                    </a:xfrm>
                    <a:prstGeom prst="rect">
                      <a:avLst/>
                    </a:prstGeom>
                    <a:noFill/>
                    <a:ln>
                      <a:noFill/>
                    </a:ln>
                  </pic:spPr>
                </pic:pic>
              </a:graphicData>
            </a:graphic>
          </wp:inline>
        </w:drawing>
      </w:r>
    </w:p>
    <w:p w:rsidR="00EF02E5" w:rsidRDefault="00EF02E5" w:rsidP="00EF02E5">
      <w:pPr>
        <w:tabs>
          <w:tab w:val="left" w:pos="4350"/>
        </w:tabs>
        <w:jc w:val="left"/>
        <w:rPr>
          <w:color w:val="000000" w:themeColor="text1"/>
          <w:sz w:val="24"/>
        </w:rPr>
      </w:pPr>
      <w:r w:rsidRPr="006A36A5">
        <w:rPr>
          <w:rFonts w:asciiTheme="majorHAnsi" w:eastAsiaTheme="majorEastAsia" w:hAnsiTheme="majorHAnsi" w:cstheme="majorBidi"/>
          <w:b/>
          <w:color w:val="000000" w:themeColor="text1"/>
          <w:sz w:val="36"/>
          <w:szCs w:val="26"/>
        </w:rPr>
        <w:t xml:space="preserve">Priorytet Kultura </w:t>
      </w:r>
      <w:r w:rsidRPr="006A36A5">
        <w:rPr>
          <w:color w:val="000000" w:themeColor="text1"/>
          <w:sz w:val="24"/>
        </w:rPr>
        <w:t xml:space="preserve">skupiony jest zarówno na wykorzystaniu posiadanego potencjału związanego z dziedzictwem kulturowym obszaru, jak i obiektami pełniącymi funkcje kulturalne, w tym instytucjami kultury. Działania te są istotne z uwagi na poprawę atrakcyjności osiedleńczej i turystycznej, która wpłynie pozytywnie na wzrost gospodarczy oraz zachowanie materialnego i niematerialnego dziedzictwa kulturowego. Zachowanie dziedzictwa realizowane będzie m.in. poprzez konserwację i rewaloryzację zabytków nieruchomych i ruchomych oraz ich udostępnianie </w:t>
      </w:r>
      <w:r w:rsidR="001D1207">
        <w:rPr>
          <w:color w:val="000000" w:themeColor="text1"/>
          <w:sz w:val="24"/>
        </w:rPr>
        <w:t>na cele publiczne oraz rozwój i </w:t>
      </w:r>
      <w:r w:rsidRPr="006A36A5">
        <w:rPr>
          <w:color w:val="000000" w:themeColor="text1"/>
          <w:sz w:val="24"/>
        </w:rPr>
        <w:t>promowanie publicznych walorów turystycznych. Z punktu widzenia mieszkańców ważne jest również polepszenie oferty wydarzeń kultur</w:t>
      </w:r>
      <w:r w:rsidR="001D1207">
        <w:rPr>
          <w:color w:val="000000" w:themeColor="text1"/>
          <w:sz w:val="24"/>
        </w:rPr>
        <w:t>alnych i oferty czasu wolnego w </w:t>
      </w:r>
      <w:r w:rsidRPr="006A36A5">
        <w:rPr>
          <w:color w:val="000000" w:themeColor="text1"/>
          <w:sz w:val="24"/>
        </w:rPr>
        <w:t>poszczególnych gminach WrOF, przy uwzględnieniu wszystkich grup społecznych np. osób ze szczególnymi potrzebami, migrantów.</w:t>
      </w:r>
    </w:p>
    <w:tbl>
      <w:tblPr>
        <w:tblStyle w:val="Tabela-Siatka"/>
        <w:tblW w:w="882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k 1.1 Wzmacnianie i rozwój placówek kultury oraz ochrona dziedzictwa kulturoweg"/>
        <w:tblDescription w:val="Omówienie kierunku"/>
      </w:tblPr>
      <w:tblGrid>
        <w:gridCol w:w="2145"/>
        <w:gridCol w:w="6682"/>
      </w:tblGrid>
      <w:tr w:rsidR="00F25E70" w:rsidRPr="00ED1F0F" w:rsidTr="00A1431D">
        <w:trPr>
          <w:trHeight w:val="998"/>
          <w:tblHeader/>
          <w:jc w:val="center"/>
        </w:trPr>
        <w:tc>
          <w:tcPr>
            <w:tcW w:w="2145" w:type="dxa"/>
            <w:shd w:val="clear" w:color="auto" w:fill="FFFFFF" w:themeFill="background1"/>
            <w:vAlign w:val="center"/>
          </w:tcPr>
          <w:p w:rsidR="00F25E70" w:rsidRPr="00ED1F0F" w:rsidRDefault="00F25E70" w:rsidP="00A1431D">
            <w:pPr>
              <w:autoSpaceDE w:val="0"/>
              <w:autoSpaceDN w:val="0"/>
              <w:adjustRightInd w:val="0"/>
              <w:spacing w:line="240" w:lineRule="auto"/>
              <w:jc w:val="left"/>
              <w:rPr>
                <w:b/>
                <w:bCs/>
                <w:color w:val="000000" w:themeColor="text1"/>
                <w:sz w:val="24"/>
                <w:szCs w:val="24"/>
              </w:rPr>
            </w:pPr>
            <w:r w:rsidRPr="00ED1F0F">
              <w:rPr>
                <w:b/>
                <w:bCs/>
                <w:noProof/>
                <w:color w:val="000000" w:themeColor="text1"/>
                <w:sz w:val="24"/>
                <w:szCs w:val="24"/>
                <w:lang w:eastAsia="pl-PL"/>
              </w:rPr>
              <w:t xml:space="preserve">Kierunekk 1.1 </w:t>
            </w:r>
          </w:p>
        </w:tc>
        <w:tc>
          <w:tcPr>
            <w:tcW w:w="6682" w:type="dxa"/>
            <w:shd w:val="clear" w:color="auto" w:fill="F5CE45"/>
            <w:vAlign w:val="center"/>
          </w:tcPr>
          <w:p w:rsidR="00F25E70" w:rsidRPr="00ED1F0F" w:rsidRDefault="00F25E70" w:rsidP="00A1431D">
            <w:pPr>
              <w:autoSpaceDE w:val="0"/>
              <w:autoSpaceDN w:val="0"/>
              <w:adjustRightInd w:val="0"/>
              <w:spacing w:line="240" w:lineRule="auto"/>
              <w:jc w:val="left"/>
              <w:rPr>
                <w:b/>
                <w:bCs/>
                <w:color w:val="000000" w:themeColor="text1"/>
                <w:sz w:val="24"/>
                <w:szCs w:val="24"/>
              </w:rPr>
            </w:pPr>
            <w:r w:rsidRPr="00ED1F0F">
              <w:rPr>
                <w:rFonts w:asciiTheme="majorHAnsi" w:eastAsiaTheme="majorEastAsia" w:hAnsiTheme="majorHAnsi" w:cstheme="majorBidi"/>
                <w:b/>
                <w:color w:val="000000" w:themeColor="text1"/>
                <w:sz w:val="24"/>
                <w:szCs w:val="24"/>
              </w:rPr>
              <w:t>Wzmacnianie i rozwój placówek kultury oraz ochrona dziedzictwa kulturowego</w:t>
            </w:r>
          </w:p>
        </w:tc>
      </w:tr>
      <w:tr w:rsidR="00F25E70" w:rsidRPr="00ED1F0F" w:rsidTr="00A1431D">
        <w:trPr>
          <w:trHeight w:val="907"/>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 xml:space="preserve">Charakterystyka działania: </w:t>
            </w:r>
          </w:p>
        </w:tc>
        <w:tc>
          <w:tcPr>
            <w:tcW w:w="6682" w:type="dxa"/>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7D7614">
              <w:rPr>
                <w:color w:val="000000" w:themeColor="text1"/>
                <w:sz w:val="24"/>
                <w:szCs w:val="24"/>
              </w:rPr>
              <w:t>Wskazane działania dotyczą zwiększenia roli kultury i jej wpływu na rozwój gospodarczy WrOF oraz wzrostu udziału mieszkańców w życiu kulturalnym. Ponadto wykorzystanie posiadanego potencjału w zakresie dziedzictwa kulturowego oraz rozwój aktualnej oferty pozwoli na zwiększenie atrakcyjności obszaru i przyciągnięcie turystów, a tym samym wzrost gospodarczy</w:t>
            </w:r>
          </w:p>
        </w:tc>
      </w:tr>
      <w:tr w:rsidR="00F25E70" w:rsidRPr="00ED1F0F" w:rsidTr="00A1431D">
        <w:trPr>
          <w:trHeight w:val="103"/>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 xml:space="preserve">Przykładowe typy przedsięwzięć / projektów / zadań przewidzianych potencjalnie do realizacji </w:t>
            </w:r>
          </w:p>
        </w:tc>
        <w:tc>
          <w:tcPr>
            <w:tcW w:w="6682" w:type="dxa"/>
            <w:vAlign w:val="center"/>
          </w:tcPr>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Poszerzenie i zwiększenie innowacyjności oferty placówek kultury poprzez wdrażanie nowoczesnych technologii</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Poszerzanie istniejącej oferty kulturalnej i czasu wolnego, w tym przy współpracy z podmiotami prywatnymi i organizacjami pozarządowymi</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Rozwój infrastruktury kultury w poszczególnych gminach WrOF</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Doposażenie obiektów placówek kultury w nowoczesny sprzęt oraz oprogramowanie umożliwiające poszerzenie oferty i katalogu usług</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Wsparcie i rozwój centrów informacji kulturalnej</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Prowadzenie działań mających na celu przystosowanie obiektów zabytkowych do pełnienia nowych funkcji,</w:t>
            </w:r>
            <w:r w:rsidRPr="00ED1F0F">
              <w:rPr>
                <w:color w:val="000000" w:themeColor="text1"/>
                <w:sz w:val="24"/>
                <w:szCs w:val="24"/>
              </w:rPr>
              <w:br/>
              <w:t>np. kulturalnych, turystycznych</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Umożliwienie pełnego uczestnictwa w życiu kulturalnym mieszkańcom WrOF zagrożonych wykluczeniem społecznym, w tym osób ze szczególnymi potrzebami</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 xml:space="preserve">Zwiększenie dostępności placówek kultury poprzez dostosowanie do osób z niepełnosprawnościami, </w:t>
            </w:r>
            <w:r w:rsidRPr="00ED1F0F">
              <w:rPr>
                <w:color w:val="000000" w:themeColor="text1"/>
                <w:sz w:val="24"/>
                <w:szCs w:val="24"/>
              </w:rPr>
              <w:br/>
              <w:t>m.in. likwidując bariery architektoniczne w obiektach</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Promocja turystyczna WrOF w oparciu o dziedzictwo materialne i niematerialne poszczególnych gmin</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Rewaloryzacja, remont, konserwacja oraz modernizacja obiektów zabytkowych oraz obszarów zabytkowych</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Utworzenie produktów turystycznych w oparciu o posiadane zasoby kulturalne</w:t>
            </w:r>
          </w:p>
        </w:tc>
      </w:tr>
      <w:tr w:rsidR="00F25E70" w:rsidRPr="00ED1F0F" w:rsidTr="00A1431D">
        <w:trPr>
          <w:trHeight w:val="984"/>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Interesariusze / potencjalni partnerzy</w:t>
            </w:r>
          </w:p>
        </w:tc>
        <w:tc>
          <w:tcPr>
            <w:tcW w:w="6682" w:type="dxa"/>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gminy WrOF, mieszkańcy WrOF, placówki kultury</w:t>
            </w:r>
          </w:p>
        </w:tc>
      </w:tr>
      <w:tr w:rsidR="00F25E70" w:rsidRPr="00ED1F0F" w:rsidTr="00A1431D">
        <w:trPr>
          <w:trHeight w:val="510"/>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Okres realizacji:</w:t>
            </w:r>
          </w:p>
        </w:tc>
        <w:tc>
          <w:tcPr>
            <w:tcW w:w="6682" w:type="dxa"/>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2021-2027 (n+2)</w:t>
            </w:r>
          </w:p>
        </w:tc>
      </w:tr>
      <w:tr w:rsidR="00F25E70" w:rsidRPr="00ED1F0F" w:rsidTr="00A1431D">
        <w:trPr>
          <w:trHeight w:val="907"/>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 xml:space="preserve">Potencjalne źródła finansowania: </w:t>
            </w:r>
          </w:p>
        </w:tc>
        <w:tc>
          <w:tcPr>
            <w:tcW w:w="6682" w:type="dxa"/>
            <w:vAlign w:val="center"/>
          </w:tcPr>
          <w:p w:rsidR="00F25E70" w:rsidRPr="00ED1F0F" w:rsidRDefault="00F25E70" w:rsidP="00A1431D">
            <w:pPr>
              <w:pStyle w:val="Akapitzlist"/>
              <w:numPr>
                <w:ilvl w:val="0"/>
                <w:numId w:val="10"/>
              </w:numPr>
              <w:spacing w:line="240" w:lineRule="auto"/>
              <w:jc w:val="left"/>
              <w:rPr>
                <w:color w:val="000000" w:themeColor="text1"/>
                <w:sz w:val="24"/>
                <w:szCs w:val="24"/>
              </w:rPr>
            </w:pPr>
            <w:r w:rsidRPr="00ED1F0F">
              <w:rPr>
                <w:color w:val="000000" w:themeColor="text1"/>
                <w:sz w:val="24"/>
                <w:szCs w:val="24"/>
              </w:rPr>
              <w:t>Fundusze Europejskie dla Dolnego Śląska 2021-2027 (FEDS)</w:t>
            </w:r>
          </w:p>
          <w:p w:rsidR="00F25E70" w:rsidRPr="00ED1F0F" w:rsidRDefault="00F25E70" w:rsidP="00A1431D">
            <w:pPr>
              <w:pStyle w:val="Akapitzlist"/>
              <w:numPr>
                <w:ilvl w:val="0"/>
                <w:numId w:val="10"/>
              </w:numPr>
              <w:spacing w:line="240" w:lineRule="auto"/>
              <w:jc w:val="left"/>
              <w:rPr>
                <w:color w:val="000000" w:themeColor="text1"/>
                <w:sz w:val="24"/>
                <w:szCs w:val="24"/>
              </w:rPr>
            </w:pPr>
            <w:r w:rsidRPr="00ED1F0F">
              <w:rPr>
                <w:color w:val="000000" w:themeColor="text1"/>
                <w:sz w:val="24"/>
                <w:szCs w:val="24"/>
              </w:rPr>
              <w:t>Fundusze Europejskie na Infrastrukturę, Klimat, Środowisko (</w:t>
            </w:r>
            <w:proofErr w:type="spellStart"/>
            <w:r w:rsidRPr="00ED1F0F">
              <w:rPr>
                <w:color w:val="000000" w:themeColor="text1"/>
                <w:sz w:val="24"/>
                <w:szCs w:val="24"/>
              </w:rPr>
              <w:t>FEnIKS</w:t>
            </w:r>
            <w:proofErr w:type="spellEnd"/>
            <w:r w:rsidRPr="00ED1F0F">
              <w:rPr>
                <w:color w:val="000000" w:themeColor="text1"/>
                <w:sz w:val="24"/>
                <w:szCs w:val="24"/>
              </w:rPr>
              <w:t>)</w:t>
            </w:r>
          </w:p>
          <w:p w:rsidR="00F25E70" w:rsidRPr="00ED1F0F" w:rsidRDefault="00F25E70" w:rsidP="00A1431D">
            <w:pPr>
              <w:pStyle w:val="Akapitzlist"/>
              <w:numPr>
                <w:ilvl w:val="0"/>
                <w:numId w:val="10"/>
              </w:numPr>
              <w:spacing w:line="240" w:lineRule="auto"/>
              <w:jc w:val="left"/>
              <w:rPr>
                <w:color w:val="000000" w:themeColor="text1"/>
                <w:sz w:val="24"/>
                <w:szCs w:val="24"/>
              </w:rPr>
            </w:pPr>
            <w:r w:rsidRPr="00ED1F0F">
              <w:rPr>
                <w:color w:val="000000" w:themeColor="text1"/>
                <w:sz w:val="24"/>
                <w:szCs w:val="24"/>
              </w:rPr>
              <w:t>Krajowy Plan Odbudowy (KPO)</w:t>
            </w:r>
          </w:p>
          <w:p w:rsidR="00F25E70" w:rsidRPr="00ED1F0F" w:rsidRDefault="00F25E70" w:rsidP="00A1431D">
            <w:pPr>
              <w:pStyle w:val="Akapitzlist"/>
              <w:numPr>
                <w:ilvl w:val="0"/>
                <w:numId w:val="10"/>
              </w:numPr>
              <w:autoSpaceDE w:val="0"/>
              <w:autoSpaceDN w:val="0"/>
              <w:adjustRightInd w:val="0"/>
              <w:spacing w:line="240" w:lineRule="auto"/>
              <w:jc w:val="left"/>
              <w:rPr>
                <w:color w:val="000000" w:themeColor="text1"/>
                <w:sz w:val="24"/>
                <w:szCs w:val="24"/>
              </w:rPr>
            </w:pPr>
            <w:r w:rsidRPr="00ED1F0F">
              <w:rPr>
                <w:color w:val="000000" w:themeColor="text1"/>
                <w:sz w:val="24"/>
                <w:szCs w:val="24"/>
              </w:rPr>
              <w:t>inne środki zewnętrzne, budżet państwa, środki własne gminy</w:t>
            </w:r>
          </w:p>
        </w:tc>
      </w:tr>
      <w:tr w:rsidR="00F25E70" w:rsidRPr="00ED1F0F" w:rsidTr="00A1431D">
        <w:trPr>
          <w:trHeight w:val="529"/>
          <w:jc w:val="center"/>
        </w:trPr>
        <w:tc>
          <w:tcPr>
            <w:tcW w:w="2145" w:type="dxa"/>
            <w:shd w:val="clear" w:color="auto" w:fill="FDF6DB"/>
            <w:vAlign w:val="center"/>
          </w:tcPr>
          <w:p w:rsidR="00F25E70" w:rsidRPr="00ED1F0F" w:rsidRDefault="00F25E70" w:rsidP="00A1431D">
            <w:pPr>
              <w:autoSpaceDE w:val="0"/>
              <w:autoSpaceDN w:val="0"/>
              <w:adjustRightInd w:val="0"/>
              <w:spacing w:line="240" w:lineRule="auto"/>
              <w:jc w:val="left"/>
              <w:rPr>
                <w:color w:val="000000" w:themeColor="text1"/>
                <w:sz w:val="24"/>
                <w:szCs w:val="24"/>
              </w:rPr>
            </w:pPr>
            <w:r w:rsidRPr="00ED1F0F">
              <w:rPr>
                <w:color w:val="000000" w:themeColor="text1"/>
                <w:sz w:val="24"/>
                <w:szCs w:val="24"/>
              </w:rPr>
              <w:t xml:space="preserve">Proponowane wskaźniki monitorujące realizację kierunku działania: </w:t>
            </w:r>
          </w:p>
        </w:tc>
        <w:tc>
          <w:tcPr>
            <w:tcW w:w="6682" w:type="dxa"/>
            <w:vAlign w:val="center"/>
          </w:tcPr>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Liczba obiektów kulturalnych i turystycznych objętych wsparciem [obiekty kulturalne i turystyczne]</w:t>
            </w:r>
          </w:p>
          <w:p w:rsidR="00F25E70" w:rsidRPr="00ED1F0F" w:rsidRDefault="00F25E70" w:rsidP="00A1431D">
            <w:pPr>
              <w:pStyle w:val="Akapitzlist"/>
              <w:numPr>
                <w:ilvl w:val="0"/>
                <w:numId w:val="7"/>
              </w:numPr>
              <w:spacing w:line="240" w:lineRule="auto"/>
              <w:jc w:val="left"/>
              <w:rPr>
                <w:color w:val="000000" w:themeColor="text1"/>
                <w:sz w:val="24"/>
                <w:szCs w:val="24"/>
              </w:rPr>
            </w:pPr>
            <w:r w:rsidRPr="00ED1F0F">
              <w:rPr>
                <w:color w:val="000000" w:themeColor="text1"/>
                <w:sz w:val="24"/>
                <w:szCs w:val="24"/>
              </w:rPr>
              <w:t>Liczba osób odwiedzających obiekty kulturalne i turystyczne objęte wsparciem[osoby odwiedzające/rok]</w:t>
            </w:r>
          </w:p>
        </w:tc>
      </w:tr>
    </w:tbl>
    <w:p w:rsidR="00F25E70" w:rsidRDefault="00F25E70" w:rsidP="00EF02E5">
      <w:pPr>
        <w:tabs>
          <w:tab w:val="left" w:pos="4350"/>
        </w:tabs>
        <w:jc w:val="left"/>
        <w:rPr>
          <w:color w:val="000000" w:themeColor="text1"/>
          <w:sz w:val="24"/>
        </w:rPr>
      </w:pPr>
    </w:p>
    <w:p w:rsidR="00F25E70" w:rsidRDefault="00F25E70" w:rsidP="00EF02E5">
      <w:pPr>
        <w:tabs>
          <w:tab w:val="left" w:pos="4350"/>
        </w:tabs>
        <w:jc w:val="left"/>
      </w:pPr>
    </w:p>
    <w:p w:rsidR="007D7614" w:rsidRDefault="007D7614" w:rsidP="00216B5C">
      <w:r>
        <w:br w:type="page"/>
      </w:r>
    </w:p>
    <w:p w:rsidR="00176C22" w:rsidRDefault="00176C22" w:rsidP="00216B5C">
      <w:r w:rsidRPr="001D5B77">
        <w:rPr>
          <w:noProof/>
          <w:lang w:eastAsia="pl-PL"/>
        </w:rPr>
        <w:drawing>
          <wp:inline distT="0" distB="0" distL="0" distR="0" wp14:anchorId="227D859C" wp14:editId="447B86A4">
            <wp:extent cx="5760720" cy="1922780"/>
            <wp:effectExtent l="0" t="0" r="0" b="1270"/>
            <wp:docPr id="243" name="Obraz 243" descr="Cel strategiczny 1 - Priorytet 2. Zdrowie - Kierunek działania 2.1, Kierunek działania 2.2, Kierunek działania 2.3, Kierunek działania 2.4, " title="Cel strategiczny 1 - Prioryt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BIT\wszyscy\ZIT\Realizacja STRATEGIA ZIT WrOF\Ikony schematów\cel strategiczny 1. Priorytet 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1922780"/>
                    </a:xfrm>
                    <a:prstGeom prst="rect">
                      <a:avLst/>
                    </a:prstGeom>
                    <a:noFill/>
                    <a:ln>
                      <a:noFill/>
                    </a:ln>
                  </pic:spPr>
                </pic:pic>
              </a:graphicData>
            </a:graphic>
          </wp:inline>
        </w:drawing>
      </w:r>
    </w:p>
    <w:p w:rsidR="00176C22" w:rsidRDefault="00176C22" w:rsidP="00762151">
      <w:pPr>
        <w:jc w:val="left"/>
        <w:rPr>
          <w:noProof/>
          <w:lang w:eastAsia="pl-PL"/>
        </w:rPr>
      </w:pPr>
      <w:r w:rsidRPr="001D1207">
        <w:rPr>
          <w:rFonts w:asciiTheme="majorHAnsi" w:eastAsiaTheme="majorEastAsia" w:hAnsiTheme="majorHAnsi" w:cstheme="majorBidi"/>
          <w:b/>
          <w:color w:val="000000" w:themeColor="text1"/>
          <w:sz w:val="36"/>
          <w:szCs w:val="26"/>
        </w:rPr>
        <w:t xml:space="preserve">Priorytet Zdrowie </w:t>
      </w:r>
      <w:r w:rsidRPr="00762151">
        <w:rPr>
          <w:noProof/>
          <w:sz w:val="24"/>
          <w:lang w:eastAsia="pl-PL"/>
        </w:rPr>
        <w:t>jest jednym z kluczowych wyzwań na terenie WrOF. W dobie zmian demograficznych i społecznych ma bezpośredni wpływ na potrzeby mieszkańców WrOF. Samorządy lokalne powinny być przygotowane na proces rosnącego zapotrzebowania na miejsca opieki nad dziećmi do lat 3 oraz miejsca opieki i aktywizacji osób starszych. Rozwijanie dostępności i jakości oferty usług społecznych, opieki nad dziećmi do lat 3, opieki dziennej czy całodobowej dla osób starszych, niesamodziel</w:t>
      </w:r>
      <w:r w:rsidR="00762151">
        <w:rPr>
          <w:noProof/>
          <w:sz w:val="24"/>
          <w:lang w:eastAsia="pl-PL"/>
        </w:rPr>
        <w:t>nych i niepełnosprawnych wraz z </w:t>
      </w:r>
      <w:r w:rsidRPr="00762151">
        <w:rPr>
          <w:noProof/>
          <w:sz w:val="24"/>
          <w:lang w:eastAsia="pl-PL"/>
        </w:rPr>
        <w:t xml:space="preserve">rozwijaniem usług opieki wytchnieniowej i asystenckiej, w tym szeroko rozumianej infrastruktury oraz cyfryzacji tych placówek, są jednym z kluczowych wyzwań dla kolejnej perspektywy. Istotnym elementem tego priorytetu jest zapewnienie, poprawienie dostępności i jakości usług medycznych, zarówno podstawowych, jak i specjalistycznych oraz do rozbudowy i modernizacji posiadanej infrastruktury przez samorządy lokalne. </w:t>
      </w:r>
      <w:r w:rsidR="00762151">
        <w:rPr>
          <w:noProof/>
          <w:sz w:val="24"/>
          <w:lang w:eastAsia="pl-PL"/>
        </w:rPr>
        <w:t>Działania w </w:t>
      </w:r>
      <w:r w:rsidRPr="00762151">
        <w:rPr>
          <w:noProof/>
          <w:sz w:val="24"/>
          <w:lang w:eastAsia="pl-PL"/>
        </w:rPr>
        <w:t>tym priorytecie będą podejmowane na poziomie ponadlokalnym i będą wpływać pośrednio i bezpośrednio na ograniczenie wykluczenia społecznego mieszkańców WrOF</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2.1 Podnoszenie jakości i dostępności systemu opieki zdrowotnej i zapewnianie równego dostępu, w tym inwestycje w infrastrukturę"/>
        <w:tblDescription w:val="omówienie kierunku"/>
      </w:tblPr>
      <w:tblGrid>
        <w:gridCol w:w="2629"/>
        <w:gridCol w:w="6161"/>
      </w:tblGrid>
      <w:tr w:rsidR="00EF02E5" w:rsidRPr="007D7614" w:rsidTr="00EF02E5">
        <w:trPr>
          <w:trHeight w:val="998"/>
          <w:tblHeader/>
        </w:trPr>
        <w:tc>
          <w:tcPr>
            <w:tcW w:w="2629" w:type="dxa"/>
            <w:shd w:val="clear" w:color="auto" w:fill="FFFFFF" w:themeFill="background1"/>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Kierunek 2.1</w:t>
            </w:r>
          </w:p>
        </w:tc>
        <w:tc>
          <w:tcPr>
            <w:tcW w:w="6161" w:type="dxa"/>
            <w:shd w:val="clear" w:color="auto" w:fill="F5CE45"/>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rFonts w:asciiTheme="majorHAnsi" w:eastAsiaTheme="majorEastAsia" w:hAnsiTheme="majorHAnsi" w:cstheme="majorBidi"/>
                <w:b/>
                <w:color w:val="000000" w:themeColor="text1"/>
                <w:sz w:val="24"/>
                <w:szCs w:val="24"/>
              </w:rPr>
              <w:t>Podnoszenie jakości i dostępności systemu opieki zdrowotnej i zapewnianie równego dostępu, w tym inwestycje w infrastrukturę</w:t>
            </w:r>
          </w:p>
        </w:tc>
      </w:tr>
      <w:tr w:rsidR="00EF02E5" w:rsidRPr="007D7614" w:rsidTr="00EF02E5">
        <w:trPr>
          <w:trHeight w:val="907"/>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Charakterystyka działania: </w:t>
            </w:r>
          </w:p>
        </w:tc>
        <w:tc>
          <w:tcPr>
            <w:tcW w:w="6161"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Zaplanowane działania stanowią odpowiedź na aktualne problemy i wyzwania obserwowane we WrOF, między innymi starzenie się społeczności lokalnej, wzrost liczby ludności oraz napływ migrantów i uchodźców. Związana jest z tym konieczność podnoszenia jakości i </w:t>
            </w:r>
            <w:proofErr w:type="spellStart"/>
            <w:r w:rsidRPr="007D7614">
              <w:rPr>
                <w:color w:val="000000" w:themeColor="text1"/>
                <w:sz w:val="24"/>
                <w:szCs w:val="24"/>
              </w:rPr>
              <w:t>standardówusług</w:t>
            </w:r>
            <w:proofErr w:type="spellEnd"/>
            <w:r w:rsidRPr="007D7614">
              <w:rPr>
                <w:color w:val="000000" w:themeColor="text1"/>
                <w:sz w:val="24"/>
                <w:szCs w:val="24"/>
              </w:rPr>
              <w:t>, a także zwiększanie dostępności placówek ochrony zdrowia.</w:t>
            </w:r>
          </w:p>
        </w:tc>
      </w:tr>
      <w:tr w:rsidR="00EF02E5" w:rsidRPr="007D7614" w:rsidTr="00EF02E5">
        <w:trPr>
          <w:trHeight w:val="103"/>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Przykładowe typy przedsięwzięć / projektów / zadań przewidzianych potencjalnie do realizacji </w:t>
            </w:r>
          </w:p>
        </w:tc>
        <w:tc>
          <w:tcPr>
            <w:tcW w:w="6161" w:type="dxa"/>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Dostosowanie systemu ochrony zdrowia do aktualnych trendów, procesów demograficznych i epidemiologicznych; </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Poprawa jakości i dostępności do usług medycznych na terenie WrOF, w tym cyfryzacja usług;</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Doposażanie placówek ochrony zdrowia w nowoczesny sprzęt medyczny;</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Promocja zdrowego stylu życia wśród mieszkańców;</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Wdrażanie standardów dostępności w podmiotach leczniczych; </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Prowadzenie i wspieranie działań z zakresu profilaktyki zdrowotnej;</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Budowa, rozbudowa oraz modernizacja placówek ochrony zdrowia;</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Wdrażanie projektów i/lub programów profilaktycznych.</w:t>
            </w:r>
          </w:p>
        </w:tc>
      </w:tr>
      <w:tr w:rsidR="00EF02E5" w:rsidRPr="007D7614" w:rsidTr="00EF02E5">
        <w:trPr>
          <w:trHeight w:val="984"/>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Interesariusze / potencjalni partnerzy</w:t>
            </w:r>
          </w:p>
        </w:tc>
        <w:tc>
          <w:tcPr>
            <w:tcW w:w="6161"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sz w:val="24"/>
                <w:szCs w:val="24"/>
              </w:rPr>
              <w:t xml:space="preserve">gminy WrOF, mieszkańcy WrOF, podmioty świadczące usługi </w:t>
            </w:r>
            <w:r w:rsidRPr="007D7614">
              <w:rPr>
                <w:sz w:val="24"/>
                <w:szCs w:val="24"/>
              </w:rPr>
              <w:br/>
              <w:t>z zakresu opieki zdrowotnej</w:t>
            </w:r>
          </w:p>
        </w:tc>
      </w:tr>
      <w:tr w:rsidR="00EF02E5" w:rsidRPr="007D7614" w:rsidTr="00EF02E5">
        <w:trPr>
          <w:trHeight w:val="510"/>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Okres realizacji:</w:t>
            </w:r>
          </w:p>
        </w:tc>
        <w:tc>
          <w:tcPr>
            <w:tcW w:w="6161" w:type="dxa"/>
            <w:vAlign w:val="center"/>
          </w:tcPr>
          <w:p w:rsidR="00EF02E5" w:rsidRPr="007D7614" w:rsidRDefault="00EF02E5" w:rsidP="00EF02E5">
            <w:pPr>
              <w:autoSpaceDE w:val="0"/>
              <w:autoSpaceDN w:val="0"/>
              <w:adjustRightInd w:val="0"/>
              <w:spacing w:line="240" w:lineRule="auto"/>
              <w:rPr>
                <w:color w:val="000000" w:themeColor="text1"/>
                <w:sz w:val="24"/>
                <w:szCs w:val="24"/>
              </w:rPr>
            </w:pPr>
            <w:r w:rsidRPr="007D7614">
              <w:rPr>
                <w:sz w:val="24"/>
                <w:szCs w:val="24"/>
              </w:rPr>
              <w:t>2021-2027 (n+2)</w:t>
            </w:r>
          </w:p>
        </w:tc>
      </w:tr>
      <w:tr w:rsidR="00EF02E5" w:rsidRPr="007D7614" w:rsidTr="00EF02E5">
        <w:trPr>
          <w:trHeight w:val="907"/>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Potencjalne źródła finansowania: </w:t>
            </w:r>
          </w:p>
        </w:tc>
        <w:tc>
          <w:tcPr>
            <w:tcW w:w="6161" w:type="dxa"/>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Fundusze Europejskie dla Dolnego Śląska 2021-2027</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Fundusze Europejskie dla Rozwoju Społecznego 2021-2027 (FERS)</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Krajowy Plan Odbudowy (KPO)</w:t>
            </w:r>
          </w:p>
          <w:p w:rsidR="00EF02E5" w:rsidRPr="007D7614" w:rsidRDefault="00EF02E5" w:rsidP="00EF02E5">
            <w:pPr>
              <w:pStyle w:val="Akapitzlist"/>
              <w:numPr>
                <w:ilvl w:val="0"/>
                <w:numId w:val="10"/>
              </w:numPr>
              <w:autoSpaceDE w:val="0"/>
              <w:autoSpaceDN w:val="0"/>
              <w:adjustRightInd w:val="0"/>
              <w:spacing w:line="240" w:lineRule="auto"/>
              <w:rPr>
                <w:color w:val="000000" w:themeColor="text1"/>
                <w:sz w:val="24"/>
                <w:szCs w:val="24"/>
              </w:rPr>
            </w:pPr>
            <w:r w:rsidRPr="007D7614">
              <w:rPr>
                <w:sz w:val="24"/>
                <w:szCs w:val="24"/>
              </w:rPr>
              <w:t>inne środki zewnętrzne, budżet państwa, środki własne gminy</w:t>
            </w:r>
          </w:p>
        </w:tc>
      </w:tr>
      <w:tr w:rsidR="00EF02E5" w:rsidRPr="007D7614" w:rsidTr="00EF02E5">
        <w:trPr>
          <w:trHeight w:val="529"/>
        </w:trPr>
        <w:tc>
          <w:tcPr>
            <w:tcW w:w="2629"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Proponowane wskaźniki monitorujące realizację kierunku działania: </w:t>
            </w:r>
          </w:p>
        </w:tc>
        <w:tc>
          <w:tcPr>
            <w:tcW w:w="6161" w:type="dxa"/>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wdrożonych programów polityki zdrowotnej [szt.]</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osób objętych usługami świadczonymi w społeczności lokalnej w programie [osoby]</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utworzonych miejsc świadczenia usług w społeczności lokalnej [szt.]</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podmiotów, które rozszerzyły ofertę wsparcia lub podniosły jakość oferowanych usług [szt.]</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Roczna liczba użytkowników nowych lub zmodernizowanych placówek opieki zdrowotnej [szt.]</w:t>
            </w:r>
          </w:p>
        </w:tc>
      </w:tr>
    </w:tbl>
    <w:p w:rsidR="00EF02E5" w:rsidRDefault="00EF02E5" w:rsidP="00216B5C">
      <w:pPr>
        <w:rPr>
          <w:noProof/>
          <w:lang w:eastAsia="pl-PL"/>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2.2 Wspieranie poprawy jakości i dostępności usług społecznych, w tym dla osób ze szczególnymi potrzebami oraz ograniczenie zjawiska wykluczenia społecznego"/>
        <w:tblDescription w:val="omówienie kierunku"/>
      </w:tblPr>
      <w:tblGrid>
        <w:gridCol w:w="2614"/>
        <w:gridCol w:w="6176"/>
      </w:tblGrid>
      <w:tr w:rsidR="00EF02E5" w:rsidRPr="007D7614" w:rsidTr="00EF02E5">
        <w:trPr>
          <w:trHeight w:val="998"/>
          <w:tblHeader/>
        </w:trPr>
        <w:tc>
          <w:tcPr>
            <w:tcW w:w="2614" w:type="dxa"/>
            <w:shd w:val="clear" w:color="auto" w:fill="FFFFFF" w:themeFill="background1"/>
            <w:vAlign w:val="center"/>
          </w:tcPr>
          <w:p w:rsidR="00EF02E5" w:rsidRPr="007D7614" w:rsidRDefault="00EF02E5" w:rsidP="00EF02E5">
            <w:pPr>
              <w:autoSpaceDE w:val="0"/>
              <w:autoSpaceDN w:val="0"/>
              <w:adjustRightInd w:val="0"/>
              <w:spacing w:line="240" w:lineRule="auto"/>
              <w:jc w:val="left"/>
              <w:rPr>
                <w:b/>
                <w:bCs/>
                <w:color w:val="FFFFFF" w:themeColor="background1"/>
                <w:sz w:val="24"/>
                <w:szCs w:val="24"/>
              </w:rPr>
            </w:pPr>
            <w:r w:rsidRPr="007D7614">
              <w:rPr>
                <w:b/>
                <w:bCs/>
                <w:color w:val="000000" w:themeColor="text1"/>
                <w:sz w:val="24"/>
                <w:szCs w:val="24"/>
              </w:rPr>
              <w:t>Kierunek 2.2</w:t>
            </w:r>
          </w:p>
        </w:tc>
        <w:tc>
          <w:tcPr>
            <w:tcW w:w="6176" w:type="dxa"/>
            <w:shd w:val="clear" w:color="auto" w:fill="F5CE45"/>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Wspieranie poprawy jakości i dostępności usług społecznych, w tym dla osób ze szczególnymi potrzebami oraz ograniczenie zjawiska wykluczenia społecznego</w:t>
            </w:r>
          </w:p>
        </w:tc>
      </w:tr>
      <w:tr w:rsidR="00EF02E5" w:rsidRPr="007D7614" w:rsidTr="00EF02E5">
        <w:trPr>
          <w:trHeight w:val="907"/>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Charakterystyka działania: </w:t>
            </w:r>
          </w:p>
        </w:tc>
        <w:tc>
          <w:tcPr>
            <w:tcW w:w="6176" w:type="dxa"/>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sz w:val="24"/>
                <w:szCs w:val="24"/>
              </w:rPr>
              <w:t xml:space="preserve">Poprawa oraz rozwój dostępności do usług świadczonych na poziomie społeczności lokalnej pozwoli na zwiększenie jakości życia osób ze szczególnymi potrzebami oraz ograniczenie zjawiska wykluczenia społecznego, a tym samym usamodzielnienie mieszkańców. </w:t>
            </w:r>
          </w:p>
        </w:tc>
      </w:tr>
      <w:tr w:rsidR="00EF02E5" w:rsidRPr="007D7614" w:rsidTr="00EF02E5">
        <w:trPr>
          <w:trHeight w:val="103"/>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Przykładowe typy przedsięwzięć / projektów / zadań przewidzianych potencjalnie do realizacji </w:t>
            </w:r>
          </w:p>
        </w:tc>
        <w:tc>
          <w:tcPr>
            <w:tcW w:w="6176" w:type="dxa"/>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Stworzenie miejsc i świadczenie usług opiekuńczych, w tym specjalistycznych usług opiekuńczych </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Stworzenie miejsc i świadczenie usług asystenckich i opieki </w:t>
            </w:r>
            <w:proofErr w:type="spellStart"/>
            <w:r w:rsidRPr="007D7614">
              <w:rPr>
                <w:sz w:val="24"/>
                <w:szCs w:val="24"/>
              </w:rPr>
              <w:t>wytchnieniowej</w:t>
            </w:r>
            <w:proofErr w:type="spellEnd"/>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Rozwój i modernizacja obiektów służących rehabilitacji i podniesienie jakości świadczonych usług w tym zakresie </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Realizacja przez samorządy programu opieki </w:t>
            </w:r>
            <w:proofErr w:type="spellStart"/>
            <w:r w:rsidRPr="007D7614">
              <w:rPr>
                <w:sz w:val="24"/>
                <w:szCs w:val="24"/>
              </w:rPr>
              <w:t>wytchnieniowej</w:t>
            </w:r>
            <w:proofErr w:type="spellEnd"/>
            <w:r w:rsidRPr="007D7614">
              <w:rPr>
                <w:sz w:val="24"/>
                <w:szCs w:val="24"/>
              </w:rPr>
              <w:t xml:space="preserve"> dla opiekunów </w:t>
            </w:r>
            <w:proofErr w:type="spellStart"/>
            <w:r w:rsidRPr="007D7614">
              <w:rPr>
                <w:sz w:val="24"/>
                <w:szCs w:val="24"/>
              </w:rPr>
              <w:t>OzN</w:t>
            </w:r>
            <w:proofErr w:type="spellEnd"/>
            <w:r w:rsidRPr="007D7614">
              <w:rPr>
                <w:sz w:val="24"/>
                <w:szCs w:val="24"/>
              </w:rPr>
              <w:t xml:space="preserve"> oraz programu zapewnienia osobom z niepełnosprawnością wsparcia AON</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Kształcenie kandydatów oraz wzmacnianie kompetencji kadr świadczących usługi społeczne, w tym usługi opiekuńcze i asystenckie</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Prowadzenie działań na rzecz integracji </w:t>
            </w:r>
            <w:r w:rsidRPr="007D7614">
              <w:rPr>
                <w:sz w:val="24"/>
                <w:szCs w:val="24"/>
              </w:rPr>
              <w:br/>
              <w:t xml:space="preserve">i przeciwdziałania marginalizacji społecznej mieszkańców zagrożonych wykluczeniem </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Rozwój mieszkalnictwa wspomaganego i adaptacyjnego</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 xml:space="preserve">Realizacja projektów innowacyjnych w zakresie usług społecznych, w tym cyfryzacja </w:t>
            </w:r>
          </w:p>
        </w:tc>
      </w:tr>
      <w:tr w:rsidR="00EF02E5" w:rsidRPr="007D7614" w:rsidTr="00EF02E5">
        <w:trPr>
          <w:trHeight w:val="984"/>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Interesariusze / potencjalni partnerzy</w:t>
            </w:r>
          </w:p>
        </w:tc>
        <w:tc>
          <w:tcPr>
            <w:tcW w:w="6176"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sz w:val="24"/>
                <w:szCs w:val="24"/>
              </w:rPr>
              <w:t>jednostki samorządu terytorialnego z obszaru WrOF, mieszkańcy WrOF, jednostki organizacyjne pomocy społecznej</w:t>
            </w:r>
          </w:p>
        </w:tc>
      </w:tr>
      <w:tr w:rsidR="00EF02E5" w:rsidRPr="007D7614" w:rsidTr="00EF02E5">
        <w:trPr>
          <w:trHeight w:val="510"/>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Okres realizacji:</w:t>
            </w:r>
          </w:p>
        </w:tc>
        <w:tc>
          <w:tcPr>
            <w:tcW w:w="6176"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sz w:val="24"/>
                <w:szCs w:val="24"/>
              </w:rPr>
              <w:t>2021-2027 (n+2)</w:t>
            </w:r>
          </w:p>
        </w:tc>
      </w:tr>
      <w:tr w:rsidR="00EF02E5" w:rsidRPr="007D7614" w:rsidTr="00EF02E5">
        <w:trPr>
          <w:trHeight w:val="907"/>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Potencjalne źródła finansowania: </w:t>
            </w:r>
          </w:p>
        </w:tc>
        <w:tc>
          <w:tcPr>
            <w:tcW w:w="6176" w:type="dxa"/>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Fundusze Europejskie dla Dolnego Śląska 2021-2027</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Fundusze Europejskie dla Rozwoju Społecznego 2021-2027 (FERS)</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Krajowy Plan Odbudowy (KPO)</w:t>
            </w:r>
          </w:p>
          <w:p w:rsidR="00EF02E5" w:rsidRPr="007D7614" w:rsidRDefault="00EF02E5" w:rsidP="00EF02E5">
            <w:pPr>
              <w:pStyle w:val="Akapitzlist"/>
              <w:numPr>
                <w:ilvl w:val="0"/>
                <w:numId w:val="10"/>
              </w:numPr>
              <w:autoSpaceDE w:val="0"/>
              <w:autoSpaceDN w:val="0"/>
              <w:adjustRightInd w:val="0"/>
              <w:spacing w:line="240" w:lineRule="auto"/>
              <w:jc w:val="left"/>
              <w:rPr>
                <w:color w:val="000000" w:themeColor="text1"/>
                <w:sz w:val="24"/>
                <w:szCs w:val="24"/>
              </w:rPr>
            </w:pPr>
            <w:r w:rsidRPr="007D7614">
              <w:rPr>
                <w:sz w:val="24"/>
                <w:szCs w:val="24"/>
              </w:rPr>
              <w:t>inne środki zewnętrzne, budżet państwa, środki własne gminy</w:t>
            </w:r>
          </w:p>
        </w:tc>
      </w:tr>
      <w:tr w:rsidR="00EF02E5" w:rsidRPr="007D7614" w:rsidTr="00EF02E5">
        <w:trPr>
          <w:trHeight w:val="529"/>
        </w:trPr>
        <w:tc>
          <w:tcPr>
            <w:tcW w:w="2614" w:type="dxa"/>
            <w:shd w:val="clear" w:color="auto" w:fill="FDF6DB"/>
            <w:vAlign w:val="center"/>
          </w:tcPr>
          <w:p w:rsidR="00EF02E5" w:rsidRPr="007D7614" w:rsidRDefault="00EF02E5" w:rsidP="00EF02E5">
            <w:pPr>
              <w:autoSpaceDE w:val="0"/>
              <w:autoSpaceDN w:val="0"/>
              <w:adjustRightInd w:val="0"/>
              <w:spacing w:line="240" w:lineRule="auto"/>
              <w:jc w:val="left"/>
              <w:rPr>
                <w:color w:val="FFFFFF" w:themeColor="background1"/>
                <w:sz w:val="24"/>
                <w:szCs w:val="24"/>
              </w:rPr>
            </w:pPr>
            <w:r w:rsidRPr="007D7614">
              <w:rPr>
                <w:sz w:val="24"/>
                <w:szCs w:val="24"/>
              </w:rPr>
              <w:t xml:space="preserve">Proponowane wskaźniki monitorujące realizację kierunku działania: </w:t>
            </w:r>
          </w:p>
        </w:tc>
        <w:tc>
          <w:tcPr>
            <w:tcW w:w="6176" w:type="dxa"/>
            <w:shd w:val="clear" w:color="auto" w:fill="auto"/>
          </w:tcPr>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osób objętych usługami świadczonymi w społeczności lokalnej w programie [osoby]</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utworzonych miejsc świadczenia usług w społeczności lokalnej [szt.]</w:t>
            </w:r>
          </w:p>
          <w:p w:rsidR="00EF02E5" w:rsidRPr="007D7614" w:rsidRDefault="00EF02E5" w:rsidP="00EF02E5">
            <w:pPr>
              <w:pStyle w:val="Akapitzlist"/>
              <w:numPr>
                <w:ilvl w:val="0"/>
                <w:numId w:val="7"/>
              </w:numPr>
              <w:spacing w:line="240" w:lineRule="auto"/>
              <w:jc w:val="left"/>
              <w:rPr>
                <w:sz w:val="24"/>
                <w:szCs w:val="24"/>
              </w:rPr>
            </w:pPr>
            <w:r w:rsidRPr="007D7614">
              <w:rPr>
                <w:sz w:val="24"/>
                <w:szCs w:val="24"/>
              </w:rPr>
              <w:t>Liczba podmiotów, które rozszerzyły ofertę wsparcia lub podniosły jakość oferowanych usług [szt.]</w:t>
            </w:r>
          </w:p>
        </w:tc>
      </w:tr>
    </w:tbl>
    <w:p w:rsidR="00EF02E5" w:rsidRDefault="00EF02E5" w:rsidP="00216B5C">
      <w:pPr>
        <w:rPr>
          <w:noProof/>
          <w:lang w:eastAsia="pl-PL"/>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2.3 Rozwijanie zintegrowanego systemu wsparcia senioralnego"/>
        <w:tblDescription w:val="omówienie kierunku"/>
      </w:tblPr>
      <w:tblGrid>
        <w:gridCol w:w="2628"/>
        <w:gridCol w:w="6162"/>
      </w:tblGrid>
      <w:tr w:rsidR="00EF02E5" w:rsidRPr="007D7614" w:rsidTr="00EF02E5">
        <w:trPr>
          <w:trHeight w:val="998"/>
          <w:tblHeader/>
        </w:trPr>
        <w:tc>
          <w:tcPr>
            <w:tcW w:w="2628" w:type="dxa"/>
            <w:shd w:val="clear" w:color="auto" w:fill="FFFFFF" w:themeFill="background1"/>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1510DE">
              <w:rPr>
                <w:b/>
                <w:bCs/>
                <w:color w:val="000000" w:themeColor="text1"/>
                <w:sz w:val="24"/>
                <w:szCs w:val="24"/>
              </w:rPr>
              <w:t>Kierunek 2.3</w:t>
            </w:r>
          </w:p>
        </w:tc>
        <w:tc>
          <w:tcPr>
            <w:tcW w:w="6162" w:type="dxa"/>
            <w:shd w:val="clear" w:color="auto" w:fill="F5CE45"/>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Rozwijanie zintegrowanego systemu wsparcia senioralnego</w:t>
            </w:r>
          </w:p>
        </w:tc>
      </w:tr>
      <w:tr w:rsidR="00EF02E5" w:rsidRPr="007D7614" w:rsidTr="00EF02E5">
        <w:trPr>
          <w:trHeight w:val="907"/>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Charakterystyka działania: </w:t>
            </w:r>
          </w:p>
        </w:tc>
        <w:tc>
          <w:tcPr>
            <w:tcW w:w="6162" w:type="dxa"/>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Zapewnienie odpowiedniej opieki i aktywizacja środowiska seniorów stanowi istotne wyzwanie w kontekście postępującego procesu starzenia się mieszkańców WrOF. </w:t>
            </w:r>
          </w:p>
        </w:tc>
      </w:tr>
      <w:tr w:rsidR="00EF02E5" w:rsidRPr="007D7614" w:rsidTr="00EF02E5">
        <w:trPr>
          <w:trHeight w:val="103"/>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Przykładowe typy przedsięwzięć / projektów / zadań przewidzianych potencjalnie do realizacji </w:t>
            </w:r>
          </w:p>
        </w:tc>
        <w:tc>
          <w:tcPr>
            <w:tcW w:w="6162"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Poszerzenie oferty spędzania czasu wolnego dla seniorów;</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 xml:space="preserve">Prowadzenie działań na rzecz aktywizacji i integracji środowiska seniorów; </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Rozwijanie usług asystenckich i opiekuńczych dla osób niesamodzielnych;</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Przygotowanie i wdrożenie programów dotyczących profilaktyki zdrowia dla osób starszych;</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Zwiększenie dostępności do usług zdrowotnych, ofert kulturalnych i rekreacyjnych we WrOF dla seniorów;</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Rozwój usług wolontariatu działającego na rzecz seniorów</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Upowszechnianie informacji o prawach i uprawnieniach osób starszych.</w:t>
            </w:r>
          </w:p>
        </w:tc>
      </w:tr>
      <w:tr w:rsidR="00EF02E5" w:rsidRPr="007D7614" w:rsidTr="00EF02E5">
        <w:trPr>
          <w:trHeight w:val="984"/>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Interesariusze / potencjalni partnerzy</w:t>
            </w:r>
          </w:p>
        </w:tc>
        <w:tc>
          <w:tcPr>
            <w:tcW w:w="6162"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gminy WrOF, jednostki organizacyjne pomocy społecznej, mieszkańcy WrOF, organizacje pozarządowe</w:t>
            </w:r>
          </w:p>
        </w:tc>
      </w:tr>
      <w:tr w:rsidR="00EF02E5" w:rsidRPr="007D7614" w:rsidTr="00EF02E5">
        <w:trPr>
          <w:trHeight w:val="510"/>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Okres realizacji:</w:t>
            </w:r>
          </w:p>
        </w:tc>
        <w:tc>
          <w:tcPr>
            <w:tcW w:w="6162" w:type="dxa"/>
            <w:vAlign w:val="center"/>
          </w:tcPr>
          <w:p w:rsidR="00EF02E5" w:rsidRPr="007D7614" w:rsidRDefault="00EF02E5" w:rsidP="00EF02E5">
            <w:pPr>
              <w:autoSpaceDE w:val="0"/>
              <w:autoSpaceDN w:val="0"/>
              <w:adjustRightInd w:val="0"/>
              <w:spacing w:line="240" w:lineRule="auto"/>
              <w:rPr>
                <w:color w:val="000000" w:themeColor="text1"/>
                <w:sz w:val="24"/>
                <w:szCs w:val="24"/>
              </w:rPr>
            </w:pPr>
            <w:r w:rsidRPr="007D7614">
              <w:rPr>
                <w:color w:val="000000" w:themeColor="text1"/>
                <w:sz w:val="24"/>
                <w:szCs w:val="24"/>
              </w:rPr>
              <w:t>2021-2027 (n+2)</w:t>
            </w:r>
          </w:p>
        </w:tc>
      </w:tr>
      <w:tr w:rsidR="00EF02E5" w:rsidRPr="007D7614" w:rsidTr="00EF02E5">
        <w:trPr>
          <w:trHeight w:val="907"/>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Potencjalne źródła finansowania: </w:t>
            </w:r>
          </w:p>
        </w:tc>
        <w:tc>
          <w:tcPr>
            <w:tcW w:w="6162"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Dolnego Śląska 2021-2027</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Rozwoju Społecznego 2021-2027 (FERS)</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Krajowy Plan Odbudowy (KPO)</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inne środki zewnętrzne, budżet państwa, środki własne gminy</w:t>
            </w:r>
          </w:p>
        </w:tc>
      </w:tr>
      <w:tr w:rsidR="00EF02E5" w:rsidRPr="007D7614" w:rsidTr="00EF02E5">
        <w:trPr>
          <w:trHeight w:val="529"/>
        </w:trPr>
        <w:tc>
          <w:tcPr>
            <w:tcW w:w="2628"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Proponowane wskaźniki monitorujące realizację kierunku działania: </w:t>
            </w:r>
          </w:p>
        </w:tc>
        <w:tc>
          <w:tcPr>
            <w:tcW w:w="6162" w:type="dxa"/>
            <w:vAlign w:val="center"/>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osób objętych wsparciem w obszarze zdrowia [osoby]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wspartych podmiotów wykonujących działalność leczniczą [szt.]</w:t>
            </w:r>
          </w:p>
        </w:tc>
      </w:tr>
    </w:tbl>
    <w:p w:rsidR="00EF02E5" w:rsidRDefault="00EF02E5" w:rsidP="00216B5C">
      <w:pPr>
        <w:rPr>
          <w:noProof/>
          <w:lang w:eastAsia="pl-PL"/>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2.4 Wspieranie opieki żłobkowej i opieki nad dziećmi do lat 3"/>
        <w:tblDescription w:val="omówienie kierunku"/>
      </w:tblPr>
      <w:tblGrid>
        <w:gridCol w:w="2628"/>
        <w:gridCol w:w="6162"/>
      </w:tblGrid>
      <w:tr w:rsidR="00EF02E5" w:rsidRPr="007D7614" w:rsidTr="00EF02E5">
        <w:trPr>
          <w:trHeight w:val="998"/>
          <w:tblHeader/>
        </w:trPr>
        <w:tc>
          <w:tcPr>
            <w:tcW w:w="2628" w:type="dxa"/>
            <w:shd w:val="clear" w:color="auto" w:fill="FFFFFF" w:themeFill="background1"/>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2.4</w:t>
            </w:r>
          </w:p>
        </w:tc>
        <w:tc>
          <w:tcPr>
            <w:tcW w:w="6162" w:type="dxa"/>
            <w:shd w:val="clear" w:color="auto" w:fill="F5CE45"/>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Wspieranie opieki żłobkowej i opieki nad dziećmi do lat 3</w:t>
            </w:r>
          </w:p>
        </w:tc>
      </w:tr>
      <w:tr w:rsidR="00EF02E5" w:rsidRPr="007D7614" w:rsidTr="00EF02E5">
        <w:trPr>
          <w:trHeight w:val="907"/>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 xml:space="preserve">Charakterystyka działania: </w:t>
            </w:r>
          </w:p>
        </w:tc>
        <w:tc>
          <w:tcPr>
            <w:tcW w:w="6162" w:type="dxa"/>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Zapewnienie odpowiedniej opieki nad najmłodszymi dziećmi stanowi istotne wyzwanie w kontekście postępującego rozwoju gospodarczego, procesu migracyjnego i zmian demograficznych na obszarze WrOF. </w:t>
            </w:r>
          </w:p>
        </w:tc>
      </w:tr>
      <w:tr w:rsidR="00EF02E5" w:rsidRPr="007D7614" w:rsidTr="00EF02E5">
        <w:trPr>
          <w:trHeight w:val="103"/>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 xml:space="preserve">Przykładowe typy przedsięwzięć / projektów / zadań przewidzianych potencjalnie do realizacji </w:t>
            </w:r>
          </w:p>
        </w:tc>
        <w:tc>
          <w:tcPr>
            <w:tcW w:w="6162"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Zwiększenie dostępności opieki żłobkowej wraz z podnoszeniem standardów i jakości opieki;</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Tworzenie warunków dla rozwoju opieki żłobkowej na całym obszarze WrOF;</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Polepszenie właściwej opieki pielęgnacyjnej oraz edukacyjnej przez prowadzenie zajęć zabawowych z elementami edukacji, z uwzględnieniem indywidualnych potrzeb dziecka;</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Poprawa wyposażenia infrastruktury;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Budowa, rozbudowa oraz modernizacja placówek opieki nad dziećmi do lat 3.</w:t>
            </w:r>
          </w:p>
        </w:tc>
      </w:tr>
      <w:tr w:rsidR="00EF02E5" w:rsidRPr="007D7614" w:rsidTr="00EF02E5">
        <w:trPr>
          <w:trHeight w:val="984"/>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Interesariusze / potencjalni partnerzy</w:t>
            </w:r>
          </w:p>
        </w:tc>
        <w:tc>
          <w:tcPr>
            <w:tcW w:w="6162"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gminy WrOF, mieszkańcy WrOF, instytucje publiczne, organizacje pozarządowe</w:t>
            </w:r>
          </w:p>
        </w:tc>
      </w:tr>
      <w:tr w:rsidR="00EF02E5" w:rsidRPr="007D7614" w:rsidTr="00EF02E5">
        <w:trPr>
          <w:trHeight w:val="510"/>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Okres realizacji:</w:t>
            </w:r>
          </w:p>
        </w:tc>
        <w:tc>
          <w:tcPr>
            <w:tcW w:w="6162" w:type="dxa"/>
            <w:vAlign w:val="center"/>
          </w:tcPr>
          <w:p w:rsidR="00EF02E5" w:rsidRPr="007D7614" w:rsidRDefault="00EF02E5" w:rsidP="00EF02E5">
            <w:pPr>
              <w:autoSpaceDE w:val="0"/>
              <w:autoSpaceDN w:val="0"/>
              <w:adjustRightInd w:val="0"/>
              <w:spacing w:line="240" w:lineRule="auto"/>
              <w:rPr>
                <w:color w:val="000000" w:themeColor="text1"/>
                <w:sz w:val="24"/>
                <w:szCs w:val="24"/>
              </w:rPr>
            </w:pPr>
            <w:r w:rsidRPr="007D7614">
              <w:rPr>
                <w:color w:val="000000" w:themeColor="text1"/>
                <w:sz w:val="24"/>
                <w:szCs w:val="24"/>
              </w:rPr>
              <w:t>2021-2027 (n+2)</w:t>
            </w:r>
          </w:p>
        </w:tc>
      </w:tr>
      <w:tr w:rsidR="00EF02E5" w:rsidRPr="007D7614" w:rsidTr="00EF02E5">
        <w:trPr>
          <w:trHeight w:val="907"/>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 xml:space="preserve">Potencjalne źródła finansowania: </w:t>
            </w:r>
          </w:p>
        </w:tc>
        <w:tc>
          <w:tcPr>
            <w:tcW w:w="6162"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Dolnego Śląska 2021-2027</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Rozwoju Społecznego 2021-2027 (FERS)</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Krajowy Plan Odbudowy (KPO)</w:t>
            </w:r>
          </w:p>
          <w:p w:rsidR="00EF02E5" w:rsidRPr="007D7614" w:rsidRDefault="00EF02E5" w:rsidP="00EF02E5">
            <w:pPr>
              <w:pStyle w:val="Akapitzlist"/>
              <w:numPr>
                <w:ilvl w:val="0"/>
                <w:numId w:val="10"/>
              </w:numPr>
              <w:autoSpaceDE w:val="0"/>
              <w:autoSpaceDN w:val="0"/>
              <w:adjustRightInd w:val="0"/>
              <w:spacing w:line="240" w:lineRule="auto"/>
              <w:rPr>
                <w:color w:val="000000" w:themeColor="text1"/>
                <w:sz w:val="24"/>
                <w:szCs w:val="24"/>
              </w:rPr>
            </w:pPr>
            <w:r w:rsidRPr="007D7614">
              <w:rPr>
                <w:color w:val="000000" w:themeColor="text1"/>
                <w:sz w:val="24"/>
                <w:szCs w:val="24"/>
              </w:rPr>
              <w:t>inne środki zewnętrzne, budżet państwa, środki własne gminy</w:t>
            </w:r>
          </w:p>
        </w:tc>
      </w:tr>
      <w:tr w:rsidR="00EF02E5" w:rsidRPr="007D7614" w:rsidTr="00EF02E5">
        <w:trPr>
          <w:trHeight w:val="529"/>
        </w:trPr>
        <w:tc>
          <w:tcPr>
            <w:tcW w:w="2628" w:type="dxa"/>
            <w:shd w:val="clear" w:color="auto" w:fill="FDF6DB"/>
            <w:vAlign w:val="center"/>
          </w:tcPr>
          <w:p w:rsidR="00EF02E5" w:rsidRPr="007D7614" w:rsidRDefault="00EF02E5" w:rsidP="00EF02E5">
            <w:pPr>
              <w:autoSpaceDE w:val="0"/>
              <w:autoSpaceDN w:val="0"/>
              <w:adjustRightInd w:val="0"/>
              <w:spacing w:line="240" w:lineRule="auto"/>
              <w:jc w:val="right"/>
              <w:rPr>
                <w:color w:val="000000" w:themeColor="text1"/>
                <w:sz w:val="24"/>
                <w:szCs w:val="24"/>
              </w:rPr>
            </w:pPr>
            <w:r w:rsidRPr="007D7614">
              <w:rPr>
                <w:color w:val="000000" w:themeColor="text1"/>
                <w:sz w:val="24"/>
                <w:szCs w:val="24"/>
              </w:rPr>
              <w:t xml:space="preserve">Proponowane wskaźniki monitorujące realizację kierunku działania: </w:t>
            </w:r>
          </w:p>
        </w:tc>
        <w:tc>
          <w:tcPr>
            <w:tcW w:w="6162" w:type="dxa"/>
            <w:vAlign w:val="center"/>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Odsetek dzieci objętych opieką żłobkową [odsetek]</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utworzonych miejsc objętych opieką żłobkową [miejsca]</w:t>
            </w:r>
          </w:p>
        </w:tc>
      </w:tr>
    </w:tbl>
    <w:p w:rsidR="00EF02E5" w:rsidRDefault="00EF02E5" w:rsidP="00216B5C">
      <w:pPr>
        <w:rPr>
          <w:noProof/>
          <w:lang w:eastAsia="pl-PL"/>
        </w:rPr>
      </w:pPr>
    </w:p>
    <w:p w:rsidR="00176C22" w:rsidRDefault="00176C22">
      <w:r w:rsidRPr="00821B35">
        <w:rPr>
          <w:noProof/>
          <w:lang w:eastAsia="pl-PL"/>
        </w:rPr>
        <w:drawing>
          <wp:inline distT="0" distB="0" distL="0" distR="0" wp14:anchorId="51E91AAB" wp14:editId="76B0EAD5">
            <wp:extent cx="5419725" cy="1743075"/>
            <wp:effectExtent l="0" t="0" r="9525" b="9525"/>
            <wp:docPr id="254" name="Obraz 254" descr="Cel strategiczny 1 - Priorytet 3. Edukacja, Kierunek działania 3.1, Kierunek działania 3.2" title="Cel strategiczny 1 - Priorytet 3. Eduk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BIT\wszyscy\ZIT\Realizacja STRATEGIA ZIT WrOF\Ikony schematów\cel strategiczny 1. Priorytet 3.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19725" cy="1743075"/>
                    </a:xfrm>
                    <a:prstGeom prst="rect">
                      <a:avLst/>
                    </a:prstGeom>
                    <a:noFill/>
                    <a:ln>
                      <a:noFill/>
                    </a:ln>
                  </pic:spPr>
                </pic:pic>
              </a:graphicData>
            </a:graphic>
          </wp:inline>
        </w:drawing>
      </w:r>
    </w:p>
    <w:p w:rsidR="00176C22" w:rsidRDefault="00176C22" w:rsidP="00176C22">
      <w:pPr>
        <w:jc w:val="left"/>
        <w:rPr>
          <w:color w:val="000000" w:themeColor="text1"/>
          <w:sz w:val="24"/>
        </w:rPr>
      </w:pPr>
      <w:r w:rsidRPr="007D7614">
        <w:rPr>
          <w:rFonts w:asciiTheme="majorHAnsi" w:eastAsiaTheme="majorEastAsia" w:hAnsiTheme="majorHAnsi" w:cstheme="majorBidi"/>
          <w:b/>
          <w:color w:val="000000" w:themeColor="text1"/>
          <w:sz w:val="36"/>
          <w:szCs w:val="26"/>
        </w:rPr>
        <w:t>Priorytet Edukacja</w:t>
      </w:r>
      <w:r w:rsidRPr="007D7614">
        <w:rPr>
          <w:color w:val="000000" w:themeColor="text1"/>
          <w:sz w:val="24"/>
        </w:rPr>
        <w:t xml:space="preserve"> – nie można poprawić jakości życia nie tworząc warunków do szerokorozumianego rozwoju, edukacji oraz warunków do mobilności edukacyjnej dla wszystkich mieszkańców. Dlatego wyzwaniem na terenie WrOF jest ciągłe zapewnienie równego dostępu do edukacji oraz dostępu do atrakcyjnej oferty edukacyjnej. Edukacji dostępnej dla wszystkich, poczynając od edukacji przedszkolnej, a kończąc na edukacji ustawicznej osób dorosłych. Edukacji na właściwym poziomie jakościowym - merytorycznym, jak i infrastrukturalnym – wyposażeniowym, która nie odbiega osiąganymi wynikami lub warunkami od ustalonych standardów. Kluczowe jest two</w:t>
      </w:r>
      <w:r w:rsidR="001D1207">
        <w:rPr>
          <w:color w:val="000000" w:themeColor="text1"/>
          <w:sz w:val="24"/>
        </w:rPr>
        <w:t>rzenie miejsc w przedszkolach i </w:t>
      </w:r>
      <w:r w:rsidRPr="007D7614">
        <w:rPr>
          <w:color w:val="000000" w:themeColor="text1"/>
          <w:sz w:val="24"/>
        </w:rPr>
        <w:t>szkołach, które dostępne będą dla wszystkich, w tym osób ze specjalnymi potrzebami edukacyjnymi. Nie mniej ważne jest zapewnienie we wszystkich przedszkolach i szkołach porównywalnych możliwości rozwoju, m.in. poprzez zapewnienie wszystkim równego dostępu do katalogu zajęć rozwijających i wspomagających. Istotne jest również wspieranie i rozwój kształcenia zawodowego i </w:t>
      </w:r>
      <w:proofErr w:type="spellStart"/>
      <w:r w:rsidRPr="007D7614">
        <w:rPr>
          <w:color w:val="000000" w:themeColor="text1"/>
          <w:sz w:val="24"/>
        </w:rPr>
        <w:t>prozawodowego</w:t>
      </w:r>
      <w:proofErr w:type="spellEnd"/>
      <w:r w:rsidRPr="007D7614">
        <w:rPr>
          <w:color w:val="000000" w:themeColor="text1"/>
          <w:sz w:val="24"/>
        </w:rPr>
        <w:t>, które wymaga ciągłego inwestowania w sprzęt i wyposażenie dydaktyczne w celu spełnienia wymagań lokalnego rynku pracy. Nie można w dzisiejszych czasach mówić również o edukacji na właściwym poziomie bez zapewnienia w każdej placówce oświatowej i</w:t>
      </w:r>
      <w:r>
        <w:rPr>
          <w:color w:val="000000" w:themeColor="text1"/>
          <w:sz w:val="24"/>
        </w:rPr>
        <w:t> </w:t>
      </w:r>
      <w:r w:rsidRPr="007D7614">
        <w:rPr>
          <w:color w:val="000000" w:themeColor="text1"/>
          <w:sz w:val="24"/>
        </w:rPr>
        <w:t xml:space="preserve">edukacyjnej dostępu do szerokopasmowego Internetu oraz pracy ze </w:t>
      </w:r>
      <w:proofErr w:type="spellStart"/>
      <w:r w:rsidRPr="007D7614">
        <w:rPr>
          <w:color w:val="000000" w:themeColor="text1"/>
          <w:sz w:val="24"/>
        </w:rPr>
        <w:t>scyfryzowanymi</w:t>
      </w:r>
      <w:proofErr w:type="spellEnd"/>
      <w:r w:rsidRPr="007D7614">
        <w:rPr>
          <w:color w:val="000000" w:themeColor="text1"/>
          <w:sz w:val="24"/>
        </w:rPr>
        <w:t xml:space="preserve"> zasobami edukacyjnymi.</w:t>
      </w:r>
    </w:p>
    <w:tbl>
      <w:tblPr>
        <w:tblStyle w:val="Tabela-Siatka"/>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3.1 Wspieranie równego dostępu do wysokiej jakości kształcenia i szkolenia"/>
        <w:tblDescription w:val="omówienie"/>
      </w:tblPr>
      <w:tblGrid>
        <w:gridCol w:w="2711"/>
        <w:gridCol w:w="6351"/>
      </w:tblGrid>
      <w:tr w:rsidR="00EF02E5" w:rsidRPr="007D7614" w:rsidTr="00EF02E5">
        <w:trPr>
          <w:trHeight w:val="1077"/>
          <w:tblHeader/>
        </w:trPr>
        <w:tc>
          <w:tcPr>
            <w:tcW w:w="26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Kierunek 3.1</w:t>
            </w:r>
          </w:p>
        </w:tc>
        <w:tc>
          <w:tcPr>
            <w:tcW w:w="62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CE45"/>
            <w:vAlign w:val="center"/>
          </w:tcPr>
          <w:p w:rsidR="00EF02E5" w:rsidRPr="007D7614" w:rsidRDefault="00EF02E5" w:rsidP="00EF02E5">
            <w:pPr>
              <w:autoSpaceDE w:val="0"/>
              <w:autoSpaceDN w:val="0"/>
              <w:adjustRightInd w:val="0"/>
              <w:spacing w:line="240" w:lineRule="auto"/>
              <w:jc w:val="left"/>
              <w:rPr>
                <w:b/>
                <w:bCs/>
                <w:color w:val="000000" w:themeColor="text1"/>
                <w:sz w:val="24"/>
                <w:szCs w:val="24"/>
              </w:rPr>
            </w:pPr>
            <w:r w:rsidRPr="007D7614">
              <w:rPr>
                <w:b/>
                <w:bCs/>
                <w:color w:val="000000" w:themeColor="text1"/>
                <w:sz w:val="24"/>
                <w:szCs w:val="24"/>
              </w:rPr>
              <w:t>Wspieranie równego dostępu do wysokiej jakości kształcenia i szkolenia</w:t>
            </w:r>
          </w:p>
        </w:tc>
      </w:tr>
      <w:tr w:rsidR="00EF02E5" w:rsidRPr="007D7614" w:rsidTr="00EF02E5">
        <w:trPr>
          <w:trHeight w:val="907"/>
        </w:trPr>
        <w:tc>
          <w:tcPr>
            <w:tcW w:w="2655" w:type="dxa"/>
            <w:tcBorders>
              <w:top w:val="single" w:sz="4" w:space="0" w:color="000000" w:themeColor="text1"/>
            </w:tcBorders>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Charakterystyka działania: </w:t>
            </w:r>
          </w:p>
        </w:tc>
        <w:tc>
          <w:tcPr>
            <w:tcW w:w="6221" w:type="dxa"/>
            <w:tcBorders>
              <w:top w:val="single" w:sz="4" w:space="0" w:color="000000" w:themeColor="text1"/>
            </w:tcBorders>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Wysokiej jakości edukacja stanowi podstawowe oczekiwanie mieszkańców WrOF. Budowa silnego kapitału ludzkiego dzięki systematycznie podnoszonym standardom nauczania jest warunkiem stabilnego rozwoju społeczno-gospodarczego WrOF.</w:t>
            </w:r>
          </w:p>
        </w:tc>
      </w:tr>
      <w:tr w:rsidR="00EF02E5" w:rsidRPr="007D7614" w:rsidTr="00EF02E5">
        <w:trPr>
          <w:trHeight w:val="103"/>
        </w:trPr>
        <w:tc>
          <w:tcPr>
            <w:tcW w:w="2655"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Przykładowe typy przedsięwzięć / projektów / zadań przewidzianych potencjalnie do realizacji </w:t>
            </w:r>
          </w:p>
        </w:tc>
        <w:tc>
          <w:tcPr>
            <w:tcW w:w="6221"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Zwiększenie dostępności do edukacji przedszkolnej wraz z podnoszeniem standardów i jakości opieki;</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Tworzenie warunków dla rozwoju edukacji oraz odpowiedniej infrastruktury dojazdowej o charakterze zrównoważonym na całym obszarze WrOF;</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Dostosowanie programów edukacyjnych i wprowadzenie nowoczesnych metod nauczania w placówkach edukacyjnych we WrOF;</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Tworzenie nowych form i kierunków kształcenia oraz dostosowanie systemów kształcenia i szkolenia zawodowego do potrzeb rynku pracy;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Wspieranie aktywnego uczestnictwa lokalnych pracodawców w procesie kształcenia uczniów oraz zwiększenie poziomu współpracy między przedsiębiorcami a szkołami;</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Wdrożenie systemu nauki dualnej ze szczególnym naciskiem na aspekt praktyczny;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Prowadzenie działań na rzecz rozwoju kompetencji kluczowych wśród dzieci i młodzieży;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Wsparcie szkół w organizowaniu staży uczniowskich, praktyk i dodatkowych form podnoszenia kompetencji i kwalifikacji uczniów (np. kursy kwalifikacyjne, szkolenia);</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Wzmocnienie kompetencji kadr nauczycielskich i opiekunów w zakresie technologii cyfrowych oraz kwalifikacji psychologicznych;</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 xml:space="preserve">Wzmocnienie kwalifikacji kadr nauczycielskich wraz </w:t>
            </w:r>
            <w:r w:rsidRPr="007D7614">
              <w:rPr>
                <w:color w:val="000000" w:themeColor="text1"/>
                <w:sz w:val="24"/>
                <w:szCs w:val="24"/>
              </w:rPr>
              <w:br/>
              <w:t>z promocją zawodu i pozyskiwaniem nauczycieli;</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Wsparcie działań z zakresu edukacji ekologicznej i dotyczącej zrównoważonego rozwoju;</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 xml:space="preserve">Wsparcie kształcenia ogólnego i zawodowego w ramach szkół i oddziałów specjalnych uwzględniające potrzeby uczniów z niepełnosprawnością; </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Poprawa wyposażenia infrastruktury kształcenia przedszkolnego, ogólnego i zawodowego oraz kształcenia specjalnego;</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Dostosowanie istniejących placówek do potrzeb osób z niepełnosprawnościami oraz zapewnienie usług asystenckich dla uczniów.</w:t>
            </w:r>
          </w:p>
        </w:tc>
      </w:tr>
      <w:tr w:rsidR="00EF02E5" w:rsidRPr="007D7614" w:rsidTr="00EF02E5">
        <w:trPr>
          <w:trHeight w:val="984"/>
        </w:trPr>
        <w:tc>
          <w:tcPr>
            <w:tcW w:w="2655"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Interesariusze / potencjalni partnerzy</w:t>
            </w:r>
          </w:p>
        </w:tc>
        <w:tc>
          <w:tcPr>
            <w:tcW w:w="6221" w:type="dxa"/>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jednostki samorządu terytorialnego z obszaru WrOF, mieszkańcy WrOF, placówki wychowania przedszkolnego, placówki edukacyjne, przedsiębiorcy</w:t>
            </w:r>
          </w:p>
        </w:tc>
      </w:tr>
      <w:tr w:rsidR="00EF02E5" w:rsidRPr="007D7614" w:rsidTr="00EF02E5">
        <w:trPr>
          <w:trHeight w:val="510"/>
        </w:trPr>
        <w:tc>
          <w:tcPr>
            <w:tcW w:w="2655"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Okres realizacji:</w:t>
            </w:r>
          </w:p>
        </w:tc>
        <w:tc>
          <w:tcPr>
            <w:tcW w:w="6221" w:type="dxa"/>
            <w:vAlign w:val="center"/>
          </w:tcPr>
          <w:p w:rsidR="00EF02E5" w:rsidRPr="007D7614" w:rsidRDefault="00EF02E5" w:rsidP="00EF02E5">
            <w:pPr>
              <w:autoSpaceDE w:val="0"/>
              <w:autoSpaceDN w:val="0"/>
              <w:adjustRightInd w:val="0"/>
              <w:spacing w:line="240" w:lineRule="auto"/>
              <w:rPr>
                <w:color w:val="000000" w:themeColor="text1"/>
                <w:sz w:val="24"/>
                <w:szCs w:val="24"/>
              </w:rPr>
            </w:pPr>
            <w:r w:rsidRPr="007D7614">
              <w:rPr>
                <w:color w:val="000000" w:themeColor="text1"/>
                <w:sz w:val="24"/>
                <w:szCs w:val="24"/>
              </w:rPr>
              <w:t>2021-2027 (n+2)</w:t>
            </w:r>
          </w:p>
        </w:tc>
      </w:tr>
      <w:tr w:rsidR="00EF02E5" w:rsidRPr="007D7614" w:rsidTr="00EF02E5">
        <w:trPr>
          <w:trHeight w:val="907"/>
        </w:trPr>
        <w:tc>
          <w:tcPr>
            <w:tcW w:w="2655"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Potencjalne źródła finansowania: </w:t>
            </w:r>
          </w:p>
        </w:tc>
        <w:tc>
          <w:tcPr>
            <w:tcW w:w="6221"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Dolnego Śląska 2021-2027</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Rozwoju Społecznego 2021-2027 (FERS)</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Fundusze Europejskie dla Nowoczesnej Gospodarki (FENG)</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Krajowy Plan Odbudowy (KPO)</w:t>
            </w:r>
          </w:p>
          <w:p w:rsidR="00EF02E5" w:rsidRPr="007D7614" w:rsidRDefault="00EF02E5" w:rsidP="00EF02E5">
            <w:pPr>
              <w:pStyle w:val="Akapitzlist"/>
              <w:numPr>
                <w:ilvl w:val="0"/>
                <w:numId w:val="10"/>
              </w:numPr>
              <w:autoSpaceDE w:val="0"/>
              <w:autoSpaceDN w:val="0"/>
              <w:adjustRightInd w:val="0"/>
              <w:spacing w:line="240" w:lineRule="auto"/>
              <w:rPr>
                <w:color w:val="000000" w:themeColor="text1"/>
                <w:sz w:val="24"/>
                <w:szCs w:val="24"/>
              </w:rPr>
            </w:pPr>
            <w:r w:rsidRPr="007D7614">
              <w:rPr>
                <w:color w:val="000000" w:themeColor="text1"/>
                <w:sz w:val="24"/>
                <w:szCs w:val="24"/>
              </w:rPr>
              <w:t>inne środki zewnętrzne, budżet państwa, środki własne gminy</w:t>
            </w:r>
          </w:p>
        </w:tc>
      </w:tr>
      <w:tr w:rsidR="00EF02E5" w:rsidRPr="007D7614" w:rsidTr="00EF02E5">
        <w:trPr>
          <w:trHeight w:val="529"/>
        </w:trPr>
        <w:tc>
          <w:tcPr>
            <w:tcW w:w="2655" w:type="dxa"/>
            <w:shd w:val="clear" w:color="auto" w:fill="FDF6DB"/>
            <w:vAlign w:val="center"/>
          </w:tcPr>
          <w:p w:rsidR="00EF02E5" w:rsidRPr="007D7614" w:rsidRDefault="00EF02E5" w:rsidP="00EF02E5">
            <w:pPr>
              <w:autoSpaceDE w:val="0"/>
              <w:autoSpaceDN w:val="0"/>
              <w:adjustRightInd w:val="0"/>
              <w:spacing w:line="240" w:lineRule="auto"/>
              <w:jc w:val="left"/>
              <w:rPr>
                <w:color w:val="000000" w:themeColor="text1"/>
                <w:sz w:val="24"/>
                <w:szCs w:val="24"/>
              </w:rPr>
            </w:pPr>
            <w:r w:rsidRPr="007D7614">
              <w:rPr>
                <w:color w:val="000000" w:themeColor="text1"/>
                <w:sz w:val="24"/>
                <w:szCs w:val="24"/>
              </w:rPr>
              <w:t xml:space="preserve">Proponowane wskaźniki monitorujące realizację kierunku działania: </w:t>
            </w:r>
          </w:p>
        </w:tc>
        <w:tc>
          <w:tcPr>
            <w:tcW w:w="6221" w:type="dxa"/>
          </w:tcPr>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dzieci objętych dodatkowymi zajęciami zwiększającymi ich szanse edukacyjne w edukacji przedszkolnej [osoby]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uczniów szkół i placówek systemu oświaty prowadzących kształcenie ogólne objętych wsparciem [osoby]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uczniów, którzy nabyli nowe kompetencje lub umiejętności w tracie wdrażania programu [osoby]</w:t>
            </w:r>
          </w:p>
          <w:p w:rsidR="00EF02E5" w:rsidRPr="007D7614" w:rsidRDefault="00EF02E5" w:rsidP="00EF02E5">
            <w:pPr>
              <w:pStyle w:val="Akapitzlist"/>
              <w:numPr>
                <w:ilvl w:val="0"/>
                <w:numId w:val="7"/>
              </w:numPr>
              <w:spacing w:line="240" w:lineRule="auto"/>
              <w:jc w:val="left"/>
              <w:rPr>
                <w:color w:val="000000" w:themeColor="text1"/>
                <w:sz w:val="24"/>
                <w:szCs w:val="24"/>
              </w:rPr>
            </w:pPr>
            <w:r w:rsidRPr="007D7614">
              <w:rPr>
                <w:color w:val="000000" w:themeColor="text1"/>
                <w:sz w:val="24"/>
                <w:szCs w:val="24"/>
              </w:rPr>
              <w:t>Liczba nowych miejsc wychowania przedszkolnego [miejsca]</w:t>
            </w:r>
          </w:p>
        </w:tc>
      </w:tr>
    </w:tbl>
    <w:p w:rsidR="00EF02E5" w:rsidRDefault="00EF02E5" w:rsidP="00176C22">
      <w:pPr>
        <w:jc w:val="left"/>
        <w:rPr>
          <w:color w:val="000000" w:themeColor="text1"/>
          <w:sz w:val="24"/>
        </w:rPr>
      </w:pPr>
    </w:p>
    <w:tbl>
      <w:tblPr>
        <w:tblStyle w:val="Tabela-Siatka"/>
        <w:tblW w:w="88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2.4 Wspieranie podnoszenia kwalifikacji i uczenia się przez całe życie"/>
        <w:tblDescription w:val="omówienie kierunku"/>
      </w:tblPr>
      <w:tblGrid>
        <w:gridCol w:w="2651"/>
        <w:gridCol w:w="6197"/>
      </w:tblGrid>
      <w:tr w:rsidR="00EF02E5" w:rsidRPr="00D04B95" w:rsidTr="00EF02E5">
        <w:trPr>
          <w:trHeight w:val="998"/>
          <w:tblHeader/>
        </w:trPr>
        <w:tc>
          <w:tcPr>
            <w:tcW w:w="2651" w:type="dxa"/>
            <w:shd w:val="clear" w:color="auto" w:fill="FFFFFF" w:themeFill="background1"/>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sidRPr="00D04B95">
              <w:rPr>
                <w:b/>
                <w:bCs/>
                <w:color w:val="000000" w:themeColor="text1"/>
                <w:sz w:val="24"/>
                <w:szCs w:val="24"/>
              </w:rPr>
              <w:t>Kierunek 2.4</w:t>
            </w:r>
          </w:p>
        </w:tc>
        <w:tc>
          <w:tcPr>
            <w:tcW w:w="6197" w:type="dxa"/>
            <w:shd w:val="clear" w:color="auto" w:fill="F5CE45"/>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sidRPr="00D04B95">
              <w:rPr>
                <w:b/>
                <w:bCs/>
                <w:color w:val="000000" w:themeColor="text1"/>
                <w:sz w:val="24"/>
                <w:szCs w:val="24"/>
              </w:rPr>
              <w:t>Wspieranie podnoszenia kwalifikacji i uczenia się przez całe życie</w:t>
            </w:r>
          </w:p>
        </w:tc>
      </w:tr>
      <w:tr w:rsidR="00EF02E5" w:rsidRPr="00D04B95" w:rsidTr="00EF02E5">
        <w:trPr>
          <w:trHeight w:val="907"/>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Charakterystyka działania: </w:t>
            </w:r>
          </w:p>
        </w:tc>
        <w:tc>
          <w:tcPr>
            <w:tcW w:w="6197" w:type="dxa"/>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Z punktu widzenia WrOF istotne jest wspieranie mieszkańców w zakresie podnoszenia kwalifikacji i nabywania nowych umiejętności. Wdrażanie i promocja koncepcji uczenia się przez całe życie we WrOF umożliwi poszerzenie kompetencji, szczególnie wśród osób zagrożonych ryzykiem wykluczenia społecznego.</w:t>
            </w:r>
          </w:p>
        </w:tc>
      </w:tr>
      <w:tr w:rsidR="00EF02E5" w:rsidRPr="00D04B95" w:rsidTr="00EF02E5">
        <w:trPr>
          <w:trHeight w:val="103"/>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Przykładowe typy przedsięwzięć / projektów / zadań przewidzianych potencjalnie do realizacji </w:t>
            </w:r>
          </w:p>
        </w:tc>
        <w:tc>
          <w:tcPr>
            <w:tcW w:w="6197" w:type="dxa"/>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Rozwój ofert kształcenia i uczenia się dla dorosłych mieszkańców; </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Wspieranie rozwoju oferty kwalifikacji szkolnictwa branżowego;</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Wspierania rozwoju umiejętności osób w każdym wieku </w:t>
            </w:r>
            <w:r w:rsidRPr="00D04B95">
              <w:rPr>
                <w:color w:val="000000" w:themeColor="text1"/>
                <w:sz w:val="24"/>
                <w:szCs w:val="24"/>
              </w:rPr>
              <w:br/>
              <w:t>i na wszystkich etapach życia;</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Promocja koncepcji uczenia się przez całe życia wśród mieszkańców WrOF;</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Wdrożenie mechanizmów rozwoju kompetencji wśród osób długotrwale bezrobotnych.</w:t>
            </w:r>
          </w:p>
        </w:tc>
      </w:tr>
      <w:tr w:rsidR="00EF02E5" w:rsidRPr="00D04B95" w:rsidTr="00EF02E5">
        <w:trPr>
          <w:trHeight w:val="984"/>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Interesariusze / potencjalni partnerzy</w:t>
            </w:r>
          </w:p>
        </w:tc>
        <w:tc>
          <w:tcPr>
            <w:tcW w:w="6197" w:type="dxa"/>
            <w:vAlign w:val="center"/>
          </w:tcPr>
          <w:p w:rsidR="00EF02E5" w:rsidRPr="00D04B95" w:rsidRDefault="00EF02E5" w:rsidP="00EF02E5">
            <w:pPr>
              <w:autoSpaceDE w:val="0"/>
              <w:autoSpaceDN w:val="0"/>
              <w:adjustRightInd w:val="0"/>
              <w:spacing w:line="240" w:lineRule="auto"/>
              <w:rPr>
                <w:color w:val="000000" w:themeColor="text1"/>
                <w:sz w:val="24"/>
                <w:szCs w:val="24"/>
              </w:rPr>
            </w:pPr>
            <w:r w:rsidRPr="00D04B95">
              <w:rPr>
                <w:color w:val="000000" w:themeColor="text1"/>
                <w:sz w:val="24"/>
                <w:szCs w:val="24"/>
              </w:rPr>
              <w:t>gminy WrOF, mieszkańcy WrOF, placówki edukacyjne</w:t>
            </w:r>
          </w:p>
        </w:tc>
      </w:tr>
      <w:tr w:rsidR="00EF02E5" w:rsidRPr="00D04B95" w:rsidTr="00EF02E5">
        <w:trPr>
          <w:trHeight w:val="510"/>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Okres realizacji:</w:t>
            </w:r>
          </w:p>
        </w:tc>
        <w:tc>
          <w:tcPr>
            <w:tcW w:w="6197" w:type="dxa"/>
            <w:vAlign w:val="center"/>
          </w:tcPr>
          <w:p w:rsidR="00EF02E5" w:rsidRPr="00D04B95" w:rsidRDefault="00EF02E5" w:rsidP="00EF02E5">
            <w:pPr>
              <w:autoSpaceDE w:val="0"/>
              <w:autoSpaceDN w:val="0"/>
              <w:adjustRightInd w:val="0"/>
              <w:spacing w:line="240" w:lineRule="auto"/>
              <w:rPr>
                <w:color w:val="000000" w:themeColor="text1"/>
                <w:sz w:val="24"/>
                <w:szCs w:val="24"/>
              </w:rPr>
            </w:pPr>
            <w:r w:rsidRPr="00D04B95">
              <w:rPr>
                <w:color w:val="000000" w:themeColor="text1"/>
                <w:sz w:val="24"/>
                <w:szCs w:val="24"/>
              </w:rPr>
              <w:t>2021-2027 (n+2)</w:t>
            </w:r>
          </w:p>
        </w:tc>
      </w:tr>
      <w:tr w:rsidR="00EF02E5" w:rsidRPr="00D04B95" w:rsidTr="00EF02E5">
        <w:trPr>
          <w:trHeight w:val="907"/>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Potencjalne źródła finansowania: </w:t>
            </w:r>
          </w:p>
        </w:tc>
        <w:tc>
          <w:tcPr>
            <w:tcW w:w="6197" w:type="dxa"/>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Dolnego Śląska 2021-2027</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Rozwoju Społecznego 2021-2027 (FERS)</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Nowoczesnej Gospodarki (FENG)</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Krajowy Plan Odbudowy (KPO)</w:t>
            </w:r>
          </w:p>
          <w:p w:rsidR="00EF02E5" w:rsidRPr="00D04B95" w:rsidRDefault="00EF02E5" w:rsidP="00EF02E5">
            <w:pPr>
              <w:pStyle w:val="Akapitzlist"/>
              <w:numPr>
                <w:ilvl w:val="0"/>
                <w:numId w:val="10"/>
              </w:numPr>
              <w:autoSpaceDE w:val="0"/>
              <w:autoSpaceDN w:val="0"/>
              <w:adjustRightInd w:val="0"/>
              <w:spacing w:line="240" w:lineRule="auto"/>
              <w:rPr>
                <w:color w:val="000000" w:themeColor="text1"/>
                <w:sz w:val="24"/>
                <w:szCs w:val="24"/>
              </w:rPr>
            </w:pPr>
            <w:r w:rsidRPr="00D04B95">
              <w:rPr>
                <w:color w:val="000000" w:themeColor="text1"/>
                <w:sz w:val="24"/>
                <w:szCs w:val="24"/>
              </w:rPr>
              <w:t>inne środki zewnętrzne, budżet państwa, środki własne gminy</w:t>
            </w:r>
          </w:p>
        </w:tc>
      </w:tr>
      <w:tr w:rsidR="00EF02E5" w:rsidRPr="00D04B95" w:rsidTr="00EF02E5">
        <w:trPr>
          <w:trHeight w:val="529"/>
        </w:trPr>
        <w:tc>
          <w:tcPr>
            <w:tcW w:w="2651"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Proponowane wskaźniki monitorujące realizację kierunku działania: </w:t>
            </w:r>
          </w:p>
        </w:tc>
        <w:tc>
          <w:tcPr>
            <w:tcW w:w="6197"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Bezrobotni, w tym długotrwale bezrobotni [osoby]</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Uczestnicy pracujący po zakończeniu udziału w programie [osoby]</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Liczba uczniów szkół i placówek kształcenia zawodowego uczestniczących w stażach uczniowskich [osoby]</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Liczba uczniów szkół i placówek systemu oświaty prowadzących kształcenie ogólne objętych wsparciem [osoby]</w:t>
            </w:r>
          </w:p>
        </w:tc>
      </w:tr>
    </w:tbl>
    <w:p w:rsidR="00EF02E5" w:rsidRDefault="00EF02E5" w:rsidP="00176C22">
      <w:pPr>
        <w:jc w:val="left"/>
        <w:rPr>
          <w:color w:val="000000" w:themeColor="text1"/>
          <w:sz w:val="24"/>
        </w:rPr>
      </w:pPr>
    </w:p>
    <w:p w:rsidR="00EF02E5" w:rsidRDefault="00EF02E5" w:rsidP="00176C22">
      <w:pPr>
        <w:jc w:val="left"/>
        <w:rPr>
          <w:color w:val="000000" w:themeColor="text1"/>
          <w:sz w:val="24"/>
        </w:rPr>
      </w:pPr>
    </w:p>
    <w:p w:rsidR="00EF02E5" w:rsidRDefault="00EF02E5" w:rsidP="00176C22">
      <w:pPr>
        <w:jc w:val="left"/>
        <w:rPr>
          <w:color w:val="000000" w:themeColor="text1"/>
          <w:sz w:val="24"/>
        </w:rPr>
      </w:pPr>
    </w:p>
    <w:p w:rsidR="00EF02E5" w:rsidRDefault="00EF02E5" w:rsidP="00176C22">
      <w:pPr>
        <w:jc w:val="left"/>
        <w:rPr>
          <w:color w:val="000000" w:themeColor="text1"/>
          <w:sz w:val="24"/>
        </w:rPr>
      </w:pPr>
      <w:r w:rsidRPr="00514365">
        <w:rPr>
          <w:noProof/>
          <w:sz w:val="4"/>
          <w:lang w:eastAsia="pl-PL"/>
        </w:rPr>
        <w:drawing>
          <wp:inline distT="0" distB="0" distL="0" distR="0" wp14:anchorId="7C2DEFFA" wp14:editId="095C3ABE">
            <wp:extent cx="5557652" cy="1743075"/>
            <wp:effectExtent l="0" t="0" r="5080" b="0"/>
            <wp:docPr id="75" name="Obraz 75" descr="Cel strategiczny 1 - Priorytet 3. Edukacja, Kierunek działania 3.1, Kierunek działania 3.2" title="Cel strategiczny 1 - Priorytet 3. Eduk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BIT\wszyscy\ZIT\Realizacja STRATEGIA ZIT WrOF\Ikony schematów\cel strategiczny 1. Priorytet 4.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60491" cy="1743965"/>
                    </a:xfrm>
                    <a:prstGeom prst="rect">
                      <a:avLst/>
                    </a:prstGeom>
                    <a:noFill/>
                    <a:ln>
                      <a:noFill/>
                    </a:ln>
                  </pic:spPr>
                </pic:pic>
              </a:graphicData>
            </a:graphic>
          </wp:inline>
        </w:drawing>
      </w:r>
    </w:p>
    <w:p w:rsidR="00EF02E5" w:rsidRDefault="00EF02E5" w:rsidP="00176C22">
      <w:pPr>
        <w:jc w:val="left"/>
        <w:rPr>
          <w:color w:val="000000" w:themeColor="text1"/>
          <w:sz w:val="24"/>
          <w:szCs w:val="24"/>
        </w:rPr>
      </w:pPr>
      <w:r w:rsidRPr="00D04B95">
        <w:rPr>
          <w:rFonts w:asciiTheme="majorHAnsi" w:eastAsiaTheme="majorEastAsia" w:hAnsiTheme="majorHAnsi" w:cstheme="majorBidi"/>
          <w:b/>
          <w:color w:val="000000" w:themeColor="text1"/>
          <w:sz w:val="36"/>
          <w:szCs w:val="24"/>
        </w:rPr>
        <w:t>Priorytet Migranci</w:t>
      </w:r>
      <w:r w:rsidRPr="00D04B95">
        <w:rPr>
          <w:color w:val="000000" w:themeColor="text1"/>
          <w:sz w:val="36"/>
          <w:szCs w:val="24"/>
        </w:rPr>
        <w:t xml:space="preserve"> </w:t>
      </w:r>
      <w:r w:rsidRPr="00D04B95">
        <w:rPr>
          <w:color w:val="000000" w:themeColor="text1"/>
          <w:sz w:val="24"/>
          <w:szCs w:val="24"/>
        </w:rPr>
        <w:t>– postępujące, zwłaszcza w ostatnim okresie, procesy migracyjne sprawiają, że samorządy powinny na poziomie lokalnym planować działania i procesy mające sprzyjać integracji cudzoziemców w społecznościach lokalnych i na lokalnym rynku pracy. Istotne jest stworzenie wspólnej i spójnej ponadlokalnej polityki migracyjnej i asymilacyjnej. Konieczne jest prowadzenie ciągłych działań przyczyniających się do łagodzenia skutków kryzysu wywołanego konfliktem zbrojnym na terytorium Ukrainy oraz wspierających osoby uciekające przed wojną. Do najistotniejszych działań mających na celu wsparcie migrantów powinno należeć tworzenie otwartego dla tych osób rynku pracy, ich aktywizacja zawodowa, tworzenie warunków do podnoszenia kompetencji. Ponadto zwiększanie dostępu do polskiego systemu edukacyjnego poprzez przygotowywanie, organizację i przeprowadzanie egzaminów ósmoklasisty, maturalnych i zawodowych. W obszarze zdrowia istotne jest także wzmacnianie nadzoru sanitarno-epidemiologicznego oraz opieki zdrowotnej.</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3.1 Wspieranie integracji społeczno-gospodarczej obywateli państw trzecich"/>
        <w:tblDescription w:val="omówienie kierunku"/>
      </w:tblPr>
      <w:tblGrid>
        <w:gridCol w:w="2628"/>
        <w:gridCol w:w="6162"/>
      </w:tblGrid>
      <w:tr w:rsidR="00EF02E5" w:rsidRPr="00D04B95" w:rsidTr="00EF02E5">
        <w:trPr>
          <w:trHeight w:val="998"/>
          <w:tblHeader/>
        </w:trPr>
        <w:tc>
          <w:tcPr>
            <w:tcW w:w="2628" w:type="dxa"/>
            <w:shd w:val="clear" w:color="auto" w:fill="FFFFFF" w:themeFill="background1"/>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 xml:space="preserve">Kierunek </w:t>
            </w:r>
            <w:r w:rsidRPr="001510DE">
              <w:rPr>
                <w:b/>
                <w:bCs/>
                <w:color w:val="000000" w:themeColor="text1"/>
                <w:sz w:val="24"/>
                <w:szCs w:val="24"/>
              </w:rPr>
              <w:t>3.1</w:t>
            </w:r>
          </w:p>
        </w:tc>
        <w:tc>
          <w:tcPr>
            <w:tcW w:w="6162" w:type="dxa"/>
            <w:shd w:val="clear" w:color="auto" w:fill="F5CE45"/>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sidRPr="00D04B95">
              <w:rPr>
                <w:b/>
                <w:bCs/>
                <w:color w:val="000000" w:themeColor="text1"/>
                <w:sz w:val="24"/>
                <w:szCs w:val="24"/>
              </w:rPr>
              <w:t>Wspieranie integracji społeczno-gospodarczej obywateli państw trzecich</w:t>
            </w:r>
          </w:p>
        </w:tc>
      </w:tr>
      <w:tr w:rsidR="00EF02E5" w:rsidRPr="00D04B95" w:rsidTr="00EF02E5">
        <w:trPr>
          <w:trHeight w:val="907"/>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Charakterystyka działania: </w:t>
            </w:r>
          </w:p>
        </w:tc>
        <w:tc>
          <w:tcPr>
            <w:tcW w:w="6162" w:type="dxa"/>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Działania są szczególnie istotne z uwagi na dynamiczny napływ ludności uchodźczej na teren WrOF w związku z wojną w Ukrainie. Zaplanowane projekty skupione są na zapewnieniu odpowiednich warunków i usług dla cudzoziemców zamieszkujących we WrOF oraz umożliwieniu im pełnego uczestnictwa w życiu społecznym. </w:t>
            </w:r>
          </w:p>
        </w:tc>
      </w:tr>
      <w:tr w:rsidR="00EF02E5" w:rsidRPr="00D04B95" w:rsidTr="00EF02E5">
        <w:trPr>
          <w:trHeight w:val="103"/>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Przykładowe typy przedsięwzięć / projektów / zadań przewidzianych potencjalnie do realizacji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Prowadzenie działań integrujących z grupą rówieśniczą i społecznością lokalną wśród dzieci i młodzieży z rodzin imigrantów oraz działań wspomagających edukację;</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Wsparcie w zakresie podnoszenia i potwierdzania kompetencji oraz nabywania nowych kwalifikacji zawodowych i zdobywania doświadczenia zawodowego wśród imigrantów;</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Zapewnienie doradztwa zawodowego dla migrantów oraz wspieranie przedsiębiorczości; </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Prowadzenie działań z zakresu aktywizacji zawodowej </w:t>
            </w:r>
            <w:r w:rsidRPr="00D04B95">
              <w:rPr>
                <w:color w:val="000000" w:themeColor="text1"/>
                <w:sz w:val="24"/>
                <w:szCs w:val="24"/>
              </w:rPr>
              <w:br/>
              <w:t>i społecznej dla cudzoziemców;</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Tworzenie punktów pomocowych świadczących wsparcie na rzecz obywateli państw trzecich;</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Zapewnienie pomocy psychologicznej, prawnej, bytowej, zdrowotnej i tłumaczeniowej dla imigrantów doświadczających wykluczenia;</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Prowadzenie kursów nauki języka polskiego dla imigrantów</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Wsparcie udziału obywateli państw trzecich i ich rodzin </w:t>
            </w:r>
            <w:r w:rsidRPr="00D04B95">
              <w:rPr>
                <w:color w:val="000000" w:themeColor="text1"/>
                <w:sz w:val="24"/>
                <w:szCs w:val="24"/>
              </w:rPr>
              <w:br/>
              <w:t>w kulturze i organizowanych wydarzeniach;</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Upowszechnianie wśród imigrantów informacji o usługach publicznych i specjalistycznych;</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Podnoszenie kompetencji pracowników instytucji publicznych oraz pracowników i wolontariuszy organizacji pozarządowych w zakresie integracji imigrantów.</w:t>
            </w:r>
          </w:p>
        </w:tc>
      </w:tr>
      <w:tr w:rsidR="00EF02E5" w:rsidRPr="00D04B95" w:rsidTr="00EF02E5">
        <w:trPr>
          <w:trHeight w:val="984"/>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Interesariusze / potencjalni partnerzy</w:t>
            </w:r>
          </w:p>
        </w:tc>
        <w:tc>
          <w:tcPr>
            <w:tcW w:w="6162" w:type="dxa"/>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gminy WrOF, mieszkańcy WrOF, organizacje pozarządowe, instytucje publiczne</w:t>
            </w:r>
          </w:p>
        </w:tc>
      </w:tr>
      <w:tr w:rsidR="00EF02E5" w:rsidRPr="00D04B95" w:rsidTr="00EF02E5">
        <w:trPr>
          <w:trHeight w:val="510"/>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Okres realizacji:</w:t>
            </w:r>
          </w:p>
        </w:tc>
        <w:tc>
          <w:tcPr>
            <w:tcW w:w="6162" w:type="dxa"/>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2021-2027 (n+2)</w:t>
            </w:r>
          </w:p>
        </w:tc>
      </w:tr>
      <w:tr w:rsidR="00EF02E5" w:rsidRPr="00D04B95" w:rsidTr="00EF02E5">
        <w:trPr>
          <w:trHeight w:val="907"/>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Potencjalne źródła finansowania: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Dolnego Śląska 2021-2027</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Rozwoju Społecznego 2021-2027 (FERS)</w:t>
            </w:r>
          </w:p>
          <w:p w:rsidR="00EF02E5" w:rsidRPr="00D04B95" w:rsidRDefault="00EF02E5" w:rsidP="00EF02E5">
            <w:pPr>
              <w:pStyle w:val="Akapitzlist"/>
              <w:numPr>
                <w:ilvl w:val="0"/>
                <w:numId w:val="10"/>
              </w:numPr>
              <w:autoSpaceDE w:val="0"/>
              <w:autoSpaceDN w:val="0"/>
              <w:adjustRightInd w:val="0"/>
              <w:spacing w:line="240" w:lineRule="auto"/>
              <w:jc w:val="left"/>
              <w:rPr>
                <w:color w:val="000000" w:themeColor="text1"/>
                <w:sz w:val="24"/>
                <w:szCs w:val="24"/>
              </w:rPr>
            </w:pPr>
            <w:r w:rsidRPr="00D04B95">
              <w:rPr>
                <w:color w:val="000000" w:themeColor="text1"/>
                <w:sz w:val="24"/>
                <w:szCs w:val="24"/>
              </w:rPr>
              <w:t>inne środki zewnętrzne, budżet państwa, środki własne gminy</w:t>
            </w:r>
          </w:p>
        </w:tc>
      </w:tr>
      <w:tr w:rsidR="00EF02E5" w:rsidRPr="00D04B95" w:rsidTr="00EF02E5">
        <w:trPr>
          <w:trHeight w:val="529"/>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Proponowane wskaźniki monitorujące realizację kierunku działania: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Obywatele państw trzecich [osoby]</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Liczba osób, których sytuacja społeczna uległa poprawie po opuszczeniu programu [osoby]</w:t>
            </w:r>
          </w:p>
        </w:tc>
      </w:tr>
    </w:tbl>
    <w:p w:rsidR="00EF02E5" w:rsidRDefault="00EF02E5" w:rsidP="00176C22">
      <w:pPr>
        <w:jc w:val="left"/>
        <w:rPr>
          <w:color w:val="000000" w:themeColor="text1"/>
          <w:sz w:val="24"/>
          <w:szCs w:val="24"/>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4.1 Wspieranie integracji społeczno-gospodarczej obywateli państw trzecich"/>
        <w:tblDescription w:val="omówienie kierunku"/>
      </w:tblPr>
      <w:tblGrid>
        <w:gridCol w:w="2628"/>
        <w:gridCol w:w="6162"/>
      </w:tblGrid>
      <w:tr w:rsidR="00EF02E5" w:rsidRPr="00D04B95" w:rsidTr="00EF02E5">
        <w:trPr>
          <w:trHeight w:val="998"/>
          <w:tblHeader/>
        </w:trPr>
        <w:tc>
          <w:tcPr>
            <w:tcW w:w="2628" w:type="dxa"/>
            <w:shd w:val="clear" w:color="auto" w:fill="FFFFFF" w:themeFill="background1"/>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sidRPr="00D04B95">
              <w:rPr>
                <w:b/>
                <w:bCs/>
                <w:color w:val="000000" w:themeColor="text1"/>
                <w:sz w:val="24"/>
                <w:szCs w:val="24"/>
              </w:rPr>
              <w:t>Kierunek 4.1</w:t>
            </w:r>
          </w:p>
        </w:tc>
        <w:tc>
          <w:tcPr>
            <w:tcW w:w="6162" w:type="dxa"/>
            <w:shd w:val="clear" w:color="auto" w:fill="F5CE45"/>
            <w:vAlign w:val="center"/>
          </w:tcPr>
          <w:p w:rsidR="00EF02E5" w:rsidRPr="00D04B95" w:rsidRDefault="00EF02E5" w:rsidP="00EF02E5">
            <w:pPr>
              <w:autoSpaceDE w:val="0"/>
              <w:autoSpaceDN w:val="0"/>
              <w:adjustRightInd w:val="0"/>
              <w:spacing w:line="240" w:lineRule="auto"/>
              <w:jc w:val="left"/>
              <w:rPr>
                <w:b/>
                <w:bCs/>
                <w:color w:val="000000" w:themeColor="text1"/>
                <w:sz w:val="24"/>
                <w:szCs w:val="24"/>
              </w:rPr>
            </w:pPr>
            <w:r w:rsidRPr="00D04B95">
              <w:rPr>
                <w:b/>
                <w:bCs/>
                <w:color w:val="000000" w:themeColor="text1"/>
                <w:sz w:val="24"/>
                <w:szCs w:val="24"/>
              </w:rPr>
              <w:t>Wspieranie integracji społeczno-gospodarczej obywateli państw trzecich</w:t>
            </w:r>
          </w:p>
        </w:tc>
      </w:tr>
      <w:tr w:rsidR="00EF02E5" w:rsidRPr="00D04B95" w:rsidTr="00EF02E5">
        <w:trPr>
          <w:trHeight w:val="907"/>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Charakterystyka działania: </w:t>
            </w:r>
          </w:p>
        </w:tc>
        <w:tc>
          <w:tcPr>
            <w:tcW w:w="6162" w:type="dxa"/>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Realizacja wskazanych działań skupiona jest na zapewnieniu warunków do integracji mieszkańców WrOF z ludnością napływową, a także wsparciem migrantów w celu ograniczenia zjawiska marginalizacji i wykluczenia społecznego. Pozwoli to na budowanie poczucia tożsamości lokalnej i zwiększenia poziomu kapitału społecznego WrOF. </w:t>
            </w:r>
          </w:p>
        </w:tc>
      </w:tr>
      <w:tr w:rsidR="00EF02E5" w:rsidRPr="00D04B95" w:rsidTr="00EF02E5">
        <w:trPr>
          <w:trHeight w:val="103"/>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Przykładowe typy przedsięwzięć / projektów / zadań przewidzianych potencjalnie do realizacji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Prowadzenie badań i monitorowanie sytuacji związanej z liczbą imigrantów we WrOF;</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 xml:space="preserve">Prowadzenie działań na rzecz budowania tożsamości lokalnej wśród mieszkańców; </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Tworzenie warunków do przyjmowania migrantów;</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Działania na rzecz zapewnienia równości, włączenia społecznego i niedyskryminacji cudzoziemców;</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Tworzenie miejsc tzw. bezpiecznego raportowania w przypadku doznania wszelkich form przemocy/wyzysku.</w:t>
            </w:r>
          </w:p>
        </w:tc>
      </w:tr>
      <w:tr w:rsidR="00EF02E5" w:rsidRPr="00D04B95" w:rsidTr="00EF02E5">
        <w:trPr>
          <w:trHeight w:val="984"/>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Interesariusze / potencjalni partnerzy</w:t>
            </w:r>
          </w:p>
        </w:tc>
        <w:tc>
          <w:tcPr>
            <w:tcW w:w="6162" w:type="dxa"/>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gminy WrOF, mieszkańcy WrOF, organizacje pozarządowe, instytucje publiczne</w:t>
            </w:r>
          </w:p>
        </w:tc>
      </w:tr>
      <w:tr w:rsidR="00EF02E5" w:rsidRPr="00D04B95" w:rsidTr="00EF02E5">
        <w:trPr>
          <w:trHeight w:val="510"/>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Okres realizacji:</w:t>
            </w:r>
          </w:p>
        </w:tc>
        <w:tc>
          <w:tcPr>
            <w:tcW w:w="6162" w:type="dxa"/>
            <w:vAlign w:val="center"/>
          </w:tcPr>
          <w:p w:rsidR="00EF02E5" w:rsidRPr="00D04B95" w:rsidRDefault="00EF02E5" w:rsidP="00EF02E5">
            <w:pPr>
              <w:autoSpaceDE w:val="0"/>
              <w:autoSpaceDN w:val="0"/>
              <w:adjustRightInd w:val="0"/>
              <w:spacing w:line="240" w:lineRule="auto"/>
              <w:rPr>
                <w:color w:val="000000" w:themeColor="text1"/>
                <w:sz w:val="24"/>
                <w:szCs w:val="24"/>
              </w:rPr>
            </w:pPr>
            <w:r w:rsidRPr="00D04B95">
              <w:rPr>
                <w:color w:val="000000" w:themeColor="text1"/>
                <w:sz w:val="24"/>
                <w:szCs w:val="24"/>
              </w:rPr>
              <w:t>2021-2027 (n+2)</w:t>
            </w:r>
          </w:p>
        </w:tc>
      </w:tr>
      <w:tr w:rsidR="00EF02E5" w:rsidRPr="00D04B95" w:rsidTr="00EF02E5">
        <w:trPr>
          <w:trHeight w:val="907"/>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Potencjalne źródła finansowania: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Dolnego Śląska 2021-2027</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Fundusze Europejskie dla Rozwoju Społecznego 2021-2027 (FERS)</w:t>
            </w:r>
          </w:p>
          <w:p w:rsidR="00EF02E5" w:rsidRPr="00D04B95" w:rsidRDefault="00EF02E5" w:rsidP="00EF02E5">
            <w:pPr>
              <w:pStyle w:val="Akapitzlist"/>
              <w:numPr>
                <w:ilvl w:val="0"/>
                <w:numId w:val="10"/>
              </w:numPr>
              <w:autoSpaceDE w:val="0"/>
              <w:autoSpaceDN w:val="0"/>
              <w:adjustRightInd w:val="0"/>
              <w:spacing w:line="240" w:lineRule="auto"/>
              <w:rPr>
                <w:color w:val="000000" w:themeColor="text1"/>
                <w:sz w:val="24"/>
                <w:szCs w:val="24"/>
              </w:rPr>
            </w:pPr>
            <w:r w:rsidRPr="00D04B95">
              <w:rPr>
                <w:color w:val="000000" w:themeColor="text1"/>
                <w:sz w:val="24"/>
                <w:szCs w:val="24"/>
              </w:rPr>
              <w:t>inne środki zewnętrzne, budżet państwa, środki własne gminy</w:t>
            </w:r>
          </w:p>
        </w:tc>
      </w:tr>
      <w:tr w:rsidR="00EF02E5" w:rsidRPr="00D04B95" w:rsidTr="00EF02E5">
        <w:trPr>
          <w:trHeight w:val="529"/>
        </w:trPr>
        <w:tc>
          <w:tcPr>
            <w:tcW w:w="2628" w:type="dxa"/>
            <w:shd w:val="clear" w:color="auto" w:fill="FDF6DB"/>
            <w:vAlign w:val="center"/>
          </w:tcPr>
          <w:p w:rsidR="00EF02E5" w:rsidRPr="00D04B95" w:rsidRDefault="00EF02E5" w:rsidP="00EF02E5">
            <w:pPr>
              <w:autoSpaceDE w:val="0"/>
              <w:autoSpaceDN w:val="0"/>
              <w:adjustRightInd w:val="0"/>
              <w:spacing w:line="240" w:lineRule="auto"/>
              <w:jc w:val="left"/>
              <w:rPr>
                <w:color w:val="000000" w:themeColor="text1"/>
                <w:sz w:val="24"/>
                <w:szCs w:val="24"/>
              </w:rPr>
            </w:pPr>
            <w:r w:rsidRPr="00D04B95">
              <w:rPr>
                <w:color w:val="000000" w:themeColor="text1"/>
                <w:sz w:val="24"/>
                <w:szCs w:val="24"/>
              </w:rPr>
              <w:t xml:space="preserve">Proponowane wskaźniki monitorujące realizację kierunku działania: </w:t>
            </w:r>
          </w:p>
        </w:tc>
        <w:tc>
          <w:tcPr>
            <w:tcW w:w="6162" w:type="dxa"/>
            <w:vAlign w:val="center"/>
          </w:tcPr>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Obywatele państw trzecich [osoby]</w:t>
            </w:r>
          </w:p>
          <w:p w:rsidR="00EF02E5" w:rsidRPr="00D04B95" w:rsidRDefault="00EF02E5" w:rsidP="00EF02E5">
            <w:pPr>
              <w:pStyle w:val="Akapitzlist"/>
              <w:numPr>
                <w:ilvl w:val="0"/>
                <w:numId w:val="7"/>
              </w:numPr>
              <w:spacing w:line="240" w:lineRule="auto"/>
              <w:jc w:val="left"/>
              <w:rPr>
                <w:color w:val="000000" w:themeColor="text1"/>
                <w:sz w:val="24"/>
                <w:szCs w:val="24"/>
              </w:rPr>
            </w:pPr>
            <w:r w:rsidRPr="00D04B95">
              <w:rPr>
                <w:color w:val="000000" w:themeColor="text1"/>
                <w:sz w:val="24"/>
                <w:szCs w:val="24"/>
              </w:rPr>
              <w:t>Liczba osób, których sytuacja społeczna uległa poprawie po opuszczeniu programu [osoby]</w:t>
            </w:r>
          </w:p>
        </w:tc>
      </w:tr>
    </w:tbl>
    <w:p w:rsidR="00EF02E5" w:rsidRDefault="00EF02E5" w:rsidP="00176C22">
      <w:pPr>
        <w:jc w:val="left"/>
        <w:rPr>
          <w:color w:val="000000" w:themeColor="text1"/>
          <w:sz w:val="24"/>
          <w:szCs w:val="24"/>
        </w:rPr>
      </w:pPr>
    </w:p>
    <w:p w:rsidR="00EF02E5" w:rsidRDefault="00EF02E5" w:rsidP="00176C22">
      <w:pPr>
        <w:jc w:val="left"/>
        <w:rPr>
          <w:color w:val="000000" w:themeColor="text1"/>
          <w:sz w:val="24"/>
          <w:szCs w:val="24"/>
        </w:rPr>
      </w:pPr>
    </w:p>
    <w:p w:rsidR="00EF02E5" w:rsidRPr="00EF02E5" w:rsidRDefault="00EF02E5" w:rsidP="00176C22">
      <w:pPr>
        <w:jc w:val="left"/>
        <w:rPr>
          <w:color w:val="000000" w:themeColor="text1"/>
          <w:sz w:val="24"/>
          <w:szCs w:val="24"/>
        </w:rPr>
      </w:pPr>
    </w:p>
    <w:p w:rsidR="00514365" w:rsidRDefault="00514365" w:rsidP="00514365">
      <w:pPr>
        <w:rPr>
          <w:rFonts w:asciiTheme="majorHAnsi" w:eastAsiaTheme="majorEastAsia" w:hAnsiTheme="majorHAnsi" w:cstheme="majorBidi"/>
          <w:color w:val="2683C6" w:themeColor="accent6"/>
          <w:sz w:val="32"/>
          <w:szCs w:val="26"/>
        </w:rPr>
      </w:pPr>
      <w:r>
        <w:rPr>
          <w:noProof/>
          <w:lang w:eastAsia="pl-PL"/>
        </w:rPr>
        <w:drawing>
          <wp:inline distT="0" distB="0" distL="0" distR="0" wp14:anchorId="3246344F" wp14:editId="4A5197C3">
            <wp:extent cx="1786890" cy="2823845"/>
            <wp:effectExtent l="0" t="0" r="3810" b="0"/>
            <wp:docPr id="92" name="Obraz 92" descr="wymiar gospodarczy - cel strategiczny 2 - Wzmacnianie innowacyjności i konkurencyjności gospodarki WrOF" title="wymiar gospodarczy - cel strategiczny 2 - Wzmacnianie innowacyjności i konkurencyjności gospodarki W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BIT\wszyscy\ZIT\Realizacja STRATEGIA ZIT WrOF\Ikony schematów\ikony schematów 2\cel strategiczny 2-07-07.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86890" cy="2823845"/>
                    </a:xfrm>
                    <a:prstGeom prst="rect">
                      <a:avLst/>
                    </a:prstGeom>
                    <a:noFill/>
                    <a:ln>
                      <a:noFill/>
                    </a:ln>
                  </pic:spPr>
                </pic:pic>
              </a:graphicData>
            </a:graphic>
          </wp:inline>
        </w:drawing>
      </w:r>
    </w:p>
    <w:p w:rsidR="00216B5C" w:rsidRDefault="00216B5C" w:rsidP="002C51AC">
      <w:pPr>
        <w:spacing w:after="0"/>
        <w:jc w:val="left"/>
      </w:pPr>
      <w:r w:rsidRPr="002C51AC">
        <w:rPr>
          <w:rFonts w:asciiTheme="majorHAnsi" w:eastAsiaTheme="majorEastAsia" w:hAnsiTheme="majorHAnsi" w:cstheme="majorBidi"/>
          <w:b/>
          <w:color w:val="000000" w:themeColor="text1"/>
          <w:sz w:val="36"/>
          <w:szCs w:val="26"/>
        </w:rPr>
        <w:t>Wymiar gospodarczy</w:t>
      </w:r>
      <w:r w:rsidR="000C1446" w:rsidRPr="002C51AC">
        <w:rPr>
          <w:rFonts w:asciiTheme="majorHAnsi" w:eastAsiaTheme="majorEastAsia" w:hAnsiTheme="majorHAnsi" w:cstheme="majorBidi"/>
          <w:b/>
          <w:color w:val="000000" w:themeColor="text1"/>
          <w:sz w:val="36"/>
          <w:szCs w:val="26"/>
        </w:rPr>
        <w:t xml:space="preserve"> </w:t>
      </w:r>
      <w:r w:rsidR="002C51AC">
        <w:rPr>
          <w:color w:val="000000" w:themeColor="text1"/>
          <w:sz w:val="24"/>
        </w:rPr>
        <w:t xml:space="preserve">skupia się na wykorzystaniu </w:t>
      </w:r>
      <w:r w:rsidRPr="002C51AC">
        <w:rPr>
          <w:color w:val="000000" w:themeColor="text1"/>
          <w:sz w:val="24"/>
        </w:rPr>
        <w:t xml:space="preserve">mocnych stron obszaru w celu wzmocnienia konkurencyjności gospodarki WrOF oraz rozwoju innowacyjności na tym obszarze. </w:t>
      </w:r>
      <w:r w:rsidR="00514365" w:rsidRPr="002C51AC">
        <w:rPr>
          <w:color w:val="000000" w:themeColor="text1"/>
          <w:sz w:val="24"/>
        </w:rPr>
        <w:t>W </w:t>
      </w:r>
      <w:r w:rsidRPr="002C51AC">
        <w:rPr>
          <w:color w:val="000000" w:themeColor="text1"/>
          <w:sz w:val="24"/>
        </w:rPr>
        <w:t>ramach celu strategicznego 2 wyróżniono cztery priorytety</w:t>
      </w:r>
      <w:r>
        <w:t>.</w:t>
      </w:r>
    </w:p>
    <w:tbl>
      <w:tblPr>
        <w:tblStyle w:val="Tabela-Siatka1"/>
        <w:tblW w:w="9528" w:type="dxa"/>
        <w:tblLayout w:type="fixed"/>
        <w:tblLook w:val="00A0" w:firstRow="1" w:lastRow="0" w:firstColumn="1" w:lastColumn="0" w:noHBand="0" w:noVBand="0"/>
        <w:tblCaption w:val="Wyzwania w ramach drugiego celu strategicznego"/>
        <w:tblDescription w:val="Wyzwania w ramach drugiego celu strategicznego"/>
      </w:tblPr>
      <w:tblGrid>
        <w:gridCol w:w="748"/>
        <w:gridCol w:w="8780"/>
      </w:tblGrid>
      <w:tr w:rsidR="002C51AC" w:rsidRPr="000402A7" w:rsidTr="002C51AC">
        <w:trPr>
          <w:trHeight w:val="567"/>
          <w:tblHeader/>
        </w:trPr>
        <w:tc>
          <w:tcPr>
            <w:tcW w:w="748" w:type="dxa"/>
            <w:shd w:val="clear" w:color="auto" w:fill="DCEDF8"/>
            <w:vAlign w:val="center"/>
          </w:tcPr>
          <w:p w:rsidR="002C51AC" w:rsidRPr="000402A7" w:rsidRDefault="002C51AC" w:rsidP="000F745F">
            <w:pPr>
              <w:autoSpaceDE w:val="0"/>
              <w:autoSpaceDN w:val="0"/>
              <w:adjustRightInd w:val="0"/>
              <w:spacing w:line="240" w:lineRule="auto"/>
              <w:ind w:left="59"/>
              <w:jc w:val="center"/>
              <w:rPr>
                <w:rFonts w:cstheme="minorHAnsi"/>
                <w:color w:val="000000" w:themeColor="text1"/>
                <w:sz w:val="24"/>
                <w:szCs w:val="24"/>
              </w:rPr>
            </w:pPr>
          </w:p>
        </w:tc>
        <w:tc>
          <w:tcPr>
            <w:tcW w:w="8780" w:type="dxa"/>
            <w:shd w:val="clear" w:color="auto" w:fill="DCEDF8"/>
            <w:vAlign w:val="center"/>
          </w:tcPr>
          <w:p w:rsidR="002C51AC" w:rsidRPr="000402A7" w:rsidRDefault="002C51AC" w:rsidP="000F745F">
            <w:pPr>
              <w:autoSpaceDE w:val="0"/>
              <w:autoSpaceDN w:val="0"/>
              <w:adjustRightInd w:val="0"/>
              <w:spacing w:line="240" w:lineRule="auto"/>
              <w:ind w:left="59"/>
              <w:jc w:val="left"/>
              <w:rPr>
                <w:rFonts w:cstheme="minorHAnsi"/>
                <w:color w:val="000000" w:themeColor="text1"/>
                <w:sz w:val="24"/>
                <w:szCs w:val="24"/>
              </w:rPr>
            </w:pPr>
            <w:r w:rsidRPr="000402A7">
              <w:rPr>
                <w:rFonts w:asciiTheme="majorHAnsi" w:eastAsiaTheme="majorEastAsia" w:hAnsiTheme="majorHAnsi" w:cstheme="majorBidi"/>
                <w:b/>
                <w:color w:val="000000" w:themeColor="text1"/>
                <w:sz w:val="24"/>
                <w:szCs w:val="24"/>
              </w:rPr>
              <w:t>Wyzwania w ramach drugiego celu strategicznego to:</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1</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color w:val="000000"/>
                <w:sz w:val="24"/>
              </w:rPr>
              <w:t>Tworzenie sprzyjających warunków do wzmacniania innowacyjności gospodarki WrOF i poprawiania atrakcyjności inwestycyjnej obszaru.</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2</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color w:val="000000"/>
                <w:sz w:val="24"/>
              </w:rPr>
              <w:t>Kreowanie rozwoju gospodarczego WrOF.</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3</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color w:val="000000"/>
                <w:sz w:val="24"/>
              </w:rPr>
              <w:t>Rozwijanie e-usług jako elementu budowania gospodarki opartej na wiedzy oraz czynniku kreującym atrakcyjność inwestycyjną.</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4</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color w:val="000000"/>
                <w:sz w:val="24"/>
              </w:rPr>
              <w:t>Podejmowanie działań zmierzających do zapewnienia dostępu do rynku pracy wszystkim grupom społecznym.</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5</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color w:val="000000"/>
                <w:sz w:val="24"/>
              </w:rPr>
              <w:t>Prowadzenie działań reintegracyjnych w wymiarze społecznym i zawodowym.</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6</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sz w:val="24"/>
              </w:rPr>
              <w:t>Wykorzystanie potencjału turystycznego całego obszaru WrOF, w tym poprzez rozwój szlaków turystycznych.</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7</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sz w:val="24"/>
              </w:rPr>
              <w:t>Zintegrowana promocja obszaru WrOF jako miejsca z szeroką ofertą kulturalna, atrakcjami turystycznymi oraz atrakcyjnego inwestycyjnie.</w:t>
            </w:r>
          </w:p>
        </w:tc>
      </w:tr>
      <w:tr w:rsidR="002C51AC" w:rsidRPr="000402A7" w:rsidTr="000F745F">
        <w:trPr>
          <w:trHeight w:val="794"/>
        </w:trPr>
        <w:tc>
          <w:tcPr>
            <w:tcW w:w="748" w:type="dxa"/>
            <w:shd w:val="clear" w:color="auto" w:fill="DCEDF8"/>
            <w:vAlign w:val="center"/>
          </w:tcPr>
          <w:p w:rsidR="002C51AC" w:rsidRPr="000402A7" w:rsidRDefault="002C51AC" w:rsidP="002C51AC">
            <w:pPr>
              <w:autoSpaceDE w:val="0"/>
              <w:autoSpaceDN w:val="0"/>
              <w:adjustRightInd w:val="0"/>
              <w:spacing w:line="240" w:lineRule="auto"/>
              <w:ind w:left="30"/>
              <w:jc w:val="center"/>
              <w:rPr>
                <w:rFonts w:cstheme="minorHAnsi"/>
                <w:color w:val="000000" w:themeColor="text1"/>
                <w:sz w:val="24"/>
                <w:szCs w:val="24"/>
              </w:rPr>
            </w:pPr>
            <w:r w:rsidRPr="000402A7">
              <w:rPr>
                <w:rFonts w:cstheme="minorHAnsi"/>
                <w:color w:val="000000" w:themeColor="text1"/>
                <w:sz w:val="24"/>
                <w:szCs w:val="24"/>
              </w:rPr>
              <w:t>8</w:t>
            </w:r>
          </w:p>
        </w:tc>
        <w:tc>
          <w:tcPr>
            <w:tcW w:w="8780" w:type="dxa"/>
            <w:vAlign w:val="center"/>
          </w:tcPr>
          <w:p w:rsidR="002C51AC" w:rsidRPr="002C51AC" w:rsidRDefault="002C51AC" w:rsidP="002C51AC">
            <w:pPr>
              <w:autoSpaceDE w:val="0"/>
              <w:autoSpaceDN w:val="0"/>
              <w:adjustRightInd w:val="0"/>
              <w:spacing w:line="240" w:lineRule="auto"/>
              <w:ind w:left="142"/>
              <w:jc w:val="left"/>
              <w:rPr>
                <w:rFonts w:cstheme="minorHAnsi"/>
                <w:color w:val="000000"/>
                <w:sz w:val="24"/>
              </w:rPr>
            </w:pPr>
            <w:r w:rsidRPr="002C51AC">
              <w:rPr>
                <w:rFonts w:cstheme="minorHAnsi"/>
                <w:sz w:val="24"/>
              </w:rPr>
              <w:t>Budowa marki WrOF jako ośrodka wysoko rozwiniętej i innowacyjnej gospodarki.</w:t>
            </w:r>
          </w:p>
        </w:tc>
      </w:tr>
    </w:tbl>
    <w:p w:rsidR="002C51AC" w:rsidRDefault="002C51AC" w:rsidP="002C51AC">
      <w:pPr>
        <w:spacing w:after="0"/>
        <w:jc w:val="left"/>
      </w:pPr>
    </w:p>
    <w:p w:rsidR="00514365" w:rsidRPr="002C51AC" w:rsidRDefault="002C51AC" w:rsidP="00216B5C">
      <w:pPr>
        <w:tabs>
          <w:tab w:val="left" w:pos="4350"/>
        </w:tabs>
        <w:rPr>
          <w:b/>
          <w:sz w:val="24"/>
        </w:rPr>
      </w:pPr>
      <w:r w:rsidRPr="002C51AC">
        <w:rPr>
          <w:b/>
          <w:sz w:val="24"/>
        </w:rPr>
        <w:t>Schemat wymiaru gospodarczego wraz z celem strategicznym, priorytetami i kierunkami działań</w:t>
      </w:r>
    </w:p>
    <w:p w:rsidR="00216B5C" w:rsidRDefault="002840C1" w:rsidP="00216B5C">
      <w:r>
        <w:rPr>
          <w:noProof/>
          <w:lang w:eastAsia="pl-PL"/>
        </w:rPr>
        <w:drawing>
          <wp:inline distT="0" distB="0" distL="0" distR="0" wp14:anchorId="3737DE3F" wp14:editId="7555D885">
            <wp:extent cx="5760720" cy="6858635"/>
            <wp:effectExtent l="0" t="0" r="0" b="0"/>
            <wp:docPr id="289" name="Obraz 289" descr="Wymiar gospodarczy - cel strategiczny 2. - Priorytet 5. Innowacyjność, Priorytet 6. Cyfryzacja, Priorytet 7. Rynek pracy, Priorytet 8. Turystyka wraz z kierunkami" title="Wymiar gospodarczy - cel strategiczn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cel strategiczny 2 plus rozgałęzienie-08-0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6858635"/>
                    </a:xfrm>
                    <a:prstGeom prst="rect">
                      <a:avLst/>
                    </a:prstGeom>
                  </pic:spPr>
                </pic:pic>
              </a:graphicData>
            </a:graphic>
          </wp:inline>
        </w:drawing>
      </w:r>
    </w:p>
    <w:p w:rsidR="00176C22" w:rsidRDefault="00176C22" w:rsidP="00216B5C">
      <w:r>
        <w:br w:type="page"/>
      </w:r>
    </w:p>
    <w:p w:rsidR="00176C22" w:rsidRDefault="00176C22" w:rsidP="00216B5C">
      <w:r w:rsidRPr="00CA6C23">
        <w:rPr>
          <w:noProof/>
          <w:lang w:eastAsia="pl-PL"/>
        </w:rPr>
        <w:drawing>
          <wp:inline distT="0" distB="0" distL="0" distR="0" wp14:anchorId="79606B03" wp14:editId="02F6464F">
            <wp:extent cx="5279390" cy="1794510"/>
            <wp:effectExtent l="0" t="0" r="0" b="0"/>
            <wp:docPr id="94" name="Obraz 94" descr="Cel strategiczny 2. - Priorytet 5. Innowacyjność - Kierunek 5.1 i 5.2" title="Cel strategiczny 2. - Priorytet 5. Innowacyjność - Kierunek 5.1 i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BIT\wszyscy\ZIT\Realizacja STRATEGIA ZIT WrOF\Ikony schematów\ikony schematów 2\cel strategiczny 2 priorytet 5-0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9390" cy="1794510"/>
                    </a:xfrm>
                    <a:prstGeom prst="rect">
                      <a:avLst/>
                    </a:prstGeom>
                    <a:noFill/>
                    <a:ln>
                      <a:noFill/>
                    </a:ln>
                  </pic:spPr>
                </pic:pic>
              </a:graphicData>
            </a:graphic>
          </wp:inline>
        </w:drawing>
      </w:r>
    </w:p>
    <w:p w:rsidR="00176C22" w:rsidRDefault="00176C22" w:rsidP="00176C22">
      <w:pPr>
        <w:jc w:val="left"/>
        <w:rPr>
          <w:color w:val="000000" w:themeColor="text1"/>
        </w:rPr>
      </w:pPr>
      <w:r w:rsidRPr="002C51AC">
        <w:rPr>
          <w:rFonts w:asciiTheme="majorHAnsi" w:eastAsiaTheme="majorEastAsia" w:hAnsiTheme="majorHAnsi" w:cstheme="majorBidi"/>
          <w:b/>
          <w:color w:val="000000" w:themeColor="text1"/>
          <w:sz w:val="36"/>
          <w:szCs w:val="26"/>
        </w:rPr>
        <w:t xml:space="preserve">Priorytet Innowacyjność </w:t>
      </w:r>
      <w:r w:rsidRPr="002C51AC">
        <w:rPr>
          <w:color w:val="000000" w:themeColor="text1"/>
        </w:rPr>
        <w:t>skupiony jest na wykorzystaniu posiadanego potencjału związanego z funkcjonowaniem we WrOF podmiotów prowadzących działalność profesjonalną, naukową i techniczną, jak również posiadanym zapleczem badawczo-rozwojowym i obecnością uczelni wyższych. Wdrażanie nowoczesnych technologii i wzmocnienie potencjału sektora B+R zwiększa konkurencyjność obszaru dla inwestorów, atrakcyjność lokalnego rynku pracy oraz poziom konkurencyjności WrOF. Przedsiębiorczość oraz międzysektorowa współpraca nauki, biznesu i administracji jest podstawą do komercjalizacji wiedzy. Kluczowy jest rozwój przedsiębiorczości oraz dywersyfikacja i wspieranie lokalnej przedsiębiorczości, w tym szczególnie innowacyjnych start-</w:t>
      </w:r>
      <w:proofErr w:type="spellStart"/>
      <w:r w:rsidRPr="002C51AC">
        <w:rPr>
          <w:color w:val="000000" w:themeColor="text1"/>
        </w:rPr>
        <w:t>upów</w:t>
      </w:r>
      <w:proofErr w:type="spellEnd"/>
      <w:r w:rsidRPr="002C51AC">
        <w:rPr>
          <w:color w:val="000000" w:themeColor="text1"/>
        </w:rPr>
        <w:t>. Mikro oraz  małe przedsiębiorstwa, w tym w branżach kreatywnych i IT, ze względu na swoją elastyczność, a także potencjał tworzenia nowych miejsc pracy, stanowią znaczącą wartość szybko zmieniającej się rzeczywistości gospodarczej. Ważnym elementem rozwoju gospodarczego WrOF jest także dostępność i uzbrojenie terenów inwestycyjnych.</w:t>
      </w: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5.1 Wzmacnianie potencjału sektora B+R oraz działania na rzecz nowoczesnej reindustrializacji WrOF"/>
        <w:tblDescription w:val="omówienie"/>
      </w:tblPr>
      <w:tblGrid>
        <w:gridCol w:w="1964"/>
        <w:gridCol w:w="7108"/>
      </w:tblGrid>
      <w:tr w:rsidR="002F5572" w:rsidRPr="002C51AC" w:rsidTr="00EF02E5">
        <w:trPr>
          <w:trHeight w:val="850"/>
          <w:tblHeader/>
          <w:jc w:val="center"/>
        </w:trPr>
        <w:tc>
          <w:tcPr>
            <w:tcW w:w="1964" w:type="dxa"/>
            <w:shd w:val="clear" w:color="auto" w:fill="FFFFFF" w:themeFill="background1"/>
            <w:vAlign w:val="center"/>
          </w:tcPr>
          <w:p w:rsidR="002F5572" w:rsidRPr="002C51AC" w:rsidRDefault="002F5572" w:rsidP="00EF02E5">
            <w:pPr>
              <w:autoSpaceDE w:val="0"/>
              <w:autoSpaceDN w:val="0"/>
              <w:adjustRightInd w:val="0"/>
              <w:spacing w:line="240" w:lineRule="auto"/>
              <w:jc w:val="left"/>
              <w:rPr>
                <w:b/>
                <w:bCs/>
                <w:color w:val="000000" w:themeColor="text1"/>
                <w:sz w:val="24"/>
                <w:szCs w:val="24"/>
              </w:rPr>
            </w:pPr>
            <w:r w:rsidRPr="002C51AC">
              <w:rPr>
                <w:b/>
                <w:bCs/>
                <w:color w:val="000000" w:themeColor="text1"/>
                <w:sz w:val="24"/>
                <w:szCs w:val="24"/>
              </w:rPr>
              <w:t>Kierunek 5.1</w:t>
            </w:r>
          </w:p>
        </w:tc>
        <w:tc>
          <w:tcPr>
            <w:tcW w:w="7108" w:type="dxa"/>
            <w:shd w:val="clear" w:color="auto" w:fill="DCEDF8"/>
            <w:vAlign w:val="center"/>
          </w:tcPr>
          <w:p w:rsidR="002F5572" w:rsidRPr="002C51AC" w:rsidRDefault="002F5572" w:rsidP="00EF02E5">
            <w:pPr>
              <w:autoSpaceDE w:val="0"/>
              <w:autoSpaceDN w:val="0"/>
              <w:adjustRightInd w:val="0"/>
              <w:spacing w:line="240" w:lineRule="auto"/>
              <w:jc w:val="left"/>
              <w:rPr>
                <w:b/>
                <w:bCs/>
                <w:color w:val="000000" w:themeColor="text1"/>
                <w:sz w:val="24"/>
                <w:szCs w:val="24"/>
              </w:rPr>
            </w:pPr>
            <w:r w:rsidRPr="002C51AC">
              <w:rPr>
                <w:b/>
                <w:bCs/>
                <w:color w:val="000000" w:themeColor="text1"/>
                <w:sz w:val="24"/>
                <w:szCs w:val="24"/>
              </w:rPr>
              <w:t>Wzmacnianie potencjału sektora B+R oraz działania na rzecz nowoczesnej reindustrializacji WrOF</w:t>
            </w:r>
          </w:p>
        </w:tc>
      </w:tr>
      <w:tr w:rsidR="002F5572" w:rsidRPr="002C51AC" w:rsidTr="00EF02E5">
        <w:trPr>
          <w:trHeight w:val="907"/>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Charakterystyka działania: </w:t>
            </w:r>
          </w:p>
        </w:tc>
        <w:tc>
          <w:tcPr>
            <w:tcW w:w="7108"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rFonts w:cstheme="minorHAnsi"/>
                <w:color w:val="000000" w:themeColor="text1"/>
                <w:sz w:val="24"/>
                <w:szCs w:val="24"/>
              </w:rPr>
              <w:t xml:space="preserve">Zaplanowane działania skupione są na wzroście innowacyjności gospodarki WrOF oraz rozwoju i wzmocnieniu poziomu przedsiębiorczości w poszczególnych gminach obszaru. </w:t>
            </w:r>
          </w:p>
        </w:tc>
      </w:tr>
      <w:tr w:rsidR="002F5572" w:rsidRPr="002C51AC" w:rsidTr="00EF02E5">
        <w:trPr>
          <w:trHeight w:val="907"/>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Przykładowe typy przedsięwzięć / projektów / zadań przewidzianych potencjalnie do realizacji </w:t>
            </w:r>
          </w:p>
        </w:tc>
        <w:tc>
          <w:tcPr>
            <w:tcW w:w="7108"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 xml:space="preserve">Wsparcie w zakresie inwestycji w infrastrukturę B+R przedsiębiorstw; </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Dofinansowanie usług badawczo-rozwojowych świadczonych przez podmioty działające na terenie WrOF;</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 xml:space="preserve">Prowadzenie działań na rzecz podnoszenia kwalifikacji i kompetencji kadr z zakresu wykorzystania infrastruktury B+R lub realizacji procesu innowacyjnego; </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 xml:space="preserve">Rozwój zaplecza badawczo-rozwojowego oraz publicznej infrastruktury badawczej służącej działalności innowacyjnej publicznych jednostek naukowych i organizacji badawczych; </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Realizacja działań na rzecz poprawy i wzmocnienia atrakcyjności inwestycyjnej;</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Zwiększenie poziomu współpracy jednostek naukowych i organizacji badawczych z przedsiębiorcami;</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Rozwój przedsiębiorczości akademickiej;</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Realizacja działań zgodnie z zapisami Dolnośląskiej Strategii Innowacji 2030.</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Wsparcie sektora MŚP w zakresie wprowadzania na rynek nowych produktów i usług;</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Wdrożenie mechanizmów promowania działalności innowacyjnej;</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Realizacja usług proinnowacyjnych świadczonych na rzecz MŚP;</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Zwiększenie konkurencyjności sektora MŚP;</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Tworzenie i rozwoju infrastruktury dla przedsiębiorców m.in. inkubatorów, centrów rozwoju przedsiębiorczości, parków technologicznych;</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Budowa i wzmacnianie marki WrOF jako ośrodka innowacyjnej gospodarki.</w:t>
            </w:r>
          </w:p>
        </w:tc>
      </w:tr>
      <w:tr w:rsidR="002F5572" w:rsidRPr="002C51AC" w:rsidTr="00EF02E5">
        <w:trPr>
          <w:trHeight w:val="907"/>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Interesariusze / potencjalni partnerzy</w:t>
            </w:r>
          </w:p>
        </w:tc>
        <w:tc>
          <w:tcPr>
            <w:tcW w:w="7108"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rFonts w:cstheme="minorHAnsi"/>
                <w:color w:val="000000" w:themeColor="text1"/>
                <w:sz w:val="24"/>
                <w:szCs w:val="24"/>
              </w:rPr>
              <w:t xml:space="preserve">gminy WrOF, </w:t>
            </w:r>
            <w:r w:rsidRPr="002C51AC">
              <w:rPr>
                <w:color w:val="000000" w:themeColor="text1"/>
                <w:sz w:val="24"/>
                <w:szCs w:val="24"/>
              </w:rPr>
              <w:t xml:space="preserve">mieszkańcy WrOF, </w:t>
            </w:r>
            <w:r w:rsidRPr="002C51AC">
              <w:rPr>
                <w:rFonts w:cstheme="minorHAnsi"/>
                <w:color w:val="000000" w:themeColor="text1"/>
                <w:sz w:val="24"/>
                <w:szCs w:val="24"/>
              </w:rPr>
              <w:t>jednostki naukowe, organizacje badawcze, instytucje otoczenia biznesu, przedsiębiorstwa prowadzące działalność na terenie WrOF</w:t>
            </w:r>
          </w:p>
        </w:tc>
      </w:tr>
      <w:tr w:rsidR="002F5572" w:rsidRPr="002C51AC" w:rsidTr="00EF02E5">
        <w:trPr>
          <w:trHeight w:val="510"/>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Okres realizacji:</w:t>
            </w:r>
          </w:p>
        </w:tc>
        <w:tc>
          <w:tcPr>
            <w:tcW w:w="7108"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2021-2027 (n+2)</w:t>
            </w:r>
          </w:p>
        </w:tc>
      </w:tr>
      <w:tr w:rsidR="002F5572" w:rsidRPr="002C51AC" w:rsidTr="00EF02E5">
        <w:trPr>
          <w:trHeight w:val="670"/>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Potencjalne źródła finansowania: </w:t>
            </w:r>
          </w:p>
        </w:tc>
        <w:tc>
          <w:tcPr>
            <w:tcW w:w="7108"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dla Dolnego Śląska 2021-2027</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dla Nowoczesnej Gospodarki (FENG)</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na Rozwój Cyfrowy (FERC)</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Krajowy Plan Odbudowy (KPO)</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inne środki zewnętrzne, budżet państwa, środki własne gminy</w:t>
            </w:r>
          </w:p>
        </w:tc>
      </w:tr>
      <w:tr w:rsidR="002F5572" w:rsidRPr="002C51AC" w:rsidTr="00EF02E5">
        <w:trPr>
          <w:trHeight w:val="624"/>
          <w:jc w:val="center"/>
        </w:trPr>
        <w:tc>
          <w:tcPr>
            <w:tcW w:w="1964"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Proponowane wskaźniki monitorujące realizację kierunku działania: </w:t>
            </w:r>
          </w:p>
        </w:tc>
        <w:tc>
          <w:tcPr>
            <w:tcW w:w="7108"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Przedsiębiorstwa objęte wsparciem (w tym: mikro, małe, średnie, duże) [przedsiębiorstwa]</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Przedsiębiorstwa objęte wsparciem w formie dotacji [przedsiębiorstwa]</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Liczba realizowanych projektów B+R [szt.]</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Przedsiębiorstwa współpracujące z organizacjami badawczymi [przedsiębiorstwa]</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Wartość nakładów na działalność B+R we wspartych przedsiębiorstwach [zł]</w:t>
            </w:r>
          </w:p>
        </w:tc>
      </w:tr>
    </w:tbl>
    <w:p w:rsidR="002F5572" w:rsidRDefault="002F5572" w:rsidP="00176C22">
      <w:pPr>
        <w:jc w:val="left"/>
        <w:rPr>
          <w:color w:val="000000" w:themeColor="text1"/>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5.2 Rozwój e-usług"/>
        <w:tblDescription w:val="Omówienie kierunku"/>
      </w:tblPr>
      <w:tblGrid>
        <w:gridCol w:w="1796"/>
        <w:gridCol w:w="7276"/>
      </w:tblGrid>
      <w:tr w:rsidR="002F5572" w:rsidRPr="002C51AC" w:rsidTr="00EF02E5">
        <w:trPr>
          <w:trHeight w:val="850"/>
          <w:tblHeader/>
          <w:jc w:val="center"/>
        </w:trPr>
        <w:tc>
          <w:tcPr>
            <w:tcW w:w="1796" w:type="dxa"/>
            <w:shd w:val="clear" w:color="auto" w:fill="FFFFFF" w:themeFill="background1"/>
            <w:vAlign w:val="center"/>
          </w:tcPr>
          <w:p w:rsidR="002F5572" w:rsidRPr="002C51AC" w:rsidRDefault="002F5572" w:rsidP="00EF02E5">
            <w:pPr>
              <w:autoSpaceDE w:val="0"/>
              <w:autoSpaceDN w:val="0"/>
              <w:adjustRightInd w:val="0"/>
              <w:spacing w:line="240" w:lineRule="auto"/>
              <w:jc w:val="left"/>
              <w:rPr>
                <w:b/>
                <w:bCs/>
                <w:color w:val="000000" w:themeColor="text1"/>
                <w:sz w:val="24"/>
                <w:szCs w:val="24"/>
              </w:rPr>
            </w:pPr>
            <w:r w:rsidRPr="002C51AC">
              <w:rPr>
                <w:b/>
                <w:bCs/>
                <w:color w:val="000000" w:themeColor="text1"/>
                <w:sz w:val="24"/>
                <w:szCs w:val="24"/>
              </w:rPr>
              <w:t xml:space="preserve">Kierunek </w:t>
            </w:r>
            <w:r>
              <w:rPr>
                <w:b/>
                <w:bCs/>
                <w:color w:val="000000" w:themeColor="text1"/>
                <w:sz w:val="24"/>
                <w:szCs w:val="24"/>
              </w:rPr>
              <w:t>5.2</w:t>
            </w:r>
          </w:p>
        </w:tc>
        <w:tc>
          <w:tcPr>
            <w:tcW w:w="7276" w:type="dxa"/>
            <w:shd w:val="clear" w:color="auto" w:fill="DCEDF8"/>
            <w:vAlign w:val="center"/>
          </w:tcPr>
          <w:p w:rsidR="002F5572" w:rsidRPr="002C51AC" w:rsidRDefault="002F5572" w:rsidP="00EF02E5">
            <w:pPr>
              <w:autoSpaceDE w:val="0"/>
              <w:autoSpaceDN w:val="0"/>
              <w:adjustRightInd w:val="0"/>
              <w:spacing w:line="240" w:lineRule="auto"/>
              <w:jc w:val="left"/>
              <w:rPr>
                <w:b/>
                <w:bCs/>
                <w:color w:val="000000" w:themeColor="text1"/>
                <w:sz w:val="24"/>
                <w:szCs w:val="24"/>
              </w:rPr>
            </w:pPr>
            <w:r w:rsidRPr="002C51AC">
              <w:rPr>
                <w:b/>
                <w:bCs/>
                <w:color w:val="000000" w:themeColor="text1"/>
                <w:sz w:val="24"/>
                <w:szCs w:val="24"/>
              </w:rPr>
              <w:t>Rozwój e-usług</w:t>
            </w:r>
          </w:p>
        </w:tc>
      </w:tr>
      <w:tr w:rsidR="002F5572" w:rsidRPr="002C51AC" w:rsidTr="00EF02E5">
        <w:trPr>
          <w:trHeight w:val="907"/>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Charakterystyka działania: </w:t>
            </w:r>
          </w:p>
        </w:tc>
        <w:tc>
          <w:tcPr>
            <w:tcW w:w="7276"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Istotne jest wprowadzanie nowych i kontynuowanie obecnych rozwiązań w zakresie e-usług, w celu usprawnienia procesów i ułatwienia komunikacji między podmiotami oraz zwiększenia komfortu obywateli i podmiotów gospodarczych korzystających z tego rodzaju usług.</w:t>
            </w:r>
          </w:p>
        </w:tc>
      </w:tr>
      <w:tr w:rsidR="002F5572" w:rsidRPr="002C51AC" w:rsidTr="00EF02E5">
        <w:trPr>
          <w:trHeight w:val="907"/>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Przykładowe typy przedsięwzięć / projektów / zadań przewidzianych potencjalnie do realizacji </w:t>
            </w:r>
          </w:p>
        </w:tc>
        <w:tc>
          <w:tcPr>
            <w:tcW w:w="7276"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Tworzenie, rozwijanie i integracja baz danych i zasobów cyfrowych wspomagających komunikację między podmiotami;</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Upowszechnienie komunikacji elektronicznej w instytucjach publicznych z podmiotami zewnętrznymi i obywatelami;</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Digitalizacja i zwiększenie dostępności danych publicznych;</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Standaryzacja i strukturyzacja danych publicznych.</w:t>
            </w:r>
          </w:p>
        </w:tc>
      </w:tr>
      <w:tr w:rsidR="002F5572" w:rsidRPr="002C51AC" w:rsidTr="00EF02E5">
        <w:trPr>
          <w:trHeight w:val="907"/>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Interesariusze / potencjalni partnerzy</w:t>
            </w:r>
          </w:p>
        </w:tc>
        <w:tc>
          <w:tcPr>
            <w:tcW w:w="7276"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gminy WrOF, mieszkańcy WrOF, instytucje publiczne</w:t>
            </w:r>
          </w:p>
        </w:tc>
      </w:tr>
      <w:tr w:rsidR="002F5572" w:rsidRPr="002C51AC" w:rsidTr="00EF02E5">
        <w:trPr>
          <w:trHeight w:val="510"/>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Okres realizacji:</w:t>
            </w:r>
          </w:p>
        </w:tc>
        <w:tc>
          <w:tcPr>
            <w:tcW w:w="7276" w:type="dxa"/>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2021-2027 (n+2)</w:t>
            </w:r>
          </w:p>
        </w:tc>
      </w:tr>
      <w:tr w:rsidR="002F5572" w:rsidRPr="002C51AC" w:rsidTr="00EF02E5">
        <w:trPr>
          <w:trHeight w:val="670"/>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Potencjalne źródła finansowania: </w:t>
            </w:r>
          </w:p>
        </w:tc>
        <w:tc>
          <w:tcPr>
            <w:tcW w:w="7276"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dla Dolnego Śląska 2021-2027</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dla Nowoczesnej Gospodarki (FENG)</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Fundusze Europejskie na Rozwój Cyfrowy (FERC)</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Krajowy Plan Odbudowy (KPO)</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inne środki zewnętrzne, budżet państwa, środki własne gminy</w:t>
            </w:r>
          </w:p>
        </w:tc>
      </w:tr>
      <w:tr w:rsidR="002F5572" w:rsidRPr="002C51AC" w:rsidTr="00EF02E5">
        <w:trPr>
          <w:trHeight w:val="624"/>
          <w:jc w:val="center"/>
        </w:trPr>
        <w:tc>
          <w:tcPr>
            <w:tcW w:w="1796" w:type="dxa"/>
            <w:shd w:val="clear" w:color="auto" w:fill="DCEDF8"/>
            <w:vAlign w:val="center"/>
          </w:tcPr>
          <w:p w:rsidR="002F5572" w:rsidRPr="002C51AC" w:rsidRDefault="002F5572" w:rsidP="00EF02E5">
            <w:pPr>
              <w:autoSpaceDE w:val="0"/>
              <w:autoSpaceDN w:val="0"/>
              <w:adjustRightInd w:val="0"/>
              <w:spacing w:line="240" w:lineRule="auto"/>
              <w:jc w:val="left"/>
              <w:rPr>
                <w:color w:val="000000" w:themeColor="text1"/>
                <w:sz w:val="24"/>
                <w:szCs w:val="24"/>
              </w:rPr>
            </w:pPr>
            <w:r w:rsidRPr="002C51AC">
              <w:rPr>
                <w:color w:val="000000" w:themeColor="text1"/>
                <w:sz w:val="24"/>
                <w:szCs w:val="24"/>
              </w:rPr>
              <w:t xml:space="preserve">Proponowane wskaźniki monitorujące realizację kierunku działania: </w:t>
            </w:r>
          </w:p>
        </w:tc>
        <w:tc>
          <w:tcPr>
            <w:tcW w:w="7276" w:type="dxa"/>
            <w:vAlign w:val="center"/>
          </w:tcPr>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Liczba podmiotów, które udostępniły informacje sektora publicznego/dane prywatne on-</w:t>
            </w:r>
            <w:proofErr w:type="spellStart"/>
            <w:r w:rsidRPr="002C51AC">
              <w:rPr>
                <w:color w:val="000000" w:themeColor="text1"/>
                <w:sz w:val="24"/>
                <w:szCs w:val="24"/>
              </w:rPr>
              <w:t>line</w:t>
            </w:r>
            <w:proofErr w:type="spellEnd"/>
            <w:r w:rsidRPr="002C51AC">
              <w:rPr>
                <w:color w:val="000000" w:themeColor="text1"/>
                <w:sz w:val="24"/>
                <w:szCs w:val="24"/>
              </w:rPr>
              <w:t xml:space="preserve"> [szt.]</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Instytucje publiczne otrzymujące wsparcie na opracowywanie usług, produktów i procesów cyfrowych [szt.]</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Liczba usług publicznych udostępnionych on-</w:t>
            </w:r>
            <w:proofErr w:type="spellStart"/>
            <w:r w:rsidRPr="002C51AC">
              <w:rPr>
                <w:color w:val="000000" w:themeColor="text1"/>
                <w:sz w:val="24"/>
                <w:szCs w:val="24"/>
              </w:rPr>
              <w:t>line</w:t>
            </w:r>
            <w:proofErr w:type="spellEnd"/>
            <w:r w:rsidRPr="002C51AC">
              <w:rPr>
                <w:color w:val="000000" w:themeColor="text1"/>
                <w:sz w:val="24"/>
                <w:szCs w:val="24"/>
              </w:rPr>
              <w:t xml:space="preserve"> [szt.]</w:t>
            </w:r>
          </w:p>
          <w:p w:rsidR="002F5572" w:rsidRPr="002C51AC" w:rsidRDefault="002F5572" w:rsidP="00EF02E5">
            <w:pPr>
              <w:pStyle w:val="Akapitzlist"/>
              <w:numPr>
                <w:ilvl w:val="0"/>
                <w:numId w:val="7"/>
              </w:numPr>
              <w:spacing w:line="240" w:lineRule="auto"/>
              <w:jc w:val="left"/>
              <w:rPr>
                <w:color w:val="000000" w:themeColor="text1"/>
                <w:sz w:val="24"/>
                <w:szCs w:val="24"/>
              </w:rPr>
            </w:pPr>
            <w:r w:rsidRPr="002C51AC">
              <w:rPr>
                <w:color w:val="000000" w:themeColor="text1"/>
                <w:sz w:val="24"/>
                <w:szCs w:val="24"/>
              </w:rPr>
              <w:t>Użytkownicy nowych i zmodernizowanych publicznych usług, produktów i procesów cyfrowych [użytkownicy/rok]</w:t>
            </w:r>
          </w:p>
        </w:tc>
      </w:tr>
    </w:tbl>
    <w:p w:rsidR="002F5572" w:rsidRDefault="002F5572" w:rsidP="00176C22">
      <w:pPr>
        <w:jc w:val="left"/>
        <w:rPr>
          <w:color w:val="000000" w:themeColor="text1"/>
        </w:rPr>
      </w:pPr>
      <w:r>
        <w:rPr>
          <w:color w:val="000000" w:themeColor="text1"/>
        </w:rPr>
        <w:br w:type="page"/>
      </w:r>
    </w:p>
    <w:p w:rsidR="002F5572" w:rsidRDefault="002F5572" w:rsidP="002F5572">
      <w:pPr>
        <w:jc w:val="left"/>
        <w:rPr>
          <w:color w:val="000000" w:themeColor="text1"/>
        </w:rPr>
      </w:pPr>
      <w:r w:rsidRPr="00CA6C23">
        <w:rPr>
          <w:noProof/>
          <w:lang w:eastAsia="pl-PL"/>
        </w:rPr>
        <w:drawing>
          <wp:inline distT="0" distB="0" distL="0" distR="0" wp14:anchorId="3CF3EDAF" wp14:editId="74F23A20">
            <wp:extent cx="5279390" cy="1794510"/>
            <wp:effectExtent l="0" t="0" r="0" b="0"/>
            <wp:docPr id="297" name="Obraz 297" descr="Cel strategiczny 2 - Priorytet 6. Cyfryzacja - Kierunek 6.1, Kierunek 6.2" title="Cel strategiczny 2 - Priorytet 6. Cyfryz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BIT\wszyscy\ZIT\Realizacja STRATEGIA ZIT WrOF\Ikony schematów\ikony schematów 2\cel strategiczny 2 priorytet 6-03.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279390" cy="1794510"/>
                    </a:xfrm>
                    <a:prstGeom prst="rect">
                      <a:avLst/>
                    </a:prstGeom>
                    <a:noFill/>
                    <a:ln>
                      <a:noFill/>
                    </a:ln>
                  </pic:spPr>
                </pic:pic>
              </a:graphicData>
            </a:graphic>
          </wp:inline>
        </w:drawing>
      </w:r>
      <w:r w:rsidRPr="003B5240">
        <w:rPr>
          <w:rFonts w:asciiTheme="majorHAnsi" w:eastAsiaTheme="majorEastAsia" w:hAnsiTheme="majorHAnsi" w:cstheme="majorBidi"/>
          <w:b/>
          <w:color w:val="000000" w:themeColor="text1"/>
          <w:sz w:val="36"/>
          <w:szCs w:val="26"/>
        </w:rPr>
        <w:t xml:space="preserve">Priorytet Cyfryzacja </w:t>
      </w:r>
      <w:r w:rsidRPr="003B5240">
        <w:rPr>
          <w:color w:val="000000" w:themeColor="text1"/>
        </w:rPr>
        <w:t>skupiony jest na rozwoju usług publicznych oferowanych w formie elektronicznej. Działania wiążą się również z zapewnieniem dostępu do informacji za pośrednictwem nowoczesnych technologii, a tym samym zmniejszeniem obciążenia administracyjnego i poprawy komunikacji między podmiotami publicznymi a mieszkańcami, przedsiębiorcami i organizacjami badawczymi</w:t>
      </w: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6.1 Rozwój e-usług publicznych"/>
        <w:tblDescription w:val="Omówienie kierunku"/>
      </w:tblPr>
      <w:tblGrid>
        <w:gridCol w:w="2030"/>
        <w:gridCol w:w="7042"/>
      </w:tblGrid>
      <w:tr w:rsidR="002F5572" w:rsidRPr="003B5240" w:rsidTr="00EF02E5">
        <w:trPr>
          <w:trHeight w:val="850"/>
          <w:tblHeader/>
          <w:jc w:val="center"/>
        </w:trPr>
        <w:tc>
          <w:tcPr>
            <w:tcW w:w="2032" w:type="dxa"/>
            <w:shd w:val="clear" w:color="auto" w:fill="FFFFFF" w:themeFill="background1"/>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6.1</w:t>
            </w:r>
          </w:p>
        </w:tc>
        <w:tc>
          <w:tcPr>
            <w:tcW w:w="7087" w:type="dxa"/>
            <w:shd w:val="clear" w:color="auto" w:fill="DCEDF8"/>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sidRPr="003B5240">
              <w:rPr>
                <w:b/>
                <w:bCs/>
                <w:color w:val="000000" w:themeColor="text1"/>
                <w:sz w:val="24"/>
                <w:szCs w:val="24"/>
              </w:rPr>
              <w:t>Rozwój e-usług publicznych</w:t>
            </w:r>
          </w:p>
        </w:tc>
      </w:tr>
      <w:tr w:rsidR="002F5572" w:rsidRPr="003B5240" w:rsidTr="00EF02E5">
        <w:trPr>
          <w:trHeight w:val="907"/>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Charakterystyka działania: </w:t>
            </w:r>
          </w:p>
        </w:tc>
        <w:tc>
          <w:tcPr>
            <w:tcW w:w="7087" w:type="dxa"/>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Realizowane projekty z zakresu rozwoju e-usług skupione są na zwiększeniu dostępności mieszkańców WrOF do usług publicznych oferowanych w formie elektronicznej. Działania wiążą się również z zapewnieniem dostępu do informacji za pośrednictwem nowoczesnych technologii, a tym samym zmniejszeniem obciążenia administracyjnego i poprawy komunikacji między podmiotami publicznymi a mieszkańcami WrOF. </w:t>
            </w:r>
          </w:p>
        </w:tc>
      </w:tr>
      <w:tr w:rsidR="002F5572" w:rsidRPr="003B5240" w:rsidTr="00EF02E5">
        <w:trPr>
          <w:trHeight w:val="907"/>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Przykładowe typy przedsięwzięć / projektów / zadań przewidzianych potencjalnie do realizacji </w:t>
            </w:r>
          </w:p>
        </w:tc>
        <w:tc>
          <w:tcPr>
            <w:tcW w:w="7087"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Rozwój systemu e-usług sektora publicznego w szczególności w zakresie e-administracji, e-zdrowia, e-edukacji, e-szkoły, e-kultury, e-turystyki, </w:t>
            </w:r>
            <w:r w:rsidRPr="003B5240">
              <w:rPr>
                <w:color w:val="000000" w:themeColor="text1"/>
                <w:sz w:val="24"/>
                <w:szCs w:val="24"/>
              </w:rPr>
              <w:br/>
              <w:t xml:space="preserve">e-pomocy społecznej oraz systemów informacji przestrzennej; </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Wzmacnianie bezpieczeństwa świadczenia e-usług i systemów informatycznych poprzez budowę lub modernizację istniejących systemów o zasięgu lokalnym i regionalnym;</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Upowszechnienie komunikacji elektronicznej instytucji publicznych z podmiotami zewnętrznymi oraz mieszkańcami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Prowadzenie działań na rzecz podnoszenia kompetencji cyfrowych pracowników instytucji publicznych;</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Ograniczenie wykluczenia cyfrowego mieszkańców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Zapewnienie dostępności e-usług dla osób ze szczególnymi potrzebami.</w:t>
            </w:r>
          </w:p>
        </w:tc>
      </w:tr>
      <w:tr w:rsidR="002F5572" w:rsidRPr="003B5240" w:rsidTr="00EF02E5">
        <w:trPr>
          <w:trHeight w:val="907"/>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Interesariusze / potencjalni partnerzy</w:t>
            </w:r>
          </w:p>
        </w:tc>
        <w:tc>
          <w:tcPr>
            <w:tcW w:w="7087"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gminy WrOF, mieszkańcy WrOF, instytucje publiczne</w:t>
            </w:r>
          </w:p>
        </w:tc>
      </w:tr>
      <w:tr w:rsidR="002F5572" w:rsidRPr="003B5240" w:rsidTr="00EF02E5">
        <w:trPr>
          <w:trHeight w:val="510"/>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Okres realizacji:</w:t>
            </w:r>
          </w:p>
        </w:tc>
        <w:tc>
          <w:tcPr>
            <w:tcW w:w="7087"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2021-2027 (n+2)</w:t>
            </w:r>
          </w:p>
        </w:tc>
      </w:tr>
      <w:tr w:rsidR="002F5572" w:rsidRPr="003B5240" w:rsidTr="00EF02E5">
        <w:trPr>
          <w:trHeight w:val="670"/>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Potencjalne źródła finansowania: </w:t>
            </w:r>
          </w:p>
        </w:tc>
        <w:tc>
          <w:tcPr>
            <w:tcW w:w="7087" w:type="dxa"/>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Dolnego Śląska 2021-2027</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Nowoczesnej Gospodarki (FENG)</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na Rozwój Cyfrowy (FERC)</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Krajowy Plan Odbudowy (KPO)</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inne środki zewnętrzne, budżet państwa, środki własne gminy</w:t>
            </w:r>
          </w:p>
        </w:tc>
      </w:tr>
      <w:tr w:rsidR="002F5572" w:rsidRPr="003B5240" w:rsidTr="00EF02E5">
        <w:trPr>
          <w:trHeight w:val="624"/>
          <w:jc w:val="center"/>
        </w:trPr>
        <w:tc>
          <w:tcPr>
            <w:tcW w:w="2032"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Proponowane wskaźniki monitorujące realizację kierunku działania: </w:t>
            </w:r>
          </w:p>
        </w:tc>
        <w:tc>
          <w:tcPr>
            <w:tcW w:w="7087" w:type="dxa"/>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Instytucje publiczne otrzymujące wsparcie na opracowywanie usług, produktów i procesów cyfrowych [szt.]</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Liczba usług publicznych udostępnionych on-</w:t>
            </w:r>
            <w:proofErr w:type="spellStart"/>
            <w:r w:rsidRPr="003B5240">
              <w:rPr>
                <w:color w:val="000000" w:themeColor="text1"/>
                <w:sz w:val="24"/>
                <w:szCs w:val="24"/>
              </w:rPr>
              <w:t>line</w:t>
            </w:r>
            <w:proofErr w:type="spellEnd"/>
            <w:r w:rsidRPr="003B5240">
              <w:rPr>
                <w:color w:val="000000" w:themeColor="text1"/>
                <w:sz w:val="24"/>
                <w:szCs w:val="24"/>
              </w:rPr>
              <w:t xml:space="preserve"> [szt.]</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Użytkownicy nowych i zmodernizowanych publicznych usług, produktów i procesów cyfrowych [użytkownicy/rok]</w:t>
            </w:r>
          </w:p>
        </w:tc>
      </w:tr>
    </w:tbl>
    <w:p w:rsidR="002F5572" w:rsidRPr="002F5572" w:rsidRDefault="002F5572" w:rsidP="002F5572">
      <w:pPr>
        <w:pStyle w:val="Default"/>
        <w:spacing w:before="120" w:after="120" w:line="360" w:lineRule="auto"/>
        <w:rPr>
          <w:rFonts w:asciiTheme="minorHAnsi" w:hAnsiTheme="minorHAnsi" w:cstheme="minorBidi"/>
          <w:color w:val="000000" w:themeColor="text1"/>
          <w:sz w:val="18"/>
          <w:szCs w:val="22"/>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6.1 Cyfryzacja zasobów i zwiększenie dostąpności danych publicznych"/>
        <w:tblDescription w:val="omówienie kierunku"/>
      </w:tblPr>
      <w:tblGrid>
        <w:gridCol w:w="1853"/>
        <w:gridCol w:w="7219"/>
      </w:tblGrid>
      <w:tr w:rsidR="002F5572" w:rsidRPr="003B5240" w:rsidTr="00EF02E5">
        <w:trPr>
          <w:trHeight w:val="850"/>
          <w:tblHeader/>
          <w:jc w:val="center"/>
        </w:trPr>
        <w:tc>
          <w:tcPr>
            <w:tcW w:w="1805" w:type="dxa"/>
            <w:shd w:val="clear" w:color="auto" w:fill="FFFFFF" w:themeFill="background1"/>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6.2</w:t>
            </w:r>
          </w:p>
        </w:tc>
        <w:tc>
          <w:tcPr>
            <w:tcW w:w="7031" w:type="dxa"/>
            <w:shd w:val="clear" w:color="auto" w:fill="DCEDF8"/>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sidRPr="003B5240">
              <w:rPr>
                <w:b/>
                <w:bCs/>
                <w:color w:val="000000" w:themeColor="text1"/>
                <w:sz w:val="24"/>
                <w:szCs w:val="24"/>
              </w:rPr>
              <w:t>Cyfryzacja zasobów i zwiększenie dostępności danych publicznych</w:t>
            </w:r>
          </w:p>
        </w:tc>
      </w:tr>
      <w:tr w:rsidR="002F5572" w:rsidRPr="003B5240" w:rsidTr="00EF02E5">
        <w:trPr>
          <w:trHeight w:val="907"/>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Charakterystyka działania: </w:t>
            </w:r>
          </w:p>
        </w:tc>
        <w:tc>
          <w:tcPr>
            <w:tcW w:w="7031"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Działania wiążą się z zapewnieniem dostępu do informacji za pośrednictwem nowoczesnych technologii, a tym samym zmniejszeniem obciążenia administracyjnego i poprawą komunikacji między podmiotami publicznymi a mieszkańcami WrOF.</w:t>
            </w:r>
          </w:p>
        </w:tc>
      </w:tr>
      <w:tr w:rsidR="002F5572" w:rsidRPr="003B5240" w:rsidTr="00EF02E5">
        <w:trPr>
          <w:trHeight w:val="907"/>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Przykładowe typy przedsięwzięć / projektów / zadań przewidzianych potencjalnie do realizacji </w:t>
            </w:r>
          </w:p>
        </w:tc>
        <w:tc>
          <w:tcPr>
            <w:tcW w:w="7031"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Prowadzenie działań na rzecz cyfryzacji zasobów geodezyjnych w poszczególnych gminach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Cyfryzacja zasobów kulturowych, naukowych i edukacyjnych w placówkach i instytucjach na terenie całego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Digitalizacja i zwiększenie dostępności danych publicznych poprzez ich standaryzację i strukturyzację; </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Prowadzenie działań na rzecz podnoszenia kompetencji cyfrowych pracowników instytucji publicznych;</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Ograniczenie wykluczenia cyfrowego mieszkańców WrOF.</w:t>
            </w:r>
          </w:p>
        </w:tc>
      </w:tr>
      <w:tr w:rsidR="002F5572" w:rsidRPr="003B5240" w:rsidTr="00EF02E5">
        <w:trPr>
          <w:trHeight w:val="907"/>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Interesariusze / potencjalni partnerzy</w:t>
            </w:r>
          </w:p>
        </w:tc>
        <w:tc>
          <w:tcPr>
            <w:tcW w:w="7031"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gminy WrOF, mieszkańcy WrOF, instytucje publiczne</w:t>
            </w:r>
          </w:p>
        </w:tc>
      </w:tr>
      <w:tr w:rsidR="002F5572" w:rsidRPr="003B5240" w:rsidTr="00EF02E5">
        <w:trPr>
          <w:trHeight w:val="510"/>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Okres realizacji:</w:t>
            </w:r>
          </w:p>
        </w:tc>
        <w:tc>
          <w:tcPr>
            <w:tcW w:w="7031"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2021-2027 (n+2)</w:t>
            </w:r>
          </w:p>
        </w:tc>
      </w:tr>
      <w:tr w:rsidR="002F5572" w:rsidRPr="003B5240" w:rsidTr="00EF02E5">
        <w:trPr>
          <w:trHeight w:val="670"/>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Potencjalne źródła finansowania: </w:t>
            </w:r>
          </w:p>
        </w:tc>
        <w:tc>
          <w:tcPr>
            <w:tcW w:w="7031"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Dolnego Śląska 2021-2027</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Nowoczesnej Gospodarki (FENG)</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na Rozwój Cyfrowy (FERC)</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Krajowy Plan Odbudowy (KPO)</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inne środki zewnętrzne, budżet państwa, środki własne gminy</w:t>
            </w:r>
          </w:p>
        </w:tc>
      </w:tr>
      <w:tr w:rsidR="002F5572" w:rsidRPr="003B5240" w:rsidTr="00EF02E5">
        <w:trPr>
          <w:trHeight w:val="624"/>
          <w:jc w:val="center"/>
        </w:trPr>
        <w:tc>
          <w:tcPr>
            <w:tcW w:w="1805"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Proponowane wskaźniki monitorujące realizację kierunku działania: </w:t>
            </w:r>
          </w:p>
        </w:tc>
        <w:tc>
          <w:tcPr>
            <w:tcW w:w="7031"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Liczba instytucji objętych wsparciem w ramach modernizacji zaplecza sprzętowego (zakup sprzętu, oprogramowania) [szt.]</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Liczba osób objętych wsparciem w ramach rozwoju kompetencji cyfrowych [osoby]</w:t>
            </w:r>
          </w:p>
        </w:tc>
      </w:tr>
    </w:tbl>
    <w:p w:rsidR="00216B5C" w:rsidRPr="00246827" w:rsidRDefault="00216B5C" w:rsidP="00216B5C">
      <w:pPr>
        <w:pStyle w:val="Default"/>
        <w:spacing w:before="120" w:after="120"/>
        <w:jc w:val="both"/>
        <w:rPr>
          <w:rFonts w:asciiTheme="minorHAnsi" w:hAnsiTheme="minorHAnsi" w:cstheme="minorBidi"/>
          <w:color w:val="FFFFFF" w:themeColor="background1"/>
          <w:sz w:val="16"/>
          <w:szCs w:val="22"/>
        </w:rPr>
      </w:pPr>
    </w:p>
    <w:p w:rsidR="00216B5C" w:rsidRDefault="00216B5C" w:rsidP="00216B5C">
      <w:pPr>
        <w:pStyle w:val="Default"/>
        <w:spacing w:before="120" w:after="120"/>
        <w:jc w:val="both"/>
        <w:rPr>
          <w:rFonts w:asciiTheme="minorHAnsi" w:hAnsiTheme="minorHAnsi" w:cstheme="minorBidi"/>
          <w:color w:val="auto"/>
          <w:sz w:val="8"/>
          <w:szCs w:val="22"/>
        </w:rPr>
      </w:pPr>
      <w:r w:rsidRPr="00C461B8">
        <w:rPr>
          <w:rFonts w:asciiTheme="minorHAnsi" w:hAnsiTheme="minorHAnsi" w:cstheme="minorBidi"/>
          <w:noProof/>
          <w:color w:val="auto"/>
          <w:sz w:val="22"/>
          <w:szCs w:val="22"/>
          <w:lang w:eastAsia="pl-PL"/>
        </w:rPr>
        <w:drawing>
          <wp:inline distT="0" distB="0" distL="0" distR="0" wp14:anchorId="0BACCF85" wp14:editId="7FA1D863">
            <wp:extent cx="5279390" cy="1794510"/>
            <wp:effectExtent l="0" t="0" r="0" b="0"/>
            <wp:docPr id="316" name="Obraz 316" descr="Cel strategiczny 2. - Priorytet 7. Rynek pracy, Kierunek 7.1, Kierunek 7.2" title="Cel strategiczny 2. - Priorytet 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BIT\wszyscy\ZIT\Realizacja STRATEGIA ZIT WrOF\Ikony schematów\ikony schematów 2\cel strategiczny 2 priorytet 7-03.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79390" cy="1794510"/>
                    </a:xfrm>
                    <a:prstGeom prst="rect">
                      <a:avLst/>
                    </a:prstGeom>
                    <a:noFill/>
                    <a:ln>
                      <a:noFill/>
                    </a:ln>
                  </pic:spPr>
                </pic:pic>
              </a:graphicData>
            </a:graphic>
          </wp:inline>
        </w:drawing>
      </w:r>
    </w:p>
    <w:p w:rsidR="002F5572" w:rsidRPr="002F5572" w:rsidRDefault="002F5572" w:rsidP="002F5572">
      <w:pPr>
        <w:pStyle w:val="Default"/>
        <w:spacing w:before="120" w:after="120" w:line="360" w:lineRule="auto"/>
        <w:rPr>
          <w:rFonts w:asciiTheme="minorHAnsi" w:hAnsiTheme="minorHAnsi" w:cstheme="minorBidi"/>
          <w:color w:val="auto"/>
        </w:rPr>
      </w:pPr>
      <w:r w:rsidRPr="003B5240">
        <w:rPr>
          <w:rFonts w:asciiTheme="majorHAnsi" w:eastAsiaTheme="majorEastAsia" w:hAnsiTheme="majorHAnsi" w:cstheme="majorBidi"/>
          <w:b/>
          <w:color w:val="000000" w:themeColor="text1"/>
          <w:sz w:val="36"/>
          <w:szCs w:val="26"/>
        </w:rPr>
        <w:t xml:space="preserve">Priorytet Rynek Pracy </w:t>
      </w:r>
      <w:r w:rsidRPr="003B5240">
        <w:rPr>
          <w:rFonts w:asciiTheme="minorHAnsi" w:hAnsiTheme="minorHAnsi" w:cstheme="minorBidi"/>
          <w:color w:val="000000" w:themeColor="text1"/>
          <w:szCs w:val="22"/>
        </w:rPr>
        <w:t>ma zwiększać szanse na zatrudnienie osób pozostających bez pracy oraz osób poszukujących pracy, w tym długotrwale bezrobotnych oraz migrantów, a szczególnie imigrantów, poprzez wykorzystanie potencjału rynku pracy Wrocławia i jego obszaru funkcjonalnego. Priorytet wynika z identyfikowanych we WrOF procesów, m.in. napływu migrantów, którym potrzebne jest wsparcie w procesie poszukiwania pracy, podnoszenia kwalifikacji, przekwalifikowania – szeroko rozumianej adaptacji do rynku pracy.</w:t>
      </w:r>
    </w:p>
    <w:tbl>
      <w:tblPr>
        <w:tblStyle w:val="Tabela-Siatka"/>
        <w:tblW w:w="911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7.1 Wdrażanie różnorodnych form aktywizacji zawodowej"/>
        <w:tblDescription w:val="omówienie kierunku"/>
      </w:tblPr>
      <w:tblGrid>
        <w:gridCol w:w="2114"/>
        <w:gridCol w:w="7005"/>
      </w:tblGrid>
      <w:tr w:rsidR="002F5572" w:rsidRPr="003B5240" w:rsidTr="00EF02E5">
        <w:trPr>
          <w:trHeight w:val="850"/>
          <w:tblHeader/>
          <w:jc w:val="center"/>
        </w:trPr>
        <w:tc>
          <w:tcPr>
            <w:tcW w:w="2114" w:type="dxa"/>
            <w:shd w:val="clear" w:color="auto" w:fill="FFFFFF" w:themeFill="background1"/>
            <w:vAlign w:val="center"/>
          </w:tcPr>
          <w:p w:rsidR="002F5572" w:rsidRPr="003B5240" w:rsidRDefault="002F5572" w:rsidP="00EF02E5">
            <w:pPr>
              <w:autoSpaceDE w:val="0"/>
              <w:autoSpaceDN w:val="0"/>
              <w:adjustRightInd w:val="0"/>
              <w:spacing w:line="240" w:lineRule="auto"/>
              <w:rPr>
                <w:b/>
                <w:bCs/>
                <w:color w:val="000000" w:themeColor="text1"/>
                <w:sz w:val="24"/>
                <w:szCs w:val="24"/>
              </w:rPr>
            </w:pPr>
            <w:r>
              <w:rPr>
                <w:b/>
                <w:bCs/>
                <w:color w:val="000000" w:themeColor="text1"/>
                <w:sz w:val="24"/>
                <w:szCs w:val="24"/>
              </w:rPr>
              <w:t>Kierunek 7.1</w:t>
            </w:r>
          </w:p>
        </w:tc>
        <w:tc>
          <w:tcPr>
            <w:tcW w:w="7005" w:type="dxa"/>
            <w:shd w:val="clear" w:color="auto" w:fill="DCEDF8"/>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sidRPr="003B5240">
              <w:rPr>
                <w:b/>
                <w:bCs/>
                <w:color w:val="000000" w:themeColor="text1"/>
                <w:sz w:val="24"/>
                <w:szCs w:val="24"/>
              </w:rPr>
              <w:t>Wdrażanie różnorodnych form aktywizacji zawodowej</w:t>
            </w:r>
          </w:p>
        </w:tc>
      </w:tr>
      <w:tr w:rsidR="002F5572" w:rsidRPr="003B5240" w:rsidTr="00EF02E5">
        <w:trPr>
          <w:trHeight w:val="907"/>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 xml:space="preserve">Charakterystyka działania: </w:t>
            </w:r>
          </w:p>
        </w:tc>
        <w:tc>
          <w:tcPr>
            <w:tcW w:w="7005"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Mimo że sytuacja dotycząca bezrobocia we WrOF na tle województwa i kraju ulega poprawie, widoczne skutki pandemii COVID-19 determinują konieczność aktywizowania bezrobotnych mieszkańców i wsparcia ich </w:t>
            </w:r>
            <w:r w:rsidRPr="003B5240">
              <w:rPr>
                <w:color w:val="000000" w:themeColor="text1"/>
                <w:sz w:val="24"/>
                <w:szCs w:val="24"/>
              </w:rPr>
              <w:br/>
              <w:t>w poszukiwaniu pracy, w szczególności na obszarach wiejskich.</w:t>
            </w:r>
          </w:p>
        </w:tc>
      </w:tr>
      <w:tr w:rsidR="002F5572" w:rsidRPr="003B5240" w:rsidTr="00EF02E5">
        <w:trPr>
          <w:trHeight w:val="907"/>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 xml:space="preserve">Przykładowe typy przedsięwzięć / projektów / zadań przewidzianych potencjalnie do realizacji </w:t>
            </w:r>
          </w:p>
        </w:tc>
        <w:tc>
          <w:tcPr>
            <w:tcW w:w="7005"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Wsparcie w zakresie znalezienia zatrudnienia dla osób bezrobotnych i poszukujących pracy, w tym w szczególności osób znajdujących się w trudnej sytuacji na rynku pracy;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Realizacja projektów mających na celu aktywizację osób bezrobotnych przez Powiatowe Urzędy Pracy;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Promocja samozatrudnienia wśród mieszkańców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Wspieranie integracji i reintegracji zawodowej i społecznej;</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Wsparcie cudzoziemców na rynku pracy;</w:t>
            </w:r>
          </w:p>
        </w:tc>
      </w:tr>
      <w:tr w:rsidR="002F5572" w:rsidRPr="003B5240" w:rsidTr="00EF02E5">
        <w:trPr>
          <w:trHeight w:val="907"/>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Interesariusze / potencjalni partnerzy</w:t>
            </w:r>
          </w:p>
        </w:tc>
        <w:tc>
          <w:tcPr>
            <w:tcW w:w="7005"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gminy WrOF, mieszkańcy WrOF, lokalne podmioty gospodarcze, przedsiębiorcy, powiatowe urzędy pracy</w:t>
            </w:r>
          </w:p>
        </w:tc>
      </w:tr>
      <w:tr w:rsidR="002F5572" w:rsidRPr="003B5240" w:rsidTr="00EF02E5">
        <w:trPr>
          <w:trHeight w:val="510"/>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Okres realizacji:</w:t>
            </w:r>
          </w:p>
        </w:tc>
        <w:tc>
          <w:tcPr>
            <w:tcW w:w="7005"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2021-2027 (n+2)</w:t>
            </w:r>
          </w:p>
        </w:tc>
      </w:tr>
      <w:tr w:rsidR="002F5572" w:rsidRPr="003B5240" w:rsidTr="00EF02E5">
        <w:trPr>
          <w:trHeight w:val="670"/>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 xml:space="preserve">Potencjalne źródła finansowania: </w:t>
            </w:r>
          </w:p>
        </w:tc>
        <w:tc>
          <w:tcPr>
            <w:tcW w:w="7005"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Dolnego Śląska 2021-2027</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Rozwoju Społecznego 2021-2027 (FERS)</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inne środki zewnętrzne, budżet państwa, środki własne gminy</w:t>
            </w:r>
          </w:p>
        </w:tc>
      </w:tr>
      <w:tr w:rsidR="002F5572" w:rsidRPr="003B5240" w:rsidTr="00EF02E5">
        <w:trPr>
          <w:trHeight w:val="624"/>
          <w:jc w:val="center"/>
        </w:trPr>
        <w:tc>
          <w:tcPr>
            <w:tcW w:w="2114" w:type="dxa"/>
            <w:shd w:val="clear" w:color="auto" w:fill="DCEDF8"/>
            <w:vAlign w:val="center"/>
          </w:tcPr>
          <w:p w:rsidR="002F5572" w:rsidRPr="003B5240" w:rsidRDefault="002F5572" w:rsidP="00EF02E5">
            <w:pPr>
              <w:autoSpaceDE w:val="0"/>
              <w:autoSpaceDN w:val="0"/>
              <w:adjustRightInd w:val="0"/>
              <w:spacing w:line="240" w:lineRule="auto"/>
              <w:jc w:val="right"/>
              <w:rPr>
                <w:color w:val="000000" w:themeColor="text1"/>
                <w:sz w:val="24"/>
                <w:szCs w:val="24"/>
              </w:rPr>
            </w:pPr>
            <w:r w:rsidRPr="003B5240">
              <w:rPr>
                <w:color w:val="000000" w:themeColor="text1"/>
                <w:sz w:val="24"/>
                <w:szCs w:val="24"/>
              </w:rPr>
              <w:t xml:space="preserve">Proponowane wskaźniki monitorujące realizację kierunku działania: </w:t>
            </w:r>
          </w:p>
        </w:tc>
        <w:tc>
          <w:tcPr>
            <w:tcW w:w="7005"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Liczba osób bezrobotnych, w tym długotrwale bezrobotnych [osoby]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Uczestnicy pracujący po zakończeniu udziału w programie [osoby]</w:t>
            </w:r>
          </w:p>
        </w:tc>
      </w:tr>
    </w:tbl>
    <w:p w:rsidR="002F5572" w:rsidRPr="002F5572" w:rsidRDefault="002F5572" w:rsidP="00216B5C">
      <w:pPr>
        <w:pStyle w:val="Default"/>
        <w:spacing w:before="120" w:after="120"/>
        <w:jc w:val="both"/>
        <w:rPr>
          <w:rFonts w:asciiTheme="minorHAnsi" w:hAnsiTheme="minorHAnsi" w:cstheme="minorBidi"/>
          <w:color w:val="auto"/>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7.1 Adptacja do zmian na rynku pracy"/>
        <w:tblDescription w:val="omówienie kierunku"/>
      </w:tblPr>
      <w:tblGrid>
        <w:gridCol w:w="2059"/>
        <w:gridCol w:w="7013"/>
      </w:tblGrid>
      <w:tr w:rsidR="002F5572" w:rsidRPr="003B5240" w:rsidTr="00EF02E5">
        <w:trPr>
          <w:trHeight w:val="510"/>
          <w:tblHeader/>
          <w:jc w:val="center"/>
        </w:trPr>
        <w:tc>
          <w:tcPr>
            <w:tcW w:w="2059" w:type="dxa"/>
            <w:shd w:val="clear" w:color="auto" w:fill="FFFFFF" w:themeFill="background1"/>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7.2</w:t>
            </w:r>
          </w:p>
        </w:tc>
        <w:tc>
          <w:tcPr>
            <w:tcW w:w="7013" w:type="dxa"/>
            <w:shd w:val="clear" w:color="auto" w:fill="DCEDF8"/>
            <w:vAlign w:val="center"/>
          </w:tcPr>
          <w:p w:rsidR="002F5572" w:rsidRPr="003B5240" w:rsidRDefault="002F5572" w:rsidP="00EF02E5">
            <w:pPr>
              <w:autoSpaceDE w:val="0"/>
              <w:autoSpaceDN w:val="0"/>
              <w:adjustRightInd w:val="0"/>
              <w:spacing w:line="240" w:lineRule="auto"/>
              <w:jc w:val="left"/>
              <w:rPr>
                <w:b/>
                <w:bCs/>
                <w:color w:val="000000" w:themeColor="text1"/>
                <w:sz w:val="24"/>
                <w:szCs w:val="24"/>
              </w:rPr>
            </w:pPr>
            <w:r w:rsidRPr="003B5240">
              <w:rPr>
                <w:b/>
                <w:bCs/>
                <w:color w:val="000000" w:themeColor="text1"/>
                <w:sz w:val="24"/>
                <w:szCs w:val="24"/>
              </w:rPr>
              <w:t>Adaptacja do zmian na rynku pracy</w:t>
            </w:r>
          </w:p>
        </w:tc>
      </w:tr>
      <w:tr w:rsidR="002F5572" w:rsidRPr="003B5240" w:rsidTr="00EF02E5">
        <w:trPr>
          <w:trHeight w:val="907"/>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Charakterystyka działania: </w:t>
            </w:r>
          </w:p>
        </w:tc>
        <w:tc>
          <w:tcPr>
            <w:tcW w:w="7013"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Dynamicznie zmieniające się uwarunkowania i sytuacja gospodarcza warunkują konieczność wsparcia rozwoju oraz podnoszenia kompetencji zawodowych mieszkańców. Działania powinny skupiać się zarówno na wsparciu pracodawców, jak i pracowników w zakresie dostosowania do teraźniejszych oraz prognozowanych zmian.</w:t>
            </w:r>
          </w:p>
        </w:tc>
      </w:tr>
      <w:tr w:rsidR="002F5572" w:rsidRPr="003B5240" w:rsidTr="00EF02E5">
        <w:trPr>
          <w:trHeight w:val="907"/>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Przykładowe typy przedsięwzięć / projektów / zadań przewidzianych potencjalnie do realizacji </w:t>
            </w:r>
          </w:p>
        </w:tc>
        <w:tc>
          <w:tcPr>
            <w:tcW w:w="7013"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Prowadzenie działań na rzecz wydłużania aktywności zawodowej mieszkańców WrOF;</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Rozwój elastycznych form zatrudnienia, w tym prowadzenie pracy zdalnej;</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Wsparcie mieszkańców w zakresie rozwoju kompetencji zgodnie z wymogami rynku pracy;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Realizacja procesów adaptacyjnych i modernizacyjnych we WrOF poprzez wsparcie typu </w:t>
            </w:r>
            <w:proofErr w:type="spellStart"/>
            <w:r w:rsidRPr="003B5240">
              <w:rPr>
                <w:color w:val="000000" w:themeColor="text1"/>
                <w:sz w:val="24"/>
                <w:szCs w:val="24"/>
              </w:rPr>
              <w:t>outplacement</w:t>
            </w:r>
            <w:proofErr w:type="spellEnd"/>
            <w:r w:rsidRPr="003B5240">
              <w:rPr>
                <w:color w:val="000000" w:themeColor="text1"/>
                <w:sz w:val="24"/>
                <w:szCs w:val="24"/>
              </w:rPr>
              <w:t>;</w:t>
            </w:r>
            <w:r w:rsidRPr="003B5240">
              <w:rPr>
                <w:color w:val="000000" w:themeColor="text1"/>
                <w:sz w:val="24"/>
                <w:szCs w:val="24"/>
                <w:vertAlign w:val="superscript"/>
              </w:rPr>
              <w:footnoteReference w:id="118"/>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Wdrażanie rozwiązań w zakresie </w:t>
            </w:r>
            <w:proofErr w:type="spellStart"/>
            <w:r w:rsidRPr="003B5240">
              <w:rPr>
                <w:color w:val="000000" w:themeColor="text1"/>
                <w:sz w:val="24"/>
                <w:szCs w:val="24"/>
              </w:rPr>
              <w:t>work</w:t>
            </w:r>
            <w:proofErr w:type="spellEnd"/>
            <w:r w:rsidRPr="003B5240">
              <w:rPr>
                <w:color w:val="000000" w:themeColor="text1"/>
                <w:sz w:val="24"/>
                <w:szCs w:val="24"/>
              </w:rPr>
              <w:t xml:space="preserve">-life </w:t>
            </w:r>
            <w:proofErr w:type="spellStart"/>
            <w:r w:rsidRPr="003B5240">
              <w:rPr>
                <w:color w:val="000000" w:themeColor="text1"/>
                <w:sz w:val="24"/>
                <w:szCs w:val="24"/>
              </w:rPr>
              <w:t>balance</w:t>
            </w:r>
            <w:proofErr w:type="spellEnd"/>
            <w:r w:rsidRPr="003B5240">
              <w:rPr>
                <w:color w:val="000000" w:themeColor="text1"/>
                <w:sz w:val="24"/>
                <w:szCs w:val="24"/>
              </w:rPr>
              <w:t>;</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Realizacja działań promujących zdrowy styl życia wśród osób będących w wieku aktywności zawodowej; </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Prowadzenie działań szkoleniowych i </w:t>
            </w:r>
            <w:proofErr w:type="spellStart"/>
            <w:r w:rsidRPr="003B5240">
              <w:rPr>
                <w:color w:val="000000" w:themeColor="text1"/>
                <w:sz w:val="24"/>
                <w:szCs w:val="24"/>
              </w:rPr>
              <w:t>mentoringowych</w:t>
            </w:r>
            <w:proofErr w:type="spellEnd"/>
            <w:r w:rsidRPr="003B5240">
              <w:rPr>
                <w:color w:val="000000" w:themeColor="text1"/>
                <w:sz w:val="24"/>
                <w:szCs w:val="24"/>
              </w:rPr>
              <w:t xml:space="preserve"> na rzecz edukacji i wzmacniania umiejętności liderów lokalnych;</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Wsparcie dialogu społecznego i obywatelskiego.</w:t>
            </w:r>
          </w:p>
        </w:tc>
      </w:tr>
      <w:tr w:rsidR="002F5572" w:rsidRPr="003B5240" w:rsidTr="00EF02E5">
        <w:trPr>
          <w:trHeight w:val="907"/>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Interesariusze / potencjalni partnerzy</w:t>
            </w:r>
          </w:p>
        </w:tc>
        <w:tc>
          <w:tcPr>
            <w:tcW w:w="7013"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gminy WrOF, mieszkańcy WrOF, organizacje pozarządowe, przedsiębiorcy </w:t>
            </w:r>
          </w:p>
        </w:tc>
      </w:tr>
      <w:tr w:rsidR="002F5572" w:rsidRPr="003B5240" w:rsidTr="00EF02E5">
        <w:trPr>
          <w:trHeight w:val="510"/>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Okres realizacji:</w:t>
            </w:r>
          </w:p>
        </w:tc>
        <w:tc>
          <w:tcPr>
            <w:tcW w:w="7013" w:type="dxa"/>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2021-2027 (n+2)</w:t>
            </w:r>
          </w:p>
        </w:tc>
      </w:tr>
      <w:tr w:rsidR="002F5572" w:rsidRPr="003B5240" w:rsidTr="00EF02E5">
        <w:trPr>
          <w:trHeight w:val="340"/>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Potencjalne źródła finansowania: </w:t>
            </w:r>
          </w:p>
        </w:tc>
        <w:tc>
          <w:tcPr>
            <w:tcW w:w="7013"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Dolnego Śląska 2021-2027</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Fundusze Europejskie dla Rozwoju Społecznego 2021-2027 (FERS)</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inne środki zewnętrzne, budżet państwa, środki własne gminy</w:t>
            </w:r>
          </w:p>
        </w:tc>
      </w:tr>
      <w:tr w:rsidR="002F5572" w:rsidRPr="003B5240" w:rsidTr="00EF02E5">
        <w:trPr>
          <w:trHeight w:val="510"/>
          <w:jc w:val="center"/>
        </w:trPr>
        <w:tc>
          <w:tcPr>
            <w:tcW w:w="2059" w:type="dxa"/>
            <w:shd w:val="clear" w:color="auto" w:fill="DCEDF8"/>
            <w:vAlign w:val="center"/>
          </w:tcPr>
          <w:p w:rsidR="002F5572" w:rsidRPr="003B5240" w:rsidRDefault="002F5572" w:rsidP="00EF02E5">
            <w:pPr>
              <w:autoSpaceDE w:val="0"/>
              <w:autoSpaceDN w:val="0"/>
              <w:adjustRightInd w:val="0"/>
              <w:spacing w:line="240" w:lineRule="auto"/>
              <w:jc w:val="left"/>
              <w:rPr>
                <w:color w:val="000000" w:themeColor="text1"/>
                <w:sz w:val="24"/>
                <w:szCs w:val="24"/>
              </w:rPr>
            </w:pPr>
            <w:r w:rsidRPr="003B5240">
              <w:rPr>
                <w:color w:val="000000" w:themeColor="text1"/>
                <w:sz w:val="24"/>
                <w:szCs w:val="24"/>
              </w:rPr>
              <w:t xml:space="preserve">Proponowane wskaźniki monitorujące realizację kierunku działania: </w:t>
            </w:r>
          </w:p>
        </w:tc>
        <w:tc>
          <w:tcPr>
            <w:tcW w:w="7013" w:type="dxa"/>
            <w:vAlign w:val="center"/>
          </w:tcPr>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Bezrobotni, w tym długotrwale bezrobotni [osoby]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Osoby młode w wieku 18–29 lat [osoby]</w:t>
            </w:r>
          </w:p>
          <w:p w:rsidR="002F5572" w:rsidRPr="003B5240" w:rsidRDefault="002F5572" w:rsidP="00EF02E5">
            <w:pPr>
              <w:pStyle w:val="Akapitzlist"/>
              <w:numPr>
                <w:ilvl w:val="0"/>
                <w:numId w:val="7"/>
              </w:numPr>
              <w:spacing w:line="240" w:lineRule="auto"/>
              <w:jc w:val="left"/>
              <w:rPr>
                <w:color w:val="000000" w:themeColor="text1"/>
                <w:sz w:val="24"/>
                <w:szCs w:val="24"/>
              </w:rPr>
            </w:pPr>
            <w:r w:rsidRPr="003B5240">
              <w:rPr>
                <w:color w:val="000000" w:themeColor="text1"/>
                <w:sz w:val="24"/>
                <w:szCs w:val="24"/>
              </w:rPr>
              <w:t xml:space="preserve">Liczba osób objętych wsparciem z zakresu </w:t>
            </w:r>
            <w:proofErr w:type="spellStart"/>
            <w:r w:rsidRPr="003B5240">
              <w:rPr>
                <w:color w:val="000000" w:themeColor="text1"/>
                <w:sz w:val="24"/>
                <w:szCs w:val="24"/>
              </w:rPr>
              <w:t>outplacementu</w:t>
            </w:r>
            <w:proofErr w:type="spellEnd"/>
            <w:r w:rsidRPr="003B5240">
              <w:rPr>
                <w:color w:val="000000" w:themeColor="text1"/>
                <w:sz w:val="24"/>
                <w:szCs w:val="24"/>
              </w:rPr>
              <w:t xml:space="preserve"> [osoby]</w:t>
            </w:r>
          </w:p>
        </w:tc>
      </w:tr>
    </w:tbl>
    <w:p w:rsidR="00216B5C" w:rsidRDefault="00216B5C" w:rsidP="00216B5C">
      <w:pPr>
        <w:pStyle w:val="Default"/>
        <w:spacing w:before="120" w:after="120"/>
        <w:jc w:val="both"/>
        <w:rPr>
          <w:rFonts w:asciiTheme="minorHAnsi" w:hAnsiTheme="minorHAnsi" w:cstheme="minorBidi"/>
          <w:color w:val="FFFFFF" w:themeColor="background1"/>
          <w:sz w:val="22"/>
          <w:szCs w:val="22"/>
        </w:rPr>
      </w:pPr>
      <w:r w:rsidRPr="00427AB2">
        <w:rPr>
          <w:rFonts w:asciiTheme="minorHAnsi" w:hAnsiTheme="minorHAnsi" w:cstheme="minorBidi"/>
          <w:color w:val="FFFFFF" w:themeColor="background1"/>
          <w:sz w:val="22"/>
          <w:szCs w:val="22"/>
        </w:rPr>
        <w:t>w</w:t>
      </w:r>
    </w:p>
    <w:p w:rsidR="00216B5C" w:rsidRDefault="00216B5C" w:rsidP="00216B5C">
      <w:pPr>
        <w:pStyle w:val="Default"/>
        <w:spacing w:before="120" w:after="120"/>
        <w:jc w:val="both"/>
        <w:rPr>
          <w:rFonts w:asciiTheme="minorHAnsi" w:hAnsiTheme="minorHAnsi" w:cstheme="minorBidi"/>
          <w:color w:val="FFFFFF" w:themeColor="background1"/>
          <w:sz w:val="22"/>
          <w:szCs w:val="22"/>
        </w:rPr>
      </w:pPr>
      <w:r w:rsidRPr="00C4337B">
        <w:rPr>
          <w:rFonts w:asciiTheme="minorHAnsi" w:hAnsiTheme="minorHAnsi" w:cstheme="minorBidi"/>
          <w:noProof/>
          <w:color w:val="FFFFFF" w:themeColor="background1"/>
          <w:sz w:val="22"/>
          <w:szCs w:val="22"/>
          <w:lang w:eastAsia="pl-PL"/>
        </w:rPr>
        <w:drawing>
          <wp:inline distT="0" distB="0" distL="0" distR="0" wp14:anchorId="7EF73B35" wp14:editId="6DA75A29">
            <wp:extent cx="4554855" cy="1776730"/>
            <wp:effectExtent l="0" t="0" r="0" b="0"/>
            <wp:docPr id="100" name="Obraz 100" descr="Cel strategiczny 2 - Priorytet 8. Turystyka, Kierunek 8.1" title="Cel strategiczny 2 - Priorytet 8. Turysty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BIT\wszyscy\ZIT\Realizacja STRATEGIA ZIT WrOF\Ikony schematów\ikony schematów 2\cel strategiczny 2 priorytet 8-03.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54855" cy="1776730"/>
                    </a:xfrm>
                    <a:prstGeom prst="rect">
                      <a:avLst/>
                    </a:prstGeom>
                    <a:noFill/>
                    <a:ln>
                      <a:noFill/>
                    </a:ln>
                  </pic:spPr>
                </pic:pic>
              </a:graphicData>
            </a:graphic>
          </wp:inline>
        </w:drawing>
      </w:r>
    </w:p>
    <w:p w:rsidR="002F5572" w:rsidRDefault="002F5572" w:rsidP="00216B5C">
      <w:pPr>
        <w:pStyle w:val="Default"/>
        <w:spacing w:before="120" w:after="120"/>
        <w:jc w:val="both"/>
        <w:rPr>
          <w:rFonts w:asciiTheme="minorHAnsi" w:hAnsiTheme="minorHAnsi" w:cstheme="minorBidi"/>
          <w:color w:val="FFFFFF" w:themeColor="background1"/>
          <w:sz w:val="22"/>
          <w:szCs w:val="22"/>
        </w:rPr>
      </w:pPr>
    </w:p>
    <w:p w:rsidR="002F5572" w:rsidRDefault="002F5572" w:rsidP="002F5572">
      <w:pPr>
        <w:pStyle w:val="Default"/>
        <w:spacing w:before="120" w:after="120" w:line="360" w:lineRule="auto"/>
        <w:rPr>
          <w:rFonts w:asciiTheme="minorHAnsi" w:hAnsiTheme="minorHAnsi" w:cstheme="minorBidi"/>
          <w:color w:val="FFFFFF" w:themeColor="background1"/>
          <w:sz w:val="22"/>
          <w:szCs w:val="22"/>
        </w:rPr>
      </w:pPr>
      <w:r w:rsidRPr="00BD1C3D">
        <w:rPr>
          <w:rFonts w:asciiTheme="majorHAnsi" w:eastAsiaTheme="majorEastAsia" w:hAnsiTheme="majorHAnsi" w:cstheme="majorBidi"/>
          <w:b/>
          <w:color w:val="000000" w:themeColor="text1"/>
          <w:sz w:val="36"/>
          <w:szCs w:val="26"/>
        </w:rPr>
        <w:t>Priorytet Turystyka</w:t>
      </w:r>
      <w:r w:rsidRPr="00BD1C3D">
        <w:rPr>
          <w:rFonts w:asciiTheme="minorHAnsi" w:hAnsiTheme="minorHAnsi" w:cstheme="minorBidi"/>
          <w:color w:val="000000" w:themeColor="text1"/>
          <w:szCs w:val="22"/>
        </w:rPr>
        <w:t xml:space="preserve"> wskazuje na konieczność podjęcia działań zmierzających do zwiększenia aktywności podmiotów z sektora okołoturystycznego, m.in. z zakresu usług gastronomicznych, usług noclegowych oraz handlowych, znajdujących się w bezpośrednim sąsiedztwie wspieranych szlaków turystycznych. Wsparcie ma na celu podniesienie i pełne wykorzystanie potencjału turystycznego WrOF i ożywienie po pandemii COVID-19, przy uwzględnieniu koncepcji turystyki zrównoważonej. Wyzwaniem jest stworzenie kompleksowej oferty turystycznej obszaru WrOF, obejmującej wszystkie gminy tworzące ZIT WrOF oraz promocja tej formy spędzania czasu wraz z konkretną ofertą.</w:t>
      </w: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8.1 Promocja obszaru i wzmacnianie roli zrównoważonej turystyki w rozwoju gospodarczym WrOF"/>
        <w:tblDescription w:val="omówienie"/>
      </w:tblPr>
      <w:tblGrid>
        <w:gridCol w:w="1792"/>
        <w:gridCol w:w="7280"/>
      </w:tblGrid>
      <w:tr w:rsidR="002F5572" w:rsidRPr="00BD1C3D" w:rsidTr="00EF02E5">
        <w:trPr>
          <w:trHeight w:val="680"/>
          <w:tblHeader/>
          <w:jc w:val="center"/>
        </w:trPr>
        <w:tc>
          <w:tcPr>
            <w:tcW w:w="1734" w:type="dxa"/>
            <w:shd w:val="clear" w:color="auto" w:fill="FFFFFF" w:themeFill="background1"/>
            <w:vAlign w:val="center"/>
          </w:tcPr>
          <w:p w:rsidR="002F5572" w:rsidRPr="00BD1C3D" w:rsidRDefault="002F5572" w:rsidP="00EF02E5">
            <w:pPr>
              <w:autoSpaceDE w:val="0"/>
              <w:autoSpaceDN w:val="0"/>
              <w:adjustRightInd w:val="0"/>
              <w:spacing w:line="240" w:lineRule="auto"/>
              <w:rPr>
                <w:b/>
                <w:bCs/>
                <w:color w:val="000000" w:themeColor="text1"/>
                <w:sz w:val="24"/>
                <w:szCs w:val="24"/>
              </w:rPr>
            </w:pPr>
            <w:r>
              <w:rPr>
                <w:b/>
                <w:bCs/>
                <w:color w:val="000000" w:themeColor="text1"/>
                <w:sz w:val="24"/>
                <w:szCs w:val="24"/>
              </w:rPr>
              <w:t>Kierunek 8.1</w:t>
            </w:r>
          </w:p>
        </w:tc>
        <w:tc>
          <w:tcPr>
            <w:tcW w:w="7338" w:type="dxa"/>
            <w:shd w:val="clear" w:color="auto" w:fill="DCEDF8"/>
            <w:vAlign w:val="center"/>
          </w:tcPr>
          <w:p w:rsidR="002F5572" w:rsidRPr="00BD1C3D" w:rsidRDefault="002F5572" w:rsidP="00EF02E5">
            <w:pPr>
              <w:autoSpaceDE w:val="0"/>
              <w:autoSpaceDN w:val="0"/>
              <w:adjustRightInd w:val="0"/>
              <w:spacing w:line="240" w:lineRule="auto"/>
              <w:jc w:val="left"/>
              <w:rPr>
                <w:b/>
                <w:bCs/>
                <w:color w:val="000000" w:themeColor="text1"/>
                <w:sz w:val="24"/>
                <w:szCs w:val="24"/>
              </w:rPr>
            </w:pPr>
            <w:r w:rsidRPr="00BD1C3D">
              <w:rPr>
                <w:b/>
                <w:bCs/>
                <w:color w:val="000000" w:themeColor="text1"/>
                <w:sz w:val="24"/>
                <w:szCs w:val="24"/>
              </w:rPr>
              <w:t>Promocja obszaru i wzmacnianie roli zrównoważonej turystyki w rozwoju gospodarczym WrOF</w:t>
            </w:r>
          </w:p>
        </w:tc>
      </w:tr>
      <w:tr w:rsidR="002F5572" w:rsidRPr="00BD1C3D" w:rsidTr="00EF02E5">
        <w:trPr>
          <w:trHeight w:val="907"/>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 xml:space="preserve">Charakterystyka działania: </w:t>
            </w:r>
          </w:p>
        </w:tc>
        <w:tc>
          <w:tcPr>
            <w:tcW w:w="7338" w:type="dxa"/>
            <w:vAlign w:val="center"/>
          </w:tcPr>
          <w:p w:rsidR="002F5572" w:rsidRPr="00BD1C3D" w:rsidRDefault="002F5572" w:rsidP="00EF02E5">
            <w:pPr>
              <w:autoSpaceDE w:val="0"/>
              <w:autoSpaceDN w:val="0"/>
              <w:adjustRightInd w:val="0"/>
              <w:spacing w:line="240" w:lineRule="auto"/>
              <w:jc w:val="left"/>
              <w:rPr>
                <w:color w:val="000000" w:themeColor="text1"/>
                <w:sz w:val="24"/>
                <w:szCs w:val="24"/>
              </w:rPr>
            </w:pPr>
            <w:r w:rsidRPr="00BD1C3D">
              <w:rPr>
                <w:color w:val="000000" w:themeColor="text1"/>
                <w:sz w:val="24"/>
                <w:szCs w:val="24"/>
              </w:rPr>
              <w:t xml:space="preserve">Wykorzystanie posiadanych potencjałów wraz z przygotowaniem atrakcyjnej oferty i aktywną promocją obszaru przyczyni się do dalszego wzrostu gospodarczego. Konieczna jest odbudowa oferty turystycznej po pandemii </w:t>
            </w:r>
            <w:proofErr w:type="spellStart"/>
            <w:r w:rsidRPr="00BD1C3D">
              <w:rPr>
                <w:color w:val="000000" w:themeColor="text1"/>
                <w:sz w:val="24"/>
                <w:szCs w:val="24"/>
              </w:rPr>
              <w:t>koronawirusa</w:t>
            </w:r>
            <w:proofErr w:type="spellEnd"/>
            <w:r w:rsidRPr="00BD1C3D">
              <w:rPr>
                <w:color w:val="000000" w:themeColor="text1"/>
                <w:sz w:val="24"/>
                <w:szCs w:val="24"/>
              </w:rPr>
              <w:t>, m.in. poprzez prowadzenie działań promujących zrównoważoną turystykę, czy też tworzenie szlaków turystycznych.</w:t>
            </w:r>
          </w:p>
        </w:tc>
      </w:tr>
      <w:tr w:rsidR="002F5572" w:rsidRPr="00BD1C3D" w:rsidTr="00EF02E5">
        <w:trPr>
          <w:trHeight w:val="907"/>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 xml:space="preserve">Przykładowe typy przedsięwzięć / projektów / zadań przewidzianych potencjalnie do realizacji </w:t>
            </w:r>
          </w:p>
        </w:tc>
        <w:tc>
          <w:tcPr>
            <w:tcW w:w="7338" w:type="dxa"/>
            <w:vAlign w:val="center"/>
          </w:tcPr>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Zintegrowana promocja obszaru WrOF;</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Rozwój i rozbudowa szlaków turystycznych na terenie WrOF;</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 xml:space="preserve">Rozbudowa infrastruktury rowerowej (w tym pieszo-rowerowej) </w:t>
            </w:r>
            <w:r w:rsidRPr="00BD1C3D">
              <w:rPr>
                <w:color w:val="000000" w:themeColor="text1"/>
                <w:sz w:val="24"/>
                <w:szCs w:val="24"/>
              </w:rPr>
              <w:br/>
              <w:t>oraz infrastruktury towarzyszącej;</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Tworzenie miejsc spotkań i integracji społecznej na obszarze WrOF;</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Wzmocnienie potencjału turystycznego w oparciu o zabytki znajdujące się na różnego rodzaju listach, ewidencjach i rejestrach (np. liście UNESCO, ewidencjach zabytków ruchomych i nieruchomych).</w:t>
            </w:r>
          </w:p>
        </w:tc>
      </w:tr>
      <w:tr w:rsidR="002F5572" w:rsidRPr="00BD1C3D" w:rsidTr="00EF02E5">
        <w:trPr>
          <w:trHeight w:val="907"/>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Interesariusze / potencjalni partnerzy</w:t>
            </w:r>
          </w:p>
        </w:tc>
        <w:tc>
          <w:tcPr>
            <w:tcW w:w="7338" w:type="dxa"/>
            <w:vAlign w:val="center"/>
          </w:tcPr>
          <w:p w:rsidR="002F5572" w:rsidRPr="00BD1C3D" w:rsidRDefault="002F5572" w:rsidP="00EF02E5">
            <w:pPr>
              <w:autoSpaceDE w:val="0"/>
              <w:autoSpaceDN w:val="0"/>
              <w:adjustRightInd w:val="0"/>
              <w:spacing w:line="240" w:lineRule="auto"/>
              <w:jc w:val="left"/>
              <w:rPr>
                <w:color w:val="000000" w:themeColor="text1"/>
                <w:sz w:val="24"/>
                <w:szCs w:val="24"/>
              </w:rPr>
            </w:pPr>
            <w:r w:rsidRPr="00BD1C3D">
              <w:rPr>
                <w:color w:val="000000" w:themeColor="text1"/>
                <w:sz w:val="24"/>
                <w:szCs w:val="24"/>
              </w:rPr>
              <w:t>gminy WrOF, mieszkańcy WrOF, placówki kultury, podmioty świadczące usługi turystyczne</w:t>
            </w:r>
          </w:p>
        </w:tc>
      </w:tr>
      <w:tr w:rsidR="002F5572" w:rsidRPr="00BD1C3D" w:rsidTr="00EF02E5">
        <w:trPr>
          <w:trHeight w:val="510"/>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Okres realizacji:</w:t>
            </w:r>
          </w:p>
        </w:tc>
        <w:tc>
          <w:tcPr>
            <w:tcW w:w="7338" w:type="dxa"/>
            <w:vAlign w:val="center"/>
          </w:tcPr>
          <w:p w:rsidR="002F5572" w:rsidRPr="00BD1C3D" w:rsidRDefault="002F5572" w:rsidP="00EF02E5">
            <w:pPr>
              <w:autoSpaceDE w:val="0"/>
              <w:autoSpaceDN w:val="0"/>
              <w:adjustRightInd w:val="0"/>
              <w:spacing w:line="240" w:lineRule="auto"/>
              <w:jc w:val="left"/>
              <w:rPr>
                <w:color w:val="000000" w:themeColor="text1"/>
                <w:sz w:val="24"/>
                <w:szCs w:val="24"/>
              </w:rPr>
            </w:pPr>
            <w:r w:rsidRPr="00BD1C3D">
              <w:rPr>
                <w:color w:val="000000" w:themeColor="text1"/>
                <w:sz w:val="24"/>
                <w:szCs w:val="24"/>
              </w:rPr>
              <w:t>2021-2027 (n+2)</w:t>
            </w:r>
          </w:p>
        </w:tc>
      </w:tr>
      <w:tr w:rsidR="002F5572" w:rsidRPr="00BD1C3D" w:rsidTr="00EF02E5">
        <w:trPr>
          <w:trHeight w:val="670"/>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 xml:space="preserve">Potencjalne źródła finansowania: </w:t>
            </w:r>
          </w:p>
        </w:tc>
        <w:tc>
          <w:tcPr>
            <w:tcW w:w="7338" w:type="dxa"/>
            <w:vAlign w:val="center"/>
          </w:tcPr>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Fundusze Europejskie dla Dolnego Śląska 2021-2027</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Fundusze Europejskie na Infrastrukturę, Klimat, Środowisko (</w:t>
            </w:r>
            <w:proofErr w:type="spellStart"/>
            <w:r w:rsidRPr="00BD1C3D">
              <w:rPr>
                <w:color w:val="000000" w:themeColor="text1"/>
                <w:sz w:val="24"/>
                <w:szCs w:val="24"/>
              </w:rPr>
              <w:t>FEnIKS</w:t>
            </w:r>
            <w:proofErr w:type="spellEnd"/>
            <w:r w:rsidRPr="00BD1C3D">
              <w:rPr>
                <w:color w:val="000000" w:themeColor="text1"/>
                <w:sz w:val="24"/>
                <w:szCs w:val="24"/>
              </w:rPr>
              <w:t xml:space="preserve"> 2021-2027)</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Krajowy Plan Odbudowy (KPO)</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inne środki zewnętrzne, budżet państwa, środki własne gminy</w:t>
            </w:r>
          </w:p>
        </w:tc>
      </w:tr>
      <w:tr w:rsidR="002F5572" w:rsidRPr="00BD1C3D" w:rsidTr="00EF02E5">
        <w:trPr>
          <w:trHeight w:val="624"/>
          <w:jc w:val="center"/>
        </w:trPr>
        <w:tc>
          <w:tcPr>
            <w:tcW w:w="1734" w:type="dxa"/>
            <w:shd w:val="clear" w:color="auto" w:fill="DCEDF8"/>
            <w:vAlign w:val="center"/>
          </w:tcPr>
          <w:p w:rsidR="002F5572" w:rsidRPr="00BD1C3D" w:rsidRDefault="002F5572" w:rsidP="00EF02E5">
            <w:pPr>
              <w:autoSpaceDE w:val="0"/>
              <w:autoSpaceDN w:val="0"/>
              <w:adjustRightInd w:val="0"/>
              <w:spacing w:line="240" w:lineRule="auto"/>
              <w:jc w:val="right"/>
              <w:rPr>
                <w:color w:val="000000" w:themeColor="text1"/>
                <w:sz w:val="24"/>
                <w:szCs w:val="24"/>
              </w:rPr>
            </w:pPr>
            <w:r w:rsidRPr="00BD1C3D">
              <w:rPr>
                <w:color w:val="000000" w:themeColor="text1"/>
                <w:sz w:val="24"/>
                <w:szCs w:val="24"/>
              </w:rPr>
              <w:t xml:space="preserve">Proponowane wskaźniki monitorujące realizację kierunku działania: </w:t>
            </w:r>
          </w:p>
        </w:tc>
        <w:tc>
          <w:tcPr>
            <w:tcW w:w="7338" w:type="dxa"/>
            <w:vAlign w:val="center"/>
          </w:tcPr>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Liczba obiektów kulturalnych i turystycznych objętych wsparciem [szt.]</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Długość wspartych szlaków turystycznych [km]</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Liczba osób odwiedzających obiekty kulturalne i turystyczne objęte wsparciem [osoby odwiedzające/rok]</w:t>
            </w:r>
          </w:p>
          <w:p w:rsidR="002F5572" w:rsidRPr="00BD1C3D" w:rsidRDefault="002F5572" w:rsidP="00EF02E5">
            <w:pPr>
              <w:pStyle w:val="Akapitzlist"/>
              <w:numPr>
                <w:ilvl w:val="0"/>
                <w:numId w:val="7"/>
              </w:numPr>
              <w:spacing w:line="240" w:lineRule="auto"/>
              <w:jc w:val="left"/>
              <w:rPr>
                <w:color w:val="000000" w:themeColor="text1"/>
                <w:sz w:val="24"/>
                <w:szCs w:val="24"/>
              </w:rPr>
            </w:pPr>
            <w:r w:rsidRPr="00BD1C3D">
              <w:rPr>
                <w:color w:val="000000" w:themeColor="text1"/>
                <w:sz w:val="24"/>
                <w:szCs w:val="24"/>
              </w:rPr>
              <w:t>Wspierana infrastruktura rowerowa [km]</w:t>
            </w:r>
          </w:p>
        </w:tc>
      </w:tr>
    </w:tbl>
    <w:p w:rsidR="00A1431D" w:rsidRDefault="00A1431D" w:rsidP="00216B5C">
      <w:pPr>
        <w:pStyle w:val="Default"/>
        <w:spacing w:before="120" w:after="120"/>
        <w:jc w:val="both"/>
        <w:rPr>
          <w:rFonts w:asciiTheme="minorHAnsi" w:hAnsiTheme="minorHAnsi" w:cstheme="minorBidi"/>
          <w:color w:val="FFFFFF" w:themeColor="background1"/>
          <w:sz w:val="22"/>
          <w:szCs w:val="22"/>
        </w:rPr>
      </w:pPr>
      <w:r>
        <w:rPr>
          <w:rFonts w:asciiTheme="minorHAnsi" w:hAnsiTheme="minorHAnsi" w:cstheme="minorBidi"/>
          <w:color w:val="FFFFFF" w:themeColor="background1"/>
          <w:sz w:val="22"/>
          <w:szCs w:val="22"/>
        </w:rPr>
        <w:br w:type="page"/>
      </w:r>
    </w:p>
    <w:p w:rsidR="00DF0395" w:rsidRPr="00DF0395" w:rsidRDefault="00216B5C" w:rsidP="00DF0395">
      <w:pPr>
        <w:pStyle w:val="Poprawka"/>
        <w:spacing w:before="120" w:after="120" w:line="360" w:lineRule="auto"/>
        <w:jc w:val="both"/>
        <w:rPr>
          <w:rFonts w:asciiTheme="majorHAnsi" w:eastAsiaTheme="majorEastAsia" w:hAnsiTheme="majorHAnsi" w:cstheme="majorBidi"/>
          <w:b/>
          <w:color w:val="000000" w:themeColor="text1"/>
          <w:sz w:val="2"/>
          <w:szCs w:val="26"/>
        </w:rPr>
      </w:pPr>
      <w:r w:rsidRPr="00DF0395">
        <w:rPr>
          <w:rFonts w:asciiTheme="majorHAnsi" w:eastAsiaTheme="majorEastAsia" w:hAnsiTheme="majorHAnsi" w:cstheme="majorBidi"/>
          <w:b/>
          <w:noProof/>
          <w:color w:val="92D050"/>
          <w:sz w:val="2"/>
          <w:szCs w:val="26"/>
          <w:lang w:eastAsia="pl-PL"/>
        </w:rPr>
        <w:drawing>
          <wp:inline distT="0" distB="0" distL="0" distR="0" wp14:anchorId="483AC51D" wp14:editId="11A8CADF">
            <wp:extent cx="1817370" cy="2785745"/>
            <wp:effectExtent l="0" t="0" r="0" b="0"/>
            <wp:docPr id="105" name="Obraz 105" descr="cel strategiczny 3. OChronoa środowiska naturalnego i adaptacja WrOF do zmiany klimatu" title="cel strategiczn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BIT\wszyscy\ZIT\Realizacja STRATEGIA ZIT WrOF\Ikony schematów\ikony schematów 2\cel strategiczny 3-07.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17370" cy="2785745"/>
                    </a:xfrm>
                    <a:prstGeom prst="rect">
                      <a:avLst/>
                    </a:prstGeom>
                    <a:noFill/>
                    <a:ln>
                      <a:noFill/>
                    </a:ln>
                  </pic:spPr>
                </pic:pic>
              </a:graphicData>
            </a:graphic>
          </wp:inline>
        </w:drawing>
      </w:r>
    </w:p>
    <w:p w:rsidR="00216B5C" w:rsidRDefault="00216B5C" w:rsidP="00320A03">
      <w:pPr>
        <w:pStyle w:val="Poprawka"/>
        <w:spacing w:before="120" w:line="336" w:lineRule="auto"/>
        <w:rPr>
          <w:color w:val="000000" w:themeColor="text1"/>
          <w:sz w:val="24"/>
        </w:rPr>
      </w:pPr>
      <w:r w:rsidRPr="00DF0395">
        <w:rPr>
          <w:rFonts w:asciiTheme="majorHAnsi" w:eastAsiaTheme="majorEastAsia" w:hAnsiTheme="majorHAnsi" w:cstheme="majorBidi"/>
          <w:b/>
          <w:color w:val="000000" w:themeColor="text1"/>
          <w:sz w:val="32"/>
          <w:szCs w:val="26"/>
        </w:rPr>
        <w:t>Wymiar przestrzenny</w:t>
      </w:r>
      <w:r w:rsidR="0011159C" w:rsidRPr="00DF0395">
        <w:rPr>
          <w:rFonts w:asciiTheme="majorHAnsi" w:eastAsiaTheme="majorEastAsia" w:hAnsiTheme="majorHAnsi" w:cstheme="majorBidi"/>
          <w:b/>
          <w:color w:val="000000" w:themeColor="text1"/>
          <w:sz w:val="32"/>
          <w:szCs w:val="26"/>
        </w:rPr>
        <w:t xml:space="preserve"> </w:t>
      </w:r>
      <w:r w:rsidRPr="00DF0395">
        <w:rPr>
          <w:color w:val="000000" w:themeColor="text1"/>
          <w:sz w:val="24"/>
        </w:rPr>
        <w:t>dotyczy kwestii</w:t>
      </w:r>
      <w:r w:rsidR="001A5065" w:rsidRPr="00DF0395">
        <w:rPr>
          <w:color w:val="000000" w:themeColor="text1"/>
          <w:sz w:val="24"/>
        </w:rPr>
        <w:t xml:space="preserve"> związanych ze </w:t>
      </w:r>
      <w:r w:rsidRPr="00DF0395">
        <w:rPr>
          <w:color w:val="000000" w:themeColor="text1"/>
          <w:sz w:val="24"/>
        </w:rPr>
        <w:t xml:space="preserve">środowiskiem </w:t>
      </w:r>
      <w:r w:rsidR="002E617D" w:rsidRPr="00DF0395">
        <w:rPr>
          <w:color w:val="000000" w:themeColor="text1"/>
          <w:sz w:val="24"/>
        </w:rPr>
        <w:t xml:space="preserve">naturalnym oraz integracją i rozwojem terytorialnym WrOF. </w:t>
      </w:r>
      <w:r w:rsidRPr="00DF0395">
        <w:rPr>
          <w:color w:val="000000" w:themeColor="text1"/>
          <w:sz w:val="24"/>
        </w:rPr>
        <w:t>W </w:t>
      </w:r>
      <w:r w:rsidR="001A5065" w:rsidRPr="00DF0395">
        <w:rPr>
          <w:color w:val="000000" w:themeColor="text1"/>
          <w:sz w:val="24"/>
        </w:rPr>
        <w:t>ramach celu 3. </w:t>
      </w:r>
      <w:r w:rsidRPr="00DF0395">
        <w:rPr>
          <w:color w:val="000000" w:themeColor="text1"/>
          <w:sz w:val="24"/>
        </w:rPr>
        <w:t>wyróżniono pięć priorytetów, które skupiają się na aktywnej ochronie środowiska, poprawie jego jakości, zwiększaniu odporności na zmiany klimatu oraz podkreślają rolę zrównoważonej mobilności mie</w:t>
      </w:r>
      <w:r w:rsidR="001A5065" w:rsidRPr="00DF0395">
        <w:rPr>
          <w:color w:val="000000" w:themeColor="text1"/>
          <w:sz w:val="24"/>
        </w:rPr>
        <w:t>jskiej w </w:t>
      </w:r>
      <w:r w:rsidRPr="00DF0395">
        <w:rPr>
          <w:color w:val="000000" w:themeColor="text1"/>
          <w:sz w:val="24"/>
        </w:rPr>
        <w:t>rozwoju obszaru WrOF.</w:t>
      </w:r>
    </w:p>
    <w:tbl>
      <w:tblPr>
        <w:tblStyle w:val="Tabela-Siatka"/>
        <w:tblW w:w="9022" w:type="dxa"/>
        <w:tblInd w:w="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yzwania w ramach trzeciego celu strategicznego "/>
        <w:tblDescription w:val="Wyzwania w ramach trzeciego celu strategicznego "/>
      </w:tblPr>
      <w:tblGrid>
        <w:gridCol w:w="696"/>
        <w:gridCol w:w="8326"/>
      </w:tblGrid>
      <w:tr w:rsidR="00F25E70" w:rsidRPr="001F4CA8" w:rsidTr="00F25E70">
        <w:trPr>
          <w:trHeight w:val="510"/>
          <w:tblHeader/>
        </w:trPr>
        <w:tc>
          <w:tcPr>
            <w:tcW w:w="696" w:type="dxa"/>
            <w:shd w:val="clear" w:color="auto" w:fill="F1FADE"/>
            <w:vAlign w:val="center"/>
          </w:tcPr>
          <w:p w:rsidR="00F25E70" w:rsidRPr="001F4CA8" w:rsidRDefault="00F25E70" w:rsidP="000F745F">
            <w:pPr>
              <w:autoSpaceDE w:val="0"/>
              <w:autoSpaceDN w:val="0"/>
              <w:adjustRightInd w:val="0"/>
              <w:spacing w:line="240" w:lineRule="auto"/>
              <w:ind w:left="59"/>
              <w:jc w:val="left"/>
              <w:rPr>
                <w:color w:val="000000" w:themeColor="text1"/>
                <w:sz w:val="28"/>
              </w:rPr>
            </w:pPr>
            <w:proofErr w:type="spellStart"/>
            <w:r>
              <w:rPr>
                <w:color w:val="000000" w:themeColor="text1"/>
                <w:sz w:val="28"/>
              </w:rPr>
              <w:t>lp</w:t>
            </w:r>
            <w:proofErr w:type="spellEnd"/>
          </w:p>
        </w:tc>
        <w:tc>
          <w:tcPr>
            <w:tcW w:w="8326" w:type="dxa"/>
            <w:shd w:val="clear" w:color="auto" w:fill="F1FADE"/>
            <w:vAlign w:val="center"/>
          </w:tcPr>
          <w:p w:rsidR="00F25E70" w:rsidRPr="001F4CA8" w:rsidRDefault="00F25E70" w:rsidP="000F745F">
            <w:pPr>
              <w:autoSpaceDE w:val="0"/>
              <w:autoSpaceDN w:val="0"/>
              <w:adjustRightInd w:val="0"/>
              <w:spacing w:line="240" w:lineRule="auto"/>
              <w:ind w:left="59"/>
              <w:jc w:val="left"/>
              <w:rPr>
                <w:color w:val="000000" w:themeColor="text1"/>
                <w:sz w:val="28"/>
              </w:rPr>
            </w:pPr>
            <w:r w:rsidRPr="001F4CA8">
              <w:rPr>
                <w:rFonts w:asciiTheme="majorHAnsi" w:eastAsiaTheme="majorEastAsia" w:hAnsiTheme="majorHAnsi" w:cstheme="majorBidi"/>
                <w:b/>
                <w:color w:val="000000" w:themeColor="text1"/>
                <w:sz w:val="28"/>
                <w:szCs w:val="26"/>
              </w:rPr>
              <w:t>Wyzwania w ramach trzeciego celu strategicznego to:</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1</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Transformacja obszaru w kierunku gospodarki o obiegu zamkniętym.</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2</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Wspieranie procesu transformacji energetycznej na obszarze WrOF.</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3</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Inwestycje w podnoszenie efektywności energetycznej budynków.</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4</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Poprawa jakości powietrza.</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5</w:t>
            </w:r>
          </w:p>
        </w:tc>
        <w:tc>
          <w:tcPr>
            <w:tcW w:w="8326" w:type="dxa"/>
            <w:vAlign w:val="center"/>
          </w:tcPr>
          <w:p w:rsidR="00DF0395" w:rsidRPr="00DF0395" w:rsidRDefault="00DF0395" w:rsidP="00DF0395">
            <w:pPr>
              <w:pStyle w:val="Default"/>
              <w:rPr>
                <w:color w:val="auto"/>
                <w:szCs w:val="22"/>
              </w:rPr>
            </w:pPr>
            <w:r w:rsidRPr="00DF0395">
              <w:rPr>
                <w:color w:val="auto"/>
                <w:szCs w:val="22"/>
              </w:rPr>
              <w:t>Zapewnienie dostępu do wody pitnej oraz poprawa jakości wód, w tym poprzez rozwój gospodarki wodno-ściekowej.</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6</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Dbałość o ochronę zasobów przyrodniczych i bioróżnorodność, w tym w szczególności wzmocnienie ochrony gatunków oraz siedlisk rzadkich i chronionych oraz przeciwdziałanie antropopresji i negatywnym skutkom oddziaływania człowieka na zasoby przyrodnicze.</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7</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Racjonalne udostępnianie terenów przyrodniczych w celach edukacyjnych, turystycznych i rekreacyjnych.</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8</w:t>
            </w:r>
          </w:p>
        </w:tc>
        <w:tc>
          <w:tcPr>
            <w:tcW w:w="8326" w:type="dxa"/>
            <w:vAlign w:val="center"/>
          </w:tcPr>
          <w:p w:rsidR="00DF0395" w:rsidRPr="00DF0395" w:rsidRDefault="00DF0395" w:rsidP="00DF0395">
            <w:pPr>
              <w:pStyle w:val="Default"/>
              <w:rPr>
                <w:color w:val="auto"/>
                <w:szCs w:val="22"/>
              </w:rPr>
            </w:pPr>
            <w:r w:rsidRPr="00DF0395">
              <w:rPr>
                <w:color w:val="auto"/>
                <w:szCs w:val="22"/>
              </w:rPr>
              <w:t>Rozwój zielonej i niebieskiej infrastruktury, z uwzględnieniem małej retencji, w tym na obszarach miejskich.</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9</w:t>
            </w:r>
          </w:p>
        </w:tc>
        <w:tc>
          <w:tcPr>
            <w:tcW w:w="8326" w:type="dxa"/>
            <w:vAlign w:val="center"/>
          </w:tcPr>
          <w:p w:rsidR="00DF0395" w:rsidRPr="00DF0395" w:rsidRDefault="00DF0395" w:rsidP="00DF0395">
            <w:pPr>
              <w:pStyle w:val="Default"/>
              <w:rPr>
                <w:color w:val="auto"/>
                <w:szCs w:val="22"/>
              </w:rPr>
            </w:pPr>
            <w:r w:rsidRPr="00DF0395">
              <w:rPr>
                <w:color w:val="auto"/>
                <w:szCs w:val="22"/>
              </w:rPr>
              <w:t>Działania adaptacyjne do zmian klimatu, wraz z uwzględnieniem działań edukacyjnych.</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10</w:t>
            </w:r>
          </w:p>
        </w:tc>
        <w:tc>
          <w:tcPr>
            <w:tcW w:w="8326" w:type="dxa"/>
            <w:vAlign w:val="center"/>
          </w:tcPr>
          <w:p w:rsidR="00DF0395" w:rsidRPr="00DF0395" w:rsidRDefault="00DF0395" w:rsidP="00DF0395">
            <w:pPr>
              <w:pStyle w:val="Default"/>
              <w:rPr>
                <w:color w:val="auto"/>
                <w:szCs w:val="22"/>
              </w:rPr>
            </w:pPr>
            <w:r w:rsidRPr="00DF0395">
              <w:rPr>
                <w:color w:val="auto"/>
                <w:szCs w:val="22"/>
              </w:rPr>
              <w:t>Ograniczanie ryzyka wystąpienia klęsk żywiołowych wraz z systemami monitoringu oraz ostrzegania.</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11</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Stworzenie warunków dla zrównoważonej multimodalnej mobilności miejskiej opartej na  zintegrowanych rozwiązaniach komunikacyjnych.</w:t>
            </w:r>
          </w:p>
        </w:tc>
      </w:tr>
      <w:tr w:rsidR="00DF0395" w:rsidRPr="001F4CA8" w:rsidTr="00174021">
        <w:trPr>
          <w:trHeight w:val="113"/>
        </w:trPr>
        <w:tc>
          <w:tcPr>
            <w:tcW w:w="696" w:type="dxa"/>
            <w:shd w:val="clear" w:color="auto" w:fill="F1FADE"/>
            <w:vAlign w:val="center"/>
          </w:tcPr>
          <w:p w:rsidR="00DF0395" w:rsidRPr="001F4CA8" w:rsidRDefault="00DF0395" w:rsidP="00DF0395">
            <w:pPr>
              <w:autoSpaceDE w:val="0"/>
              <w:autoSpaceDN w:val="0"/>
              <w:adjustRightInd w:val="0"/>
              <w:spacing w:line="240" w:lineRule="auto"/>
              <w:jc w:val="center"/>
              <w:rPr>
                <w:color w:val="000000" w:themeColor="text1"/>
              </w:rPr>
            </w:pPr>
            <w:r w:rsidRPr="001F4CA8">
              <w:rPr>
                <w:color w:val="000000" w:themeColor="text1"/>
              </w:rPr>
              <w:t>12</w:t>
            </w:r>
          </w:p>
        </w:tc>
        <w:tc>
          <w:tcPr>
            <w:tcW w:w="8326" w:type="dxa"/>
            <w:vAlign w:val="center"/>
          </w:tcPr>
          <w:p w:rsidR="00DF0395" w:rsidRPr="00DF0395" w:rsidRDefault="00DF0395" w:rsidP="00DF0395">
            <w:pPr>
              <w:autoSpaceDE w:val="0"/>
              <w:autoSpaceDN w:val="0"/>
              <w:adjustRightInd w:val="0"/>
              <w:spacing w:line="240" w:lineRule="auto"/>
              <w:jc w:val="left"/>
              <w:rPr>
                <w:sz w:val="24"/>
              </w:rPr>
            </w:pPr>
            <w:r w:rsidRPr="00DF0395">
              <w:rPr>
                <w:sz w:val="24"/>
              </w:rPr>
              <w:t>Optymalizowanie rozwiązań transportowych, jako kluczowych w kontekście niskoemisyjności gospodarki, wdrażania paliw alternatywnych.</w:t>
            </w:r>
          </w:p>
        </w:tc>
      </w:tr>
    </w:tbl>
    <w:p w:rsidR="00173E0D" w:rsidRPr="00DF0395" w:rsidRDefault="00DF0395" w:rsidP="00DF0395">
      <w:pPr>
        <w:pStyle w:val="Default"/>
        <w:spacing w:before="120" w:after="120" w:line="360" w:lineRule="auto"/>
        <w:jc w:val="both"/>
        <w:rPr>
          <w:b/>
        </w:rPr>
      </w:pPr>
      <w:r w:rsidRPr="00DF0395">
        <w:rPr>
          <w:b/>
        </w:rPr>
        <w:t>Schemat wymiaru przestrzennego wraz z celem strategicznym, priorytetami i kierunkami działań</w:t>
      </w:r>
      <w:r w:rsidR="00173E0D" w:rsidRPr="00C4337B">
        <w:rPr>
          <w:noProof/>
          <w:lang w:eastAsia="pl-PL"/>
        </w:rPr>
        <w:drawing>
          <wp:inline distT="0" distB="0" distL="0" distR="0" wp14:anchorId="137B7E9E" wp14:editId="03B53052">
            <wp:extent cx="5760000" cy="7657693"/>
            <wp:effectExtent l="0" t="0" r="0" b="635"/>
            <wp:docPr id="106" name="Obraz 106" descr="Wymiar przestrzenny - Cel strategiczny 3. Priorytet 9. Gospodarka o obiegu zamkniętym, Priorytet 10. Transformacja energetyczna, Priorytet 11. Gospodarka niskoemisyjna, Priorytet 12. Ochrona zasobów środowiska i jego bioróżnorodności, Priorytet 13. Zrównoważona mobilność  wraz z kierunkami działań " title="Wymiar przestrzenny - Cel strategiczn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BIT\wszyscy\ZIT\Realizacja STRATEGIA ZIT WrOF\Ikony schematów\ikony schematów 2\cel strategiczny 3 plus rozgałęzienie-08.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000" cy="7657693"/>
                    </a:xfrm>
                    <a:prstGeom prst="rect">
                      <a:avLst/>
                    </a:prstGeom>
                    <a:noFill/>
                    <a:ln>
                      <a:noFill/>
                    </a:ln>
                  </pic:spPr>
                </pic:pic>
              </a:graphicData>
            </a:graphic>
          </wp:inline>
        </w:drawing>
      </w:r>
      <w:r w:rsidR="00173E0D">
        <w:br w:type="page"/>
      </w:r>
    </w:p>
    <w:p w:rsidR="00216B5C" w:rsidRPr="002F5572" w:rsidRDefault="00216B5C" w:rsidP="00216B5C">
      <w:pPr>
        <w:pStyle w:val="Default"/>
        <w:spacing w:before="120" w:after="120"/>
        <w:jc w:val="both"/>
        <w:rPr>
          <w:sz w:val="16"/>
        </w:rPr>
      </w:pPr>
      <w:r w:rsidRPr="003734B6">
        <w:rPr>
          <w:noProof/>
          <w:lang w:eastAsia="pl-PL"/>
        </w:rPr>
        <w:drawing>
          <wp:inline distT="0" distB="0" distL="0" distR="0" wp14:anchorId="590B60C0" wp14:editId="248B90F9">
            <wp:extent cx="4619625" cy="1790700"/>
            <wp:effectExtent l="0" t="0" r="9525" b="0"/>
            <wp:docPr id="357" name="Obraz 357" descr="Cel strategiczny 3. - Priorytet 9. Gospodarka o obiegu zamkniętym, Kierunek działania 9.1" title="Cel strategiczny 3. - Prioryte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BIT\wszyscy\ZIT\Realizacja STRATEGIA ZIT WrOF\Ikony schematów\cel strategiczny 3. Priorytet 9.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19625" cy="1790700"/>
                    </a:xfrm>
                    <a:prstGeom prst="rect">
                      <a:avLst/>
                    </a:prstGeom>
                    <a:noFill/>
                    <a:ln>
                      <a:noFill/>
                    </a:ln>
                  </pic:spPr>
                </pic:pic>
              </a:graphicData>
            </a:graphic>
          </wp:inline>
        </w:drawing>
      </w:r>
    </w:p>
    <w:p w:rsidR="002F5572" w:rsidRPr="00DF0395" w:rsidRDefault="002F5572" w:rsidP="002F5572">
      <w:pPr>
        <w:pStyle w:val="Default"/>
        <w:spacing w:before="120" w:after="120" w:line="360" w:lineRule="auto"/>
        <w:rPr>
          <w:color w:val="000000" w:themeColor="text1"/>
        </w:rPr>
      </w:pPr>
      <w:r w:rsidRPr="00DF0395">
        <w:rPr>
          <w:rFonts w:asciiTheme="majorHAnsi" w:eastAsiaTheme="majorEastAsia" w:hAnsiTheme="majorHAnsi" w:cstheme="majorBidi"/>
          <w:b/>
          <w:color w:val="000000" w:themeColor="text1"/>
          <w:sz w:val="32"/>
        </w:rPr>
        <w:t xml:space="preserve">Priorytet Gospodarka o obiegu zamkniętym </w:t>
      </w:r>
      <w:r w:rsidRPr="00DF0395">
        <w:rPr>
          <w:color w:val="000000" w:themeColor="text1"/>
        </w:rPr>
        <w:t>wynika z potrzeb gmin ZIT WrOF oraz ich mieszkańców, dla których kwestie ochrony środowiska są niezwykle istotne. Priorytet związany jest z działaniami zmierzającymi w kierunku gospodarki cyrkularnej, której celem jest zminimalizowanie zużycia surowców, a przede wszystkim zapobieganie powstawaniu odpadów. Poprzez gospodarkę o obiegu zamkniętym dąży się do racjonalnego wykorzystania zasobów i ograniczenia negatywnego oddziaływania na środowisko, w tym zmniejszenia emisji gazów cieplarnianych oraz redukcji produkcji odpadów i energii. Priorytet jest zgodny z komunikatem Komisji Europejskiej z 2015 r. pn. „</w:t>
      </w:r>
      <w:r w:rsidRPr="00DF0395">
        <w:rPr>
          <w:rFonts w:eastAsia="Times New Roman" w:cs="Arial"/>
          <w:bCs/>
          <w:color w:val="000000" w:themeColor="text1"/>
          <w:lang w:eastAsia="pl-PL"/>
        </w:rPr>
        <w:t>Zamknięcie obiegu – plan działania UE dotyczący gospodarki o obiegu zamkniętym“, w którym wskazuje się na odejście od tradycyjnego modelu gospodarki liniowej”. W ramach priorytetu uwzględnia się działania związane np. z </w:t>
      </w:r>
      <w:r w:rsidRPr="00DF0395">
        <w:rPr>
          <w:color w:val="000000" w:themeColor="text1"/>
        </w:rPr>
        <w:t>zapobieganiem powstawaniu odpadów, rozwijaniem systemów zagospodarowania i przetwarzania odpadów, prow</w:t>
      </w:r>
      <w:r w:rsidR="001D1207">
        <w:rPr>
          <w:color w:val="000000" w:themeColor="text1"/>
        </w:rPr>
        <w:t>adzeniem działań edukacyjnych w </w:t>
      </w:r>
      <w:r w:rsidRPr="00DF0395">
        <w:rPr>
          <w:color w:val="000000" w:themeColor="text1"/>
        </w:rPr>
        <w:t>zakresie GOZ.</w:t>
      </w:r>
    </w:p>
    <w:tbl>
      <w:tblPr>
        <w:tblStyle w:val="Tabela-Siatka8"/>
        <w:tblW w:w="9072" w:type="dxa"/>
        <w:tblInd w:w="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9.1 Transformacja obszaru w kierunku Gospodarki o obiegu zamkniętym"/>
        <w:tblDescription w:val="omówienie kierunku"/>
      </w:tblPr>
      <w:tblGrid>
        <w:gridCol w:w="2160"/>
        <w:gridCol w:w="6912"/>
      </w:tblGrid>
      <w:tr w:rsidR="002F5572" w:rsidRPr="00DF0395" w:rsidTr="00235FCA">
        <w:trPr>
          <w:trHeight w:val="850"/>
          <w:tblHeader/>
        </w:trPr>
        <w:tc>
          <w:tcPr>
            <w:tcW w:w="2174" w:type="dxa"/>
            <w:shd w:val="clear" w:color="auto" w:fill="FFFFFF" w:themeFill="background1"/>
            <w:vAlign w:val="center"/>
          </w:tcPr>
          <w:p w:rsidR="002F5572" w:rsidRPr="00DF0395" w:rsidRDefault="002F5572"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9.1</w:t>
            </w:r>
          </w:p>
        </w:tc>
        <w:tc>
          <w:tcPr>
            <w:tcW w:w="7087" w:type="dxa"/>
            <w:shd w:val="clear" w:color="auto" w:fill="F1FADE"/>
            <w:vAlign w:val="center"/>
          </w:tcPr>
          <w:p w:rsidR="002F5572" w:rsidRPr="00DF0395" w:rsidRDefault="002F5572" w:rsidP="00EF02E5">
            <w:pPr>
              <w:autoSpaceDE w:val="0"/>
              <w:autoSpaceDN w:val="0"/>
              <w:adjustRightInd w:val="0"/>
              <w:spacing w:line="240" w:lineRule="auto"/>
              <w:jc w:val="left"/>
              <w:rPr>
                <w:b/>
                <w:bCs/>
                <w:color w:val="000000" w:themeColor="text1"/>
                <w:sz w:val="24"/>
                <w:szCs w:val="24"/>
              </w:rPr>
            </w:pPr>
            <w:r w:rsidRPr="00DF0395">
              <w:rPr>
                <w:b/>
                <w:bCs/>
                <w:color w:val="000000" w:themeColor="text1"/>
                <w:sz w:val="24"/>
                <w:szCs w:val="24"/>
              </w:rPr>
              <w:t>Transformacja obszaru w kierunku Gospodarki o obiegu zamkniętym</w:t>
            </w:r>
          </w:p>
        </w:tc>
      </w:tr>
      <w:tr w:rsidR="002F5572" w:rsidRPr="00DF0395" w:rsidTr="00235FCA">
        <w:trPr>
          <w:trHeight w:val="907"/>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 xml:space="preserve">Charakterystyka działania: </w:t>
            </w:r>
          </w:p>
        </w:tc>
        <w:tc>
          <w:tcPr>
            <w:tcW w:w="7087" w:type="dxa"/>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Minimalizacja zużycia surowców i ilości opadów oraz emisji gazów cieplarnianych stanowi wyzwanie w dobie pogłębiającego się kryzysu klimatycznego. Przechodzenie na model GOZ stanowi cel Unii Europejskiej i jest również istotne dla samorządów WrOF.</w:t>
            </w:r>
          </w:p>
        </w:tc>
      </w:tr>
      <w:tr w:rsidR="002F5572" w:rsidRPr="00DF0395" w:rsidTr="00235FCA">
        <w:trPr>
          <w:trHeight w:val="907"/>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 xml:space="preserve">Przykładowe typy przedsięwzięć / projektów / zadań przewidzianych potencjalnie do realizacji </w:t>
            </w:r>
          </w:p>
        </w:tc>
        <w:tc>
          <w:tcPr>
            <w:tcW w:w="7087" w:type="dxa"/>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 xml:space="preserve">Rozwijanie systemów zagospodarowania odpadów; </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Analiza w zakresie systemu wytwarzania energii z odpadów;</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Podejmowanie działań zapobiegających powstawaniu odpadów, przygotowania ich do ponownego użycia i recyklingu;</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Tworzenie instalacji do odzysku i recyklingu odpadów, a także sortowania i mechanicznego przetwarzania;</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Realizacja projektów inwestycyjnych dotyczących instalacji OZE do produkcji energii elektrycznej przez klastry energetyczne, spółdzielnie energetyczne;</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Prowadzenie działań edukacyjnych i wzmacnianie świadomości ekologicznej wśród mieszkańców w zakresie gospodarowania odpadami;</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Wsparcie przedsiębiorstw w procesie przechodzenia na gospodarkę o obiegu zamkniętym</w:t>
            </w:r>
          </w:p>
        </w:tc>
      </w:tr>
      <w:tr w:rsidR="002F5572" w:rsidRPr="00DF0395" w:rsidTr="00235FCA">
        <w:trPr>
          <w:trHeight w:val="907"/>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Interesariusze / potencjalni partnerzy</w:t>
            </w:r>
          </w:p>
        </w:tc>
        <w:tc>
          <w:tcPr>
            <w:tcW w:w="7087" w:type="dxa"/>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gminy WrOF, mieszkańcy WrOF, przedsiębiorcy</w:t>
            </w:r>
          </w:p>
        </w:tc>
      </w:tr>
      <w:tr w:rsidR="002F5572" w:rsidRPr="00DF0395" w:rsidTr="00235FCA">
        <w:trPr>
          <w:trHeight w:val="510"/>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Okres realizacji:</w:t>
            </w:r>
          </w:p>
        </w:tc>
        <w:tc>
          <w:tcPr>
            <w:tcW w:w="7087" w:type="dxa"/>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2021-2027 (n+2)</w:t>
            </w:r>
          </w:p>
        </w:tc>
      </w:tr>
      <w:tr w:rsidR="002F5572" w:rsidRPr="00DF0395" w:rsidTr="00235FCA">
        <w:trPr>
          <w:trHeight w:val="670"/>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 xml:space="preserve">Potencjalne źródła finansowania: </w:t>
            </w:r>
          </w:p>
        </w:tc>
        <w:tc>
          <w:tcPr>
            <w:tcW w:w="7087" w:type="dxa"/>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Fundusze Europejskie dla Dolnego Śląska 2021-2027</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Fundusze Europejskie na Infrastrukturę, Klimat, Środowisko 2021-2027</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Krajowy Plan Odbudowy (KPO)</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inne środki zewnętrzne, budżet państwa, środki własne gminy</w:t>
            </w:r>
          </w:p>
        </w:tc>
      </w:tr>
      <w:tr w:rsidR="002F5572" w:rsidRPr="00DF0395" w:rsidTr="00235FCA">
        <w:trPr>
          <w:trHeight w:val="624"/>
        </w:trPr>
        <w:tc>
          <w:tcPr>
            <w:tcW w:w="2174" w:type="dxa"/>
            <w:shd w:val="clear" w:color="auto" w:fill="F1FADE"/>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 xml:space="preserve">Proponowane wskaźniki monitorujące realizację kierunku działania: </w:t>
            </w:r>
          </w:p>
        </w:tc>
        <w:tc>
          <w:tcPr>
            <w:tcW w:w="7087" w:type="dxa"/>
            <w:vAlign w:val="center"/>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Dodatkowe zdolności w zakresie recyklingu odpadów [tony/rok]</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Odpady zbierane selektywnie [tony/rok]</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Odpady poddane recyklingowi [tony/rok]</w:t>
            </w:r>
          </w:p>
        </w:tc>
      </w:tr>
    </w:tbl>
    <w:p w:rsidR="002F5572" w:rsidRPr="002F5572" w:rsidRDefault="002F5572" w:rsidP="00216B5C">
      <w:pPr>
        <w:pStyle w:val="Default"/>
        <w:spacing w:before="120" w:after="120"/>
        <w:jc w:val="both"/>
        <w:rPr>
          <w:sz w:val="8"/>
        </w:rPr>
      </w:pPr>
    </w:p>
    <w:p w:rsidR="00173E0D" w:rsidRPr="00D72C00" w:rsidRDefault="00173E0D" w:rsidP="00216B5C">
      <w:pPr>
        <w:pStyle w:val="Default"/>
        <w:spacing w:before="120" w:after="120"/>
        <w:jc w:val="both"/>
        <w:rPr>
          <w:sz w:val="2"/>
          <w:szCs w:val="2"/>
        </w:rPr>
      </w:pPr>
    </w:p>
    <w:p w:rsidR="00216B5C" w:rsidRDefault="00216B5C" w:rsidP="00216B5C">
      <w:pPr>
        <w:pStyle w:val="Default"/>
        <w:spacing w:before="120" w:after="120"/>
        <w:jc w:val="both"/>
      </w:pPr>
      <w:r w:rsidRPr="003570AB">
        <w:rPr>
          <w:noProof/>
          <w:lang w:eastAsia="pl-PL"/>
        </w:rPr>
        <w:drawing>
          <wp:inline distT="0" distB="0" distL="0" distR="0" wp14:anchorId="19457787" wp14:editId="19072C12">
            <wp:extent cx="5448300" cy="1743075"/>
            <wp:effectExtent l="0" t="0" r="0" b="9525"/>
            <wp:docPr id="365" name="Obraz 365" descr="Cel strategiczny 3. - Priorytet 10. Transformacja energetyczna, Kierunek działania 10.1, 10.2ng" title="Cel strategiczny 3. - Prioryte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BIT\wszyscy\ZIT\Realizacja STRATEGIA ZIT WrOF\Ikony schematów\cel strategiczny 3. Priorytet 10.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48300" cy="1743075"/>
                    </a:xfrm>
                    <a:prstGeom prst="rect">
                      <a:avLst/>
                    </a:prstGeom>
                    <a:noFill/>
                    <a:ln>
                      <a:noFill/>
                    </a:ln>
                  </pic:spPr>
                </pic:pic>
              </a:graphicData>
            </a:graphic>
          </wp:inline>
        </w:drawing>
      </w:r>
    </w:p>
    <w:p w:rsidR="002F5572" w:rsidRDefault="002F5572" w:rsidP="002F5572">
      <w:pPr>
        <w:pStyle w:val="Default"/>
        <w:spacing w:before="120" w:after="120" w:line="360" w:lineRule="auto"/>
      </w:pPr>
      <w:r w:rsidRPr="00DF0395">
        <w:rPr>
          <w:rFonts w:asciiTheme="majorHAnsi" w:eastAsiaTheme="majorEastAsia" w:hAnsiTheme="majorHAnsi" w:cstheme="majorBidi"/>
          <w:b/>
          <w:color w:val="000000" w:themeColor="text1"/>
          <w:sz w:val="36"/>
          <w:szCs w:val="26"/>
        </w:rPr>
        <w:t>Priorytet Transformacja energetyczna</w:t>
      </w:r>
      <w:r w:rsidRPr="00DF0395">
        <w:rPr>
          <w:rFonts w:asciiTheme="majorHAnsi" w:eastAsiaTheme="majorEastAsia" w:hAnsiTheme="majorHAnsi" w:cstheme="majorBidi"/>
          <w:color w:val="000000" w:themeColor="text1"/>
          <w:sz w:val="36"/>
          <w:szCs w:val="26"/>
        </w:rPr>
        <w:t xml:space="preserve"> </w:t>
      </w:r>
      <w:r w:rsidR="001D1207">
        <w:rPr>
          <w:rFonts w:cstheme="minorHAnsi"/>
          <w:color w:val="000000" w:themeColor="text1"/>
          <w:szCs w:val="20"/>
        </w:rPr>
        <w:t>– wyzwania klimatyczne i </w:t>
      </w:r>
      <w:r w:rsidRPr="00DF0395">
        <w:rPr>
          <w:rFonts w:cstheme="minorHAnsi"/>
          <w:color w:val="000000" w:themeColor="text1"/>
          <w:szCs w:val="20"/>
        </w:rPr>
        <w:t>energetyczne, jakie stoją przed państwami członkowskimi UE w zakresie dekarbonizacji, wymuszają podjęcie działań mających na celu zmniejs</w:t>
      </w:r>
      <w:r w:rsidR="00762151">
        <w:rPr>
          <w:rFonts w:cstheme="minorHAnsi"/>
          <w:color w:val="000000" w:themeColor="text1"/>
          <w:szCs w:val="20"/>
        </w:rPr>
        <w:t>zenie zużycia paliw kopalnych w </w:t>
      </w:r>
      <w:r w:rsidRPr="00DF0395">
        <w:rPr>
          <w:rFonts w:cstheme="minorHAnsi"/>
          <w:color w:val="000000" w:themeColor="text1"/>
          <w:szCs w:val="20"/>
        </w:rPr>
        <w:t>procesach produkcji energii. W ramach priorytetu wskazane jest wspieranie przedsięwzięć mających na celu produkcję czystej energii, zwiększanie liczby i mocy źródeł OZE oraz inicjowanie i wspieranie rozwoju lokalnych społeczności i inicjatyw energetycznych. Jednocześnie należy pamiętać o rozwoju infrastruktury elektroenergetycznej wraz z rozwiązaniami do magazynowania energii, inteligentnych systemach zarządzania energią oraz działaniach edukacyjnych skierowanych do wszystkich grup społecznych. Istotne jest też włączenie w proces rozwoju technologii wodorowej.</w:t>
      </w: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0.1 Wypracowanie modelu funkcjonowania energetyki"/>
        <w:tblDescription w:val="omówienie kierunku"/>
      </w:tblPr>
      <w:tblGrid>
        <w:gridCol w:w="2252"/>
        <w:gridCol w:w="6820"/>
      </w:tblGrid>
      <w:tr w:rsidR="002F5572" w:rsidRPr="00DF0395" w:rsidTr="002F5572">
        <w:trPr>
          <w:trHeight w:val="680"/>
          <w:tblHeader/>
          <w:jc w:val="center"/>
        </w:trPr>
        <w:tc>
          <w:tcPr>
            <w:tcW w:w="2252" w:type="dxa"/>
            <w:shd w:val="clear" w:color="auto" w:fill="FFFFFF" w:themeFill="background1"/>
            <w:vAlign w:val="center"/>
          </w:tcPr>
          <w:p w:rsidR="002F5572" w:rsidRPr="00DF0395" w:rsidRDefault="002F5572" w:rsidP="00EF02E5">
            <w:pPr>
              <w:autoSpaceDE w:val="0"/>
              <w:autoSpaceDN w:val="0"/>
              <w:adjustRightInd w:val="0"/>
              <w:spacing w:line="240" w:lineRule="auto"/>
              <w:jc w:val="center"/>
              <w:rPr>
                <w:b/>
                <w:bCs/>
                <w:color w:val="000000" w:themeColor="text1"/>
                <w:sz w:val="24"/>
                <w:szCs w:val="24"/>
              </w:rPr>
            </w:pPr>
            <w:r>
              <w:rPr>
                <w:b/>
                <w:bCs/>
                <w:color w:val="000000" w:themeColor="text1"/>
                <w:sz w:val="24"/>
                <w:szCs w:val="24"/>
              </w:rPr>
              <w:t>Kierunek 10.1</w:t>
            </w:r>
          </w:p>
        </w:tc>
        <w:tc>
          <w:tcPr>
            <w:tcW w:w="6820" w:type="dxa"/>
            <w:shd w:val="clear" w:color="auto" w:fill="F1FADE"/>
            <w:vAlign w:val="center"/>
          </w:tcPr>
          <w:p w:rsidR="002F5572" w:rsidRPr="00DF0395" w:rsidRDefault="002F5572" w:rsidP="00EF02E5">
            <w:pPr>
              <w:autoSpaceDE w:val="0"/>
              <w:autoSpaceDN w:val="0"/>
              <w:adjustRightInd w:val="0"/>
              <w:spacing w:line="240" w:lineRule="auto"/>
              <w:jc w:val="left"/>
              <w:rPr>
                <w:b/>
                <w:bCs/>
                <w:color w:val="000000" w:themeColor="text1"/>
                <w:sz w:val="24"/>
                <w:szCs w:val="24"/>
              </w:rPr>
            </w:pPr>
            <w:r w:rsidRPr="00DF0395">
              <w:rPr>
                <w:b/>
                <w:bCs/>
                <w:color w:val="000000" w:themeColor="text1"/>
                <w:sz w:val="24"/>
                <w:szCs w:val="24"/>
              </w:rPr>
              <w:t xml:space="preserve">Wypracowanie modelu funkcjonowania energetyki </w:t>
            </w:r>
          </w:p>
        </w:tc>
      </w:tr>
      <w:tr w:rsidR="002F5572" w:rsidRPr="00DF0395" w:rsidTr="002F5572">
        <w:trPr>
          <w:trHeight w:val="907"/>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 xml:space="preserve">Charakterystyka działania: </w:t>
            </w:r>
          </w:p>
        </w:tc>
        <w:tc>
          <w:tcPr>
            <w:tcW w:w="6820" w:type="dxa"/>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 xml:space="preserve">Wzmocnienie bezpieczeństwa energetycznego i dążenie do samowystarczalności energetycznej stanowi istotne wyzwanie dla WrOF. </w:t>
            </w:r>
          </w:p>
        </w:tc>
      </w:tr>
      <w:tr w:rsidR="002F5572" w:rsidRPr="00DF0395" w:rsidTr="002F5572">
        <w:trPr>
          <w:trHeight w:val="907"/>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 xml:space="preserve">Przykładowe typy przedsięwzięć / projektów / zadań przewidzianych potencjalnie do realizacji </w:t>
            </w:r>
          </w:p>
        </w:tc>
        <w:tc>
          <w:tcPr>
            <w:tcW w:w="6820" w:type="dxa"/>
            <w:vAlign w:val="center"/>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Wspieranie rozwoju OZE;</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Aktywny udział w procesie rozwoju Dolnośląskiej Doliny Wodorowej;</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Wzmacnianie współpracy transgranicznej i regionalnej w zakresie przechodzenia na czystą energię;</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Zwiększenie wykorzystania odnawialnych źródeł energii w lokalnym bilansie energetycznym.</w:t>
            </w:r>
          </w:p>
        </w:tc>
      </w:tr>
      <w:tr w:rsidR="002F5572" w:rsidRPr="00DF0395" w:rsidTr="002F5572">
        <w:trPr>
          <w:trHeight w:val="907"/>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Interesariusze / potencjalni partnerzy</w:t>
            </w:r>
          </w:p>
        </w:tc>
        <w:tc>
          <w:tcPr>
            <w:tcW w:w="6820" w:type="dxa"/>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gminy WrOF, mieszkańcy WrOF, podmioty działające w sektorze energetycznym</w:t>
            </w:r>
          </w:p>
        </w:tc>
      </w:tr>
      <w:tr w:rsidR="002F5572" w:rsidRPr="00DF0395" w:rsidTr="002F5572">
        <w:trPr>
          <w:trHeight w:val="510"/>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Okres realizacji:</w:t>
            </w:r>
          </w:p>
        </w:tc>
        <w:tc>
          <w:tcPr>
            <w:tcW w:w="6820" w:type="dxa"/>
            <w:vAlign w:val="center"/>
          </w:tcPr>
          <w:p w:rsidR="002F5572" w:rsidRPr="00DF0395" w:rsidRDefault="002F5572" w:rsidP="00EF02E5">
            <w:pPr>
              <w:autoSpaceDE w:val="0"/>
              <w:autoSpaceDN w:val="0"/>
              <w:adjustRightInd w:val="0"/>
              <w:spacing w:line="240" w:lineRule="auto"/>
              <w:jc w:val="left"/>
              <w:rPr>
                <w:color w:val="000000" w:themeColor="text1"/>
                <w:sz w:val="24"/>
                <w:szCs w:val="24"/>
              </w:rPr>
            </w:pPr>
            <w:r w:rsidRPr="00DF0395">
              <w:rPr>
                <w:color w:val="000000" w:themeColor="text1"/>
                <w:sz w:val="24"/>
                <w:szCs w:val="24"/>
              </w:rPr>
              <w:t>2021-2027 (n+2)</w:t>
            </w:r>
          </w:p>
        </w:tc>
      </w:tr>
      <w:tr w:rsidR="002F5572" w:rsidRPr="00DF0395" w:rsidTr="002F5572">
        <w:trPr>
          <w:trHeight w:val="670"/>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 xml:space="preserve">Potencjalne źródła finansowania: </w:t>
            </w:r>
          </w:p>
        </w:tc>
        <w:tc>
          <w:tcPr>
            <w:tcW w:w="6820" w:type="dxa"/>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Fundusze Europejskie dla Dolnego Śląska 2021-2027</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Fundusze Europejskie na Infrastrukturę, Klimat, Środowisko 2021-2027</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Krajowy Plan Odbudowy (KPO)</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inne środki zewnętrzne, budżet państwa, środki własne gminy</w:t>
            </w:r>
          </w:p>
        </w:tc>
      </w:tr>
      <w:tr w:rsidR="002F5572" w:rsidRPr="00DF0395" w:rsidTr="002F5572">
        <w:trPr>
          <w:trHeight w:val="624"/>
          <w:jc w:val="center"/>
        </w:trPr>
        <w:tc>
          <w:tcPr>
            <w:tcW w:w="2252" w:type="dxa"/>
            <w:shd w:val="clear" w:color="auto" w:fill="F1FADE"/>
            <w:vAlign w:val="center"/>
          </w:tcPr>
          <w:p w:rsidR="002F5572" w:rsidRPr="00DF0395" w:rsidRDefault="002F5572" w:rsidP="00EF02E5">
            <w:pPr>
              <w:autoSpaceDE w:val="0"/>
              <w:autoSpaceDN w:val="0"/>
              <w:adjustRightInd w:val="0"/>
              <w:spacing w:line="240" w:lineRule="auto"/>
              <w:jc w:val="right"/>
              <w:rPr>
                <w:color w:val="000000" w:themeColor="text1"/>
                <w:sz w:val="24"/>
                <w:szCs w:val="24"/>
              </w:rPr>
            </w:pPr>
            <w:r w:rsidRPr="00DF0395">
              <w:rPr>
                <w:color w:val="000000" w:themeColor="text1"/>
                <w:sz w:val="24"/>
                <w:szCs w:val="24"/>
              </w:rPr>
              <w:t xml:space="preserve">Proponowane wskaźniki monitorujące realizację kierunku działania: </w:t>
            </w:r>
          </w:p>
        </w:tc>
        <w:tc>
          <w:tcPr>
            <w:tcW w:w="6820" w:type="dxa"/>
            <w:vAlign w:val="center"/>
          </w:tcPr>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Dodatkowa zdolność wytwarzania energii odnawialnej (w tym: energii elektrycznej, energii cieplnej) [MW]</w:t>
            </w:r>
          </w:p>
          <w:p w:rsidR="002F5572" w:rsidRPr="00DF0395" w:rsidRDefault="002F5572" w:rsidP="00EF02E5">
            <w:pPr>
              <w:pStyle w:val="Akapitzlist"/>
              <w:numPr>
                <w:ilvl w:val="0"/>
                <w:numId w:val="7"/>
              </w:numPr>
              <w:spacing w:line="240" w:lineRule="auto"/>
              <w:jc w:val="left"/>
              <w:rPr>
                <w:color w:val="000000" w:themeColor="text1"/>
                <w:sz w:val="24"/>
                <w:szCs w:val="24"/>
              </w:rPr>
            </w:pPr>
            <w:r w:rsidRPr="00DF0395">
              <w:rPr>
                <w:color w:val="000000" w:themeColor="text1"/>
                <w:sz w:val="24"/>
                <w:szCs w:val="24"/>
              </w:rPr>
              <w:t>Dodatkowa moc zainstalowana odnawialnych źródeł energii [MW]</w:t>
            </w:r>
          </w:p>
        </w:tc>
      </w:tr>
    </w:tbl>
    <w:p w:rsidR="002F5572" w:rsidRDefault="002F5572" w:rsidP="00216B5C">
      <w:pPr>
        <w:pStyle w:val="Default"/>
        <w:spacing w:before="120" w:after="120"/>
        <w:jc w:val="both"/>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0.2 Rozwój inteligentnych siecie energetycznych oraz systemów magazynowania energii poza transeuropejską siecią energetyczną (TEN-E)"/>
        <w:tblDescription w:val="Omówienie kierunku"/>
      </w:tblPr>
      <w:tblGrid>
        <w:gridCol w:w="2170"/>
        <w:gridCol w:w="6902"/>
      </w:tblGrid>
      <w:tr w:rsidR="002F5572" w:rsidRPr="00D240D3" w:rsidTr="00EF02E5">
        <w:trPr>
          <w:trHeight w:val="850"/>
          <w:tblHeader/>
          <w:jc w:val="center"/>
        </w:trPr>
        <w:tc>
          <w:tcPr>
            <w:tcW w:w="2174" w:type="dxa"/>
            <w:shd w:val="clear" w:color="auto" w:fill="FFFFFF" w:themeFill="background1"/>
            <w:vAlign w:val="center"/>
          </w:tcPr>
          <w:p w:rsidR="002F5572" w:rsidRPr="00D240D3" w:rsidRDefault="002F5572" w:rsidP="00EF02E5">
            <w:pPr>
              <w:autoSpaceDE w:val="0"/>
              <w:autoSpaceDN w:val="0"/>
              <w:adjustRightInd w:val="0"/>
              <w:spacing w:line="240" w:lineRule="auto"/>
              <w:jc w:val="center"/>
              <w:rPr>
                <w:b/>
                <w:bCs/>
                <w:color w:val="000000" w:themeColor="text1"/>
                <w:sz w:val="24"/>
                <w:szCs w:val="24"/>
              </w:rPr>
            </w:pPr>
            <w:r>
              <w:rPr>
                <w:b/>
                <w:bCs/>
                <w:color w:val="000000" w:themeColor="text1"/>
                <w:sz w:val="24"/>
                <w:szCs w:val="24"/>
              </w:rPr>
              <w:t>Kierunek 10.2</w:t>
            </w:r>
          </w:p>
        </w:tc>
        <w:tc>
          <w:tcPr>
            <w:tcW w:w="6945" w:type="dxa"/>
            <w:shd w:val="clear" w:color="auto" w:fill="F1FADE"/>
            <w:vAlign w:val="center"/>
          </w:tcPr>
          <w:p w:rsidR="002F5572" w:rsidRPr="00D240D3" w:rsidRDefault="002F5572" w:rsidP="00EF02E5">
            <w:pPr>
              <w:autoSpaceDE w:val="0"/>
              <w:autoSpaceDN w:val="0"/>
              <w:adjustRightInd w:val="0"/>
              <w:spacing w:line="240" w:lineRule="auto"/>
              <w:jc w:val="left"/>
              <w:rPr>
                <w:b/>
                <w:bCs/>
                <w:color w:val="000000" w:themeColor="text1"/>
                <w:sz w:val="24"/>
                <w:szCs w:val="24"/>
              </w:rPr>
            </w:pPr>
            <w:r w:rsidRPr="00D240D3">
              <w:rPr>
                <w:b/>
                <w:bCs/>
                <w:color w:val="000000" w:themeColor="text1"/>
                <w:sz w:val="24"/>
                <w:szCs w:val="24"/>
              </w:rPr>
              <w:t>Rozwój inteligentnych sieci energetycznych oraz systemów magazynowania energii poza transeuropejską siecią energetyczną (TEN-E)</w:t>
            </w:r>
          </w:p>
        </w:tc>
      </w:tr>
      <w:tr w:rsidR="002F5572" w:rsidRPr="00D240D3" w:rsidTr="00EF02E5">
        <w:trPr>
          <w:trHeight w:val="907"/>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Charakterystyka działania: </w:t>
            </w:r>
          </w:p>
        </w:tc>
        <w:tc>
          <w:tcPr>
            <w:tcW w:w="6945" w:type="dxa"/>
            <w:vAlign w:val="center"/>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Postępujące zmiany klimatu i degradacja środowiska stanowią zagrożenie dla obszaru WrOF. Kluczowe w tym zakresie jest przekształcenie gospodarki i transformacja energetyczna oraz modernizacja, dekarbonizacja źródeł energii w celu osiągnięcia neutralności klimatycznej. </w:t>
            </w:r>
          </w:p>
        </w:tc>
      </w:tr>
      <w:tr w:rsidR="002F5572" w:rsidRPr="00D240D3" w:rsidTr="00EF02E5">
        <w:trPr>
          <w:trHeight w:val="907"/>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Przykładowe typy przedsięwzięć / projektów / zadań przewidzianych potencjalnie do realizacji </w:t>
            </w:r>
          </w:p>
        </w:tc>
        <w:tc>
          <w:tcPr>
            <w:tcW w:w="6945" w:type="dxa"/>
            <w:vAlign w:val="center"/>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Zastosowanie rozwiązań technicznych oraz cyfrowych umożliwiających rozwijanie inteligentnych systemów elektroenergetycznych;</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Rozbudowywanie infrastruktury elektroenergetycznej wraz z systematyczną modernizacją;</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Zwiększanie zdolności magazynowania energii elektrycznej;</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Prowadzenie działań edukacyjno-promocyjnych;</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Rozbudowa, przebudowa, przekształcenie oraz modernizacja sieci przesyłowych i dystrybucyjnych;</w:t>
            </w:r>
          </w:p>
        </w:tc>
      </w:tr>
      <w:tr w:rsidR="002F5572" w:rsidRPr="00D240D3" w:rsidTr="00EF02E5">
        <w:trPr>
          <w:trHeight w:val="907"/>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Interesariusze / potencjalni partnerzy</w:t>
            </w:r>
          </w:p>
        </w:tc>
        <w:tc>
          <w:tcPr>
            <w:tcW w:w="6945" w:type="dxa"/>
            <w:vAlign w:val="center"/>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gminy WrOF, mieszkańcy WrOF, podmioty działające w sektorze energetycznym</w:t>
            </w:r>
          </w:p>
        </w:tc>
      </w:tr>
      <w:tr w:rsidR="002F5572" w:rsidRPr="00D240D3" w:rsidTr="00EF02E5">
        <w:trPr>
          <w:trHeight w:val="510"/>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Okres realizacji:</w:t>
            </w:r>
          </w:p>
        </w:tc>
        <w:tc>
          <w:tcPr>
            <w:tcW w:w="6945" w:type="dxa"/>
            <w:vAlign w:val="center"/>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2021-2027 (n+2)</w:t>
            </w:r>
          </w:p>
        </w:tc>
      </w:tr>
      <w:tr w:rsidR="002F5572" w:rsidRPr="00D240D3" w:rsidTr="00EF02E5">
        <w:trPr>
          <w:trHeight w:val="670"/>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Potencjalne źródła finansowania: </w:t>
            </w:r>
          </w:p>
        </w:tc>
        <w:tc>
          <w:tcPr>
            <w:tcW w:w="6945" w:type="dxa"/>
            <w:vAlign w:val="center"/>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dla Dolnego Śląska 2021-2027</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na Infrastrukturę Klimat, Środowisko 2021-2027</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Krajowy Plan Odbudowy (KPO)</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inne środki zewnętrzne, budżet państwa, środki własne gminy</w:t>
            </w:r>
          </w:p>
        </w:tc>
      </w:tr>
      <w:tr w:rsidR="002F5572" w:rsidRPr="00D240D3" w:rsidTr="00EF02E5">
        <w:trPr>
          <w:trHeight w:val="624"/>
          <w:jc w:val="center"/>
        </w:trPr>
        <w:tc>
          <w:tcPr>
            <w:tcW w:w="2174"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Proponowane wskaźniki monitorujące realizację kierunku działania: </w:t>
            </w:r>
          </w:p>
        </w:tc>
        <w:tc>
          <w:tcPr>
            <w:tcW w:w="6945" w:type="dxa"/>
            <w:vAlign w:val="center"/>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Nowo wybudowane lub zmodernizowane linie przesyłowe</w:t>
            </w:r>
            <w:r w:rsidRPr="00D240D3">
              <w:rPr>
                <w:color w:val="000000" w:themeColor="text1"/>
                <w:sz w:val="24"/>
                <w:szCs w:val="24"/>
              </w:rPr>
              <w:br/>
              <w:t>i dystrybucyjne gazu [km]</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Rozwiązania w zakresie magazynowania energii elektrycznej [</w:t>
            </w:r>
            <w:proofErr w:type="spellStart"/>
            <w:r w:rsidRPr="00D240D3">
              <w:rPr>
                <w:color w:val="000000" w:themeColor="text1"/>
                <w:sz w:val="24"/>
                <w:szCs w:val="24"/>
              </w:rPr>
              <w:t>MWh</w:t>
            </w:r>
            <w:proofErr w:type="spellEnd"/>
            <w:r w:rsidRPr="00D240D3">
              <w:rPr>
                <w:color w:val="000000" w:themeColor="text1"/>
                <w:sz w:val="24"/>
                <w:szCs w:val="24"/>
              </w:rPr>
              <w:t>]</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Cyfrowe systemy zarządzania inteligentnymi systemami energetycznymi [szt.]</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Realizacja projektów systemów energetycznych [szt.]</w:t>
            </w:r>
          </w:p>
        </w:tc>
      </w:tr>
    </w:tbl>
    <w:p w:rsidR="00216B5C" w:rsidRDefault="00216B5C" w:rsidP="00216B5C">
      <w:pPr>
        <w:pStyle w:val="Default"/>
        <w:spacing w:before="120" w:after="120"/>
        <w:jc w:val="both"/>
        <w:rPr>
          <w:noProof/>
          <w:lang w:eastAsia="pl-PL"/>
        </w:rPr>
      </w:pPr>
    </w:p>
    <w:p w:rsidR="00235FCA" w:rsidRDefault="00235FCA" w:rsidP="00216B5C">
      <w:pPr>
        <w:pStyle w:val="Default"/>
        <w:spacing w:before="120" w:after="120"/>
        <w:jc w:val="both"/>
        <w:rPr>
          <w:noProof/>
          <w:lang w:eastAsia="pl-PL"/>
        </w:rPr>
      </w:pPr>
    </w:p>
    <w:p w:rsidR="00235FCA" w:rsidRDefault="00235FCA" w:rsidP="00216B5C">
      <w:pPr>
        <w:pStyle w:val="Default"/>
        <w:spacing w:before="120" w:after="120"/>
        <w:jc w:val="both"/>
        <w:rPr>
          <w:noProof/>
          <w:lang w:eastAsia="pl-PL"/>
        </w:rPr>
      </w:pPr>
      <w:r w:rsidRPr="00AF5A1D">
        <w:rPr>
          <w:noProof/>
          <w:lang w:eastAsia="pl-PL"/>
        </w:rPr>
        <w:drawing>
          <wp:inline distT="0" distB="0" distL="0" distR="0" wp14:anchorId="43326097" wp14:editId="7EB06794">
            <wp:extent cx="5448300" cy="1743075"/>
            <wp:effectExtent l="0" t="0" r="0" b="9525"/>
            <wp:docPr id="378" name="Obraz 378" descr="Cel strategiczny 3. - Priorytet 11. Gospodarka niskoemisyjna, Kierunek 11.1 i 11.2" title="Cel strategiczny 3. - Prioryte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BIT\wszyscy\ZIT\Realizacja STRATEGIA ZIT WrOF\Ikony schematów\cel strategiczny 3. Priorytet 1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48300" cy="1743075"/>
                    </a:xfrm>
                    <a:prstGeom prst="rect">
                      <a:avLst/>
                    </a:prstGeom>
                    <a:noFill/>
                    <a:ln>
                      <a:noFill/>
                    </a:ln>
                  </pic:spPr>
                </pic:pic>
              </a:graphicData>
            </a:graphic>
          </wp:inline>
        </w:drawing>
      </w:r>
    </w:p>
    <w:p w:rsidR="00235FCA" w:rsidRDefault="00235FCA" w:rsidP="00216B5C">
      <w:pPr>
        <w:pStyle w:val="Default"/>
        <w:spacing w:before="120" w:after="120"/>
        <w:jc w:val="both"/>
      </w:pPr>
    </w:p>
    <w:p w:rsidR="002F5572" w:rsidRDefault="002F5572" w:rsidP="002F5572">
      <w:pPr>
        <w:pStyle w:val="Default"/>
        <w:spacing w:before="120" w:after="120" w:line="360" w:lineRule="auto"/>
        <w:rPr>
          <w:color w:val="000000" w:themeColor="text1"/>
        </w:rPr>
      </w:pPr>
      <w:r w:rsidRPr="00D240D3">
        <w:rPr>
          <w:rFonts w:asciiTheme="majorHAnsi" w:eastAsiaTheme="majorEastAsia" w:hAnsiTheme="majorHAnsi" w:cstheme="majorBidi"/>
          <w:b/>
          <w:color w:val="000000" w:themeColor="text1"/>
          <w:sz w:val="36"/>
          <w:szCs w:val="26"/>
        </w:rPr>
        <w:t>Priorytet Gospodarka n</w:t>
      </w:r>
      <w:r>
        <w:rPr>
          <w:rFonts w:asciiTheme="majorHAnsi" w:eastAsiaTheme="majorEastAsia" w:hAnsiTheme="majorHAnsi" w:cstheme="majorBidi"/>
          <w:b/>
          <w:color w:val="000000" w:themeColor="text1"/>
          <w:sz w:val="36"/>
          <w:szCs w:val="26"/>
        </w:rPr>
        <w:t xml:space="preserve">iskoemisyjna </w:t>
      </w:r>
      <w:r w:rsidRPr="00D240D3">
        <w:rPr>
          <w:color w:val="000000" w:themeColor="text1"/>
        </w:rPr>
        <w:t>W procesie redukcji emisji gazów cieplarnianych ważnym działaniem obok zwiększenia wykorzystania energii odnawialnej jest wzrost efektywności energetycznej we wszystkich sektorach gospodarki. Należy dążyć do zmniejszenia zużycia energii poprzez modernizację lub wymianę jednostek wytwarzających energię elektryczną i cieplną, poprawę efektywności energetycznej budynków, zwiększanie wykorzystania energii z OZE wśród mieszkańców i przedsiębiorców, budowę magazynów energii oraz inteligentne zarządzanie energią. Konieczne jest również zmniejszenie zapotrzebowania na energię w budynkach i przestrzeniach publicznych przez samorządy, poprzez m.in. budowę budynków demonstracyjnych.</w:t>
      </w: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1.1 Wspieranie efektywności energetycznej i redukcja emisji gazów cieplarnianych"/>
        <w:tblDescription w:val="Omówienie kierunku"/>
      </w:tblPr>
      <w:tblGrid>
        <w:gridCol w:w="1910"/>
        <w:gridCol w:w="7162"/>
      </w:tblGrid>
      <w:tr w:rsidR="002F5572" w:rsidRPr="00D240D3" w:rsidTr="002F5572">
        <w:trPr>
          <w:trHeight w:val="850"/>
          <w:tblHeader/>
          <w:jc w:val="center"/>
        </w:trPr>
        <w:tc>
          <w:tcPr>
            <w:tcW w:w="1910" w:type="dxa"/>
            <w:shd w:val="clear" w:color="auto" w:fill="FFFFFF" w:themeFill="background1"/>
            <w:vAlign w:val="center"/>
          </w:tcPr>
          <w:p w:rsidR="002F5572" w:rsidRPr="00D240D3" w:rsidRDefault="002F5572" w:rsidP="00EF02E5">
            <w:pPr>
              <w:autoSpaceDE w:val="0"/>
              <w:autoSpaceDN w:val="0"/>
              <w:adjustRightInd w:val="0"/>
              <w:spacing w:line="240" w:lineRule="auto"/>
              <w:jc w:val="center"/>
              <w:rPr>
                <w:b/>
                <w:bCs/>
                <w:color w:val="000000" w:themeColor="text1"/>
                <w:sz w:val="24"/>
                <w:szCs w:val="24"/>
              </w:rPr>
            </w:pPr>
            <w:r>
              <w:rPr>
                <w:b/>
                <w:bCs/>
                <w:color w:val="000000" w:themeColor="text1"/>
                <w:sz w:val="24"/>
                <w:szCs w:val="24"/>
              </w:rPr>
              <w:t>Kierunek 11.1</w:t>
            </w:r>
          </w:p>
        </w:tc>
        <w:tc>
          <w:tcPr>
            <w:tcW w:w="7162" w:type="dxa"/>
            <w:shd w:val="clear" w:color="auto" w:fill="F1FADE"/>
            <w:vAlign w:val="center"/>
          </w:tcPr>
          <w:p w:rsidR="002F5572" w:rsidRPr="00D240D3" w:rsidRDefault="002F5572" w:rsidP="00EF02E5">
            <w:pPr>
              <w:autoSpaceDE w:val="0"/>
              <w:autoSpaceDN w:val="0"/>
              <w:adjustRightInd w:val="0"/>
              <w:spacing w:line="240" w:lineRule="auto"/>
              <w:jc w:val="left"/>
              <w:rPr>
                <w:b/>
                <w:bCs/>
                <w:color w:val="000000" w:themeColor="text1"/>
                <w:sz w:val="24"/>
                <w:szCs w:val="24"/>
              </w:rPr>
            </w:pPr>
            <w:r w:rsidRPr="00D240D3">
              <w:rPr>
                <w:b/>
                <w:bCs/>
                <w:color w:val="000000" w:themeColor="text1"/>
                <w:sz w:val="24"/>
                <w:szCs w:val="24"/>
              </w:rPr>
              <w:t>Wspieranie efektywności energetycznej i redukcja emisji gazów cieplarnianych</w:t>
            </w:r>
          </w:p>
        </w:tc>
      </w:tr>
      <w:tr w:rsidR="002F5572" w:rsidRPr="00D240D3" w:rsidTr="002F5572">
        <w:trPr>
          <w:trHeight w:val="907"/>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Charakterystyka działania: </w:t>
            </w:r>
          </w:p>
        </w:tc>
        <w:tc>
          <w:tcPr>
            <w:tcW w:w="7162" w:type="dxa"/>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Poprawa efektywności energetycznej wraz z redukcją emisji gazów cieplarnianych m.in. poprzez kompleksową termomodernizację i wymianę systemów grzewczych przyczyni się do poprawy jakości powietrza, a tym samym pozytywnie wpłynie na zdrowie i jakość życia mieszkańców WrOF. </w:t>
            </w:r>
          </w:p>
        </w:tc>
      </w:tr>
      <w:tr w:rsidR="002F5572" w:rsidRPr="00D240D3" w:rsidTr="002F5572">
        <w:trPr>
          <w:trHeight w:val="907"/>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Przykładowe typy przedsięwzięć / projektów / zadań przewidzianych potencjalnie do realizacji </w:t>
            </w:r>
          </w:p>
        </w:tc>
        <w:tc>
          <w:tcPr>
            <w:tcW w:w="7162" w:type="dxa"/>
            <w:vAlign w:val="center"/>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Poprawa efektywności energetycznej budynków mieszkalnych i użyteczności publicznej;</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Modernizacja energetyczna budynków zakładowych wraz z podnoszeniem efektywności energetycznej procesów technologicznych;</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Wsparcie mieszkańców WrOF w zakresie wymiany systemów grzewczych;</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Prowadzenie działań na rzecz wymiany oświetlenia na bardziej energooszczędne;</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Wdrożenie nowoczesnych technologii, w tym wodorowych w energetyce i ciepłownictwie;</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Budowa lub modernizacja budynków użyteczności publicznej;</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Działania edukacyjne i informacyjne z zakresu adaptacji do zmian klimatu oraz ekologii;</w:t>
            </w:r>
          </w:p>
        </w:tc>
      </w:tr>
      <w:tr w:rsidR="002F5572" w:rsidRPr="00D240D3" w:rsidTr="002F5572">
        <w:trPr>
          <w:trHeight w:val="680"/>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Interesariusze / potencjalni partnerzy</w:t>
            </w:r>
          </w:p>
        </w:tc>
        <w:tc>
          <w:tcPr>
            <w:tcW w:w="7162" w:type="dxa"/>
            <w:vAlign w:val="center"/>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gminy WrOF, mieszkańcy WrOF, podmioty działające w sektorze energetycznym</w:t>
            </w:r>
          </w:p>
        </w:tc>
      </w:tr>
      <w:tr w:rsidR="002F5572" w:rsidRPr="00D240D3" w:rsidTr="002F5572">
        <w:trPr>
          <w:trHeight w:val="510"/>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Okres realizacji:</w:t>
            </w:r>
          </w:p>
        </w:tc>
        <w:tc>
          <w:tcPr>
            <w:tcW w:w="7162" w:type="dxa"/>
            <w:vAlign w:val="center"/>
          </w:tcPr>
          <w:p w:rsidR="002F5572" w:rsidRPr="00D240D3" w:rsidRDefault="002F5572"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2021-2027 (n+2)</w:t>
            </w:r>
          </w:p>
        </w:tc>
      </w:tr>
      <w:tr w:rsidR="002F5572" w:rsidRPr="00D240D3" w:rsidTr="002F5572">
        <w:trPr>
          <w:trHeight w:val="670"/>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Potencjalne źródła finansowania: </w:t>
            </w:r>
          </w:p>
        </w:tc>
        <w:tc>
          <w:tcPr>
            <w:tcW w:w="7162" w:type="dxa"/>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dla Dolnego Śląska 2021-2027</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na Infrastrukturę, Klimat, Środowisko 2021-2027</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Krajowy Plan Odbudowy (KPO)</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inne środki zewnętrzne, budżet państwa, środki własne gminy</w:t>
            </w:r>
          </w:p>
        </w:tc>
      </w:tr>
      <w:tr w:rsidR="002F5572" w:rsidRPr="00D240D3" w:rsidTr="002F5572">
        <w:trPr>
          <w:trHeight w:val="624"/>
          <w:jc w:val="center"/>
        </w:trPr>
        <w:tc>
          <w:tcPr>
            <w:tcW w:w="1910" w:type="dxa"/>
            <w:shd w:val="clear" w:color="auto" w:fill="F1FADE"/>
            <w:vAlign w:val="center"/>
          </w:tcPr>
          <w:p w:rsidR="002F5572" w:rsidRPr="00D240D3" w:rsidRDefault="002F5572" w:rsidP="00EF02E5">
            <w:pPr>
              <w:autoSpaceDE w:val="0"/>
              <w:autoSpaceDN w:val="0"/>
              <w:adjustRightInd w:val="0"/>
              <w:spacing w:line="240" w:lineRule="auto"/>
              <w:jc w:val="right"/>
              <w:rPr>
                <w:color w:val="000000" w:themeColor="text1"/>
                <w:sz w:val="24"/>
                <w:szCs w:val="24"/>
              </w:rPr>
            </w:pPr>
            <w:r w:rsidRPr="00D240D3">
              <w:rPr>
                <w:color w:val="000000" w:themeColor="text1"/>
                <w:sz w:val="24"/>
                <w:szCs w:val="24"/>
              </w:rPr>
              <w:t xml:space="preserve">Proponowane wskaźniki monitorujące realizację kierunku działania: </w:t>
            </w:r>
          </w:p>
        </w:tc>
        <w:tc>
          <w:tcPr>
            <w:tcW w:w="7162" w:type="dxa"/>
            <w:vAlign w:val="center"/>
          </w:tcPr>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Lokale mieszkalne o lepszej charakterystyce energetycznej [szt.]</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Budynki publiczne o lepszej charakterystyce energetycznej [m</w:t>
            </w:r>
            <w:r w:rsidRPr="00D240D3">
              <w:rPr>
                <w:color w:val="000000" w:themeColor="text1"/>
                <w:sz w:val="24"/>
                <w:szCs w:val="24"/>
                <w:vertAlign w:val="superscript"/>
              </w:rPr>
              <w:t>2</w:t>
            </w:r>
            <w:r w:rsidRPr="00D240D3">
              <w:rPr>
                <w:color w:val="000000" w:themeColor="text1"/>
                <w:sz w:val="24"/>
                <w:szCs w:val="24"/>
              </w:rPr>
              <w:t>]</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Liczba zmodernizowanych źródeł ciepła [szt.]</w:t>
            </w:r>
          </w:p>
          <w:p w:rsidR="002F5572" w:rsidRPr="00D240D3" w:rsidRDefault="002F5572"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Redukcja emisji gazów cieplarnianych [Mg/rok]</w:t>
            </w:r>
          </w:p>
        </w:tc>
      </w:tr>
    </w:tbl>
    <w:p w:rsidR="002F5572" w:rsidRDefault="002F5572" w:rsidP="00216B5C">
      <w:pPr>
        <w:pStyle w:val="Default"/>
        <w:spacing w:before="120" w:after="120"/>
        <w:jc w:val="both"/>
      </w:pPr>
    </w:p>
    <w:p w:rsidR="00235FCA" w:rsidRDefault="00235FCA" w:rsidP="00216B5C">
      <w:pPr>
        <w:pStyle w:val="Default"/>
        <w:spacing w:before="120" w:after="120"/>
        <w:jc w:val="both"/>
      </w:pPr>
    </w:p>
    <w:tbl>
      <w:tblPr>
        <w:tblStyle w:val="Tabela-Siatka8"/>
        <w:tblW w:w="888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1.2 Wspieranie rozwoju energii odnawialnej"/>
        <w:tblDescription w:val="omówienie kierunku"/>
      </w:tblPr>
      <w:tblGrid>
        <w:gridCol w:w="1855"/>
        <w:gridCol w:w="7030"/>
      </w:tblGrid>
      <w:tr w:rsidR="00235FCA" w:rsidRPr="00D240D3" w:rsidTr="00F25E70">
        <w:trPr>
          <w:trHeight w:val="850"/>
          <w:tblHeader/>
          <w:jc w:val="center"/>
        </w:trPr>
        <w:tc>
          <w:tcPr>
            <w:tcW w:w="1855" w:type="dxa"/>
            <w:shd w:val="clear" w:color="auto" w:fill="FFFFFF" w:themeFill="background1"/>
            <w:vAlign w:val="center"/>
          </w:tcPr>
          <w:p w:rsidR="00235FCA" w:rsidRPr="00D240D3"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11.2</w:t>
            </w:r>
          </w:p>
        </w:tc>
        <w:tc>
          <w:tcPr>
            <w:tcW w:w="7030" w:type="dxa"/>
            <w:shd w:val="clear" w:color="auto" w:fill="F1FADE"/>
            <w:vAlign w:val="center"/>
          </w:tcPr>
          <w:p w:rsidR="00235FCA" w:rsidRPr="00D240D3" w:rsidRDefault="00235FCA" w:rsidP="00EF02E5">
            <w:pPr>
              <w:autoSpaceDE w:val="0"/>
              <w:autoSpaceDN w:val="0"/>
              <w:adjustRightInd w:val="0"/>
              <w:spacing w:line="240" w:lineRule="auto"/>
              <w:jc w:val="left"/>
              <w:rPr>
                <w:b/>
                <w:bCs/>
                <w:color w:val="000000" w:themeColor="text1"/>
                <w:sz w:val="24"/>
                <w:szCs w:val="24"/>
              </w:rPr>
            </w:pPr>
            <w:r w:rsidRPr="00D240D3">
              <w:rPr>
                <w:b/>
                <w:bCs/>
                <w:color w:val="000000" w:themeColor="text1"/>
                <w:sz w:val="24"/>
                <w:szCs w:val="24"/>
              </w:rPr>
              <w:t>Wspieranie rozwoju energii odnawialnej</w:t>
            </w:r>
          </w:p>
        </w:tc>
      </w:tr>
      <w:tr w:rsidR="00235FCA" w:rsidRPr="00D240D3" w:rsidTr="00F25E70">
        <w:trPr>
          <w:trHeight w:val="624"/>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Charakterystyka działania: </w:t>
            </w:r>
          </w:p>
        </w:tc>
        <w:tc>
          <w:tcPr>
            <w:tcW w:w="7030" w:type="dxa"/>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Rozwój energii odnawialnej wraz z poprawą efektywności energetycznej stanowią podstawy do budowy gospodarki niskoemisyjnej we WrOF, </w:t>
            </w:r>
            <w:r w:rsidRPr="00D240D3">
              <w:rPr>
                <w:color w:val="000000" w:themeColor="text1"/>
                <w:sz w:val="24"/>
                <w:szCs w:val="24"/>
              </w:rPr>
              <w:br/>
              <w:t>a tym samym poprawy stanu środowiska przyrodniczego, ze szczególnym wskazaniem na jakość powietrza.</w:t>
            </w:r>
          </w:p>
        </w:tc>
      </w:tr>
      <w:tr w:rsidR="00235FCA" w:rsidRPr="00D240D3" w:rsidTr="00F25E70">
        <w:trPr>
          <w:trHeight w:val="907"/>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Przykładowe typy przedsięwzięć / projektów / zadań przewidzianych potencjalnie do realizacji </w:t>
            </w:r>
          </w:p>
        </w:tc>
        <w:tc>
          <w:tcPr>
            <w:tcW w:w="7030" w:type="dxa"/>
            <w:vAlign w:val="center"/>
          </w:tcPr>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 xml:space="preserve">Realizacja projektów inwestycyjnych dotyczących instalacji OZE do produkcji energii elektrycznej/ cieplnej wraz z infrastrukturą towarzyszącą; </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Budowa źródeł OZE wraz z infrastrukturą;</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 xml:space="preserve">Budowa magazynów energii; </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Wsparcie mieszkańców w zakresie wdrażania rozwiązań z zakresu odnawialnych źródeł energii;</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Projekty grantowe OZE dla mieszkańców.</w:t>
            </w:r>
          </w:p>
        </w:tc>
      </w:tr>
      <w:tr w:rsidR="00235FCA" w:rsidRPr="00D240D3" w:rsidTr="00F25E70">
        <w:trPr>
          <w:trHeight w:val="907"/>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Interesariusze / potencjalni partnerzy</w:t>
            </w:r>
          </w:p>
        </w:tc>
        <w:tc>
          <w:tcPr>
            <w:tcW w:w="7030" w:type="dxa"/>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gminy WrOF, mieszkańcy WrOF</w:t>
            </w:r>
          </w:p>
        </w:tc>
      </w:tr>
      <w:tr w:rsidR="00235FCA" w:rsidRPr="00D240D3" w:rsidTr="00F25E70">
        <w:trPr>
          <w:trHeight w:val="510"/>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Okres realizacji:</w:t>
            </w:r>
          </w:p>
        </w:tc>
        <w:tc>
          <w:tcPr>
            <w:tcW w:w="7030" w:type="dxa"/>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2021-2027 (n+2)</w:t>
            </w:r>
          </w:p>
        </w:tc>
      </w:tr>
      <w:tr w:rsidR="00235FCA" w:rsidRPr="00D240D3" w:rsidTr="00F25E70">
        <w:trPr>
          <w:trHeight w:val="670"/>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Potencjalne źródła finansowania: </w:t>
            </w:r>
          </w:p>
        </w:tc>
        <w:tc>
          <w:tcPr>
            <w:tcW w:w="7030" w:type="dxa"/>
          </w:tcPr>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dla Dolnego Śląska 2021-2027</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Fundusze Europejskie na Infrastrukturę, Klimat, Środowisko 2021-2027</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Krajowy Plan Odbudowy (KPO)</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inne środki zewnętrzne, budżet państwa, środki własne gminy</w:t>
            </w:r>
          </w:p>
        </w:tc>
      </w:tr>
      <w:tr w:rsidR="00235FCA" w:rsidRPr="00D240D3" w:rsidTr="00F25E70">
        <w:trPr>
          <w:trHeight w:val="624"/>
          <w:jc w:val="center"/>
        </w:trPr>
        <w:tc>
          <w:tcPr>
            <w:tcW w:w="1855" w:type="dxa"/>
            <w:shd w:val="clear" w:color="auto" w:fill="F1FADE"/>
            <w:vAlign w:val="center"/>
          </w:tcPr>
          <w:p w:rsidR="00235FCA" w:rsidRPr="00D240D3" w:rsidRDefault="00235FCA" w:rsidP="00EF02E5">
            <w:pPr>
              <w:autoSpaceDE w:val="0"/>
              <w:autoSpaceDN w:val="0"/>
              <w:adjustRightInd w:val="0"/>
              <w:spacing w:line="240" w:lineRule="auto"/>
              <w:jc w:val="left"/>
              <w:rPr>
                <w:color w:val="000000" w:themeColor="text1"/>
                <w:sz w:val="24"/>
                <w:szCs w:val="24"/>
              </w:rPr>
            </w:pPr>
            <w:r w:rsidRPr="00D240D3">
              <w:rPr>
                <w:color w:val="000000" w:themeColor="text1"/>
                <w:sz w:val="24"/>
                <w:szCs w:val="24"/>
              </w:rPr>
              <w:t xml:space="preserve">Proponowane wskaźniki monitorujące realizację kierunku działania: </w:t>
            </w:r>
          </w:p>
        </w:tc>
        <w:tc>
          <w:tcPr>
            <w:tcW w:w="7030" w:type="dxa"/>
            <w:vAlign w:val="center"/>
          </w:tcPr>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Wytworzona energia odnawialna ogółem (w tym: energia elektryczna, energia cieplna) [</w:t>
            </w:r>
            <w:proofErr w:type="spellStart"/>
            <w:r w:rsidRPr="00D240D3">
              <w:rPr>
                <w:color w:val="000000" w:themeColor="text1"/>
                <w:sz w:val="24"/>
                <w:szCs w:val="24"/>
              </w:rPr>
              <w:t>MWh</w:t>
            </w:r>
            <w:proofErr w:type="spellEnd"/>
            <w:r w:rsidRPr="00D240D3">
              <w:rPr>
                <w:color w:val="000000" w:themeColor="text1"/>
                <w:sz w:val="24"/>
                <w:szCs w:val="24"/>
              </w:rPr>
              <w:t>/rok]</w:t>
            </w:r>
          </w:p>
          <w:p w:rsidR="00235FCA" w:rsidRPr="00D240D3" w:rsidRDefault="00235FCA" w:rsidP="00EF02E5">
            <w:pPr>
              <w:pStyle w:val="Akapitzlist"/>
              <w:numPr>
                <w:ilvl w:val="0"/>
                <w:numId w:val="7"/>
              </w:numPr>
              <w:spacing w:line="240" w:lineRule="auto"/>
              <w:jc w:val="left"/>
              <w:rPr>
                <w:color w:val="000000" w:themeColor="text1"/>
                <w:sz w:val="24"/>
                <w:szCs w:val="24"/>
              </w:rPr>
            </w:pPr>
            <w:r w:rsidRPr="00D240D3">
              <w:rPr>
                <w:color w:val="000000" w:themeColor="text1"/>
                <w:sz w:val="24"/>
                <w:szCs w:val="24"/>
              </w:rPr>
              <w:t>Dodatkowa zdolność wytwarzania energii odnawialnej (w tym: energii elektrycznej, energii cieplnej) [MW]</w:t>
            </w:r>
          </w:p>
        </w:tc>
      </w:tr>
    </w:tbl>
    <w:p w:rsidR="00A1431D" w:rsidRDefault="00A1431D" w:rsidP="00216B5C">
      <w:pPr>
        <w:pStyle w:val="Default"/>
        <w:spacing w:before="120" w:after="120"/>
        <w:jc w:val="both"/>
      </w:pPr>
      <w:r>
        <w:br w:type="page"/>
      </w:r>
    </w:p>
    <w:p w:rsidR="00216B5C" w:rsidRDefault="00216B5C" w:rsidP="00216B5C">
      <w:pPr>
        <w:pStyle w:val="Default"/>
        <w:spacing w:before="120" w:after="120"/>
        <w:jc w:val="both"/>
      </w:pPr>
      <w:r w:rsidRPr="00AF5A1D">
        <w:rPr>
          <w:noProof/>
          <w:lang w:eastAsia="pl-PL"/>
        </w:rPr>
        <w:drawing>
          <wp:inline distT="0" distB="0" distL="0" distR="0" wp14:anchorId="50829A17" wp14:editId="3D5E51FA">
            <wp:extent cx="5448300" cy="1743075"/>
            <wp:effectExtent l="0" t="0" r="0" b="9525"/>
            <wp:docPr id="382" name="Obraz 382" descr="Cel strategiczny 3. Priorytet 12. Ochrona zasobów środowiska i jego bioróżnorodności, Kierunek 12.1 i Kierunek 12.2" title="Cel strategiczny 3. Priorytet 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M:\BIT\wszyscy\ZIT\Realizacja STRATEGIA ZIT WrOF\Ikony schematów\cel strategiczny 3. Priorytet 12.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48300" cy="1743075"/>
                    </a:xfrm>
                    <a:prstGeom prst="rect">
                      <a:avLst/>
                    </a:prstGeom>
                    <a:noFill/>
                    <a:ln>
                      <a:noFill/>
                    </a:ln>
                  </pic:spPr>
                </pic:pic>
              </a:graphicData>
            </a:graphic>
          </wp:inline>
        </w:drawing>
      </w:r>
    </w:p>
    <w:p w:rsidR="00D240D3" w:rsidRDefault="00D240D3" w:rsidP="00D240D3">
      <w:pPr>
        <w:pStyle w:val="Default"/>
        <w:spacing w:before="120" w:after="120" w:line="360" w:lineRule="auto"/>
        <w:rPr>
          <w:color w:val="000000" w:themeColor="text1"/>
        </w:rPr>
      </w:pPr>
      <w:r w:rsidRPr="00D240D3">
        <w:rPr>
          <w:rFonts w:asciiTheme="majorHAnsi" w:eastAsiaTheme="majorEastAsia" w:hAnsiTheme="majorHAnsi" w:cstheme="majorBidi"/>
          <w:b/>
          <w:color w:val="000000" w:themeColor="text1"/>
          <w:sz w:val="32"/>
          <w:szCs w:val="26"/>
        </w:rPr>
        <w:t xml:space="preserve">Priorytet Ochrona zasobów środowiska i jego bioróżnorodności </w:t>
      </w:r>
      <w:r w:rsidRPr="00D240D3">
        <w:rPr>
          <w:color w:val="000000" w:themeColor="text1"/>
        </w:rPr>
        <w:t>wsk</w:t>
      </w:r>
      <w:r>
        <w:rPr>
          <w:color w:val="000000" w:themeColor="text1"/>
        </w:rPr>
        <w:t>azuje się</w:t>
      </w:r>
      <w:r w:rsidRPr="00D240D3">
        <w:rPr>
          <w:color w:val="000000" w:themeColor="text1"/>
        </w:rPr>
        <w:t xml:space="preserve"> działania związane z zapewnieniem i rozwojem oraz modernizacją infrastruktury wodno-ściekowej, w tym wynikające z KPOŚK, co umożliwi spełnienie wymogów zawartych w dyrektywie ściekowej. Zaplanowane przedsięwzięcia do</w:t>
      </w:r>
      <w:r w:rsidR="001D1207">
        <w:rPr>
          <w:color w:val="000000" w:themeColor="text1"/>
        </w:rPr>
        <w:t>tyczą m.in. budowy, rozbudowy i </w:t>
      </w:r>
      <w:r w:rsidRPr="00D240D3">
        <w:rPr>
          <w:color w:val="000000" w:themeColor="text1"/>
        </w:rPr>
        <w:t>modernizacji sieci wodno-kanalizacyjnej oraz oczyszczalni ścieków i instalacji do przetwarzania osadów ściekowych, budowy i modernizacji infrastruktury niezbędnej do ujęcia, uzdatniania, magazynowania i dystrybucji wody, realizacji działań mających na celu ograniczanie strat wody, jej odzyskiwanie, zarządzanie oraz zapewnienie bezpieczeństwa jej dostarczania. Z  uwagi na różnorodność przyrodniczą obszaru istotne jest dbanie o stan jego środowiska oraz racjonalne wykorzystanie i udostępnianie zasobów, w tym turystyczne. Kluczowe jest dbanie o zasoby przyrodnicze, ochro</w:t>
      </w:r>
      <w:r w:rsidR="001D1207">
        <w:rPr>
          <w:color w:val="000000" w:themeColor="text1"/>
        </w:rPr>
        <w:t>na gatunkowa oraz siedliskowa i </w:t>
      </w:r>
      <w:r w:rsidRPr="00D240D3">
        <w:rPr>
          <w:color w:val="000000" w:themeColor="text1"/>
        </w:rPr>
        <w:t>zmniejszenie antropopresji na środowisko naturalne. Kolejną kwestią w ramach Priorytetu są działania związane z adaptacją obszaru do zmian klimatycznych, w tym zapobieganie ryzyku występowania klęsk żywiołowych. Działania obejmują m.in. rozwój zielonej i niebieskiej infrastruktury, zapobieganie zagrożeniom oraz zwiększanie odporności na klęski żywiołowe, wdrażanie systemów mających na celu zapobieganie podtopieniom i </w:t>
      </w:r>
      <w:proofErr w:type="spellStart"/>
      <w:r w:rsidRPr="00D240D3">
        <w:rPr>
          <w:color w:val="000000" w:themeColor="text1"/>
        </w:rPr>
        <w:t>zalaniom</w:t>
      </w:r>
      <w:proofErr w:type="spellEnd"/>
      <w:r w:rsidRPr="00D240D3">
        <w:rPr>
          <w:color w:val="000000" w:themeColor="text1"/>
        </w:rPr>
        <w:t>, retencjonowanie wody wraz z systemami jej zagospodarowania, systemy zarządzania wodami opadowymi, prowadzenie działań w zakresie ostrzegania i monitoringu w sytuacjach kryzysowych oraz edukacji ekologicznej i budowania świadomości dotyczącej adaptacji do zmian klimatu.</w:t>
      </w:r>
    </w:p>
    <w:p w:rsidR="00235FCA" w:rsidRDefault="00235FCA" w:rsidP="00D240D3">
      <w:pPr>
        <w:pStyle w:val="Default"/>
        <w:spacing w:before="120" w:after="120" w:line="360" w:lineRule="auto"/>
        <w:rPr>
          <w:color w:val="000000" w:themeColor="text1"/>
        </w:rPr>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2.1 Rozwijanie gospodarki wodno-ściekowej"/>
        <w:tblDescription w:val="Omówienie kierunku"/>
      </w:tblPr>
      <w:tblGrid>
        <w:gridCol w:w="1861"/>
        <w:gridCol w:w="7211"/>
      </w:tblGrid>
      <w:tr w:rsidR="00235FCA" w:rsidRPr="00174021" w:rsidTr="00EF02E5">
        <w:trPr>
          <w:trHeight w:val="850"/>
          <w:tblHeader/>
          <w:jc w:val="center"/>
        </w:trPr>
        <w:tc>
          <w:tcPr>
            <w:tcW w:w="1701" w:type="dxa"/>
            <w:shd w:val="clear" w:color="auto" w:fill="FFFFFF" w:themeFill="background1"/>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12.1</w:t>
            </w:r>
          </w:p>
        </w:tc>
        <w:tc>
          <w:tcPr>
            <w:tcW w:w="6945" w:type="dxa"/>
            <w:shd w:val="clear" w:color="auto" w:fill="F1FADE"/>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Rozwijanie gospodarki wodno-ściekowej</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Charakterystyka działania: </w:t>
            </w:r>
          </w:p>
        </w:tc>
        <w:tc>
          <w:tcPr>
            <w:tcW w:w="6945" w:type="dxa"/>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Rozwój i zapewnienie dostępności infrastruktury wodno-kanalizacyjnej jest podstawowym oczekiwaniem mieszkańców w zakresie infrastruktury. Zaplanowane przedsięwzięcia pozwolą na spełnienie wymogów zawartych w dyrektywie ściekowej</w:t>
            </w:r>
            <w:r w:rsidRPr="00174021">
              <w:rPr>
                <w:rStyle w:val="Odwoanieprzypisudolnego"/>
                <w:color w:val="000000" w:themeColor="text1"/>
                <w:sz w:val="24"/>
                <w:szCs w:val="24"/>
              </w:rPr>
              <w:footnoteReference w:id="119"/>
            </w:r>
            <w:r w:rsidRPr="00174021">
              <w:rPr>
                <w:color w:val="000000" w:themeColor="text1"/>
                <w:sz w:val="24"/>
                <w:szCs w:val="24"/>
              </w:rPr>
              <w:t>.</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Przykładowe typy przedsięwzięć / projektów / zadań przewidzianych potencjalnie do realizacji </w:t>
            </w:r>
          </w:p>
        </w:tc>
        <w:tc>
          <w:tcPr>
            <w:tcW w:w="6945"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i modernizacja infrastruktury niezbędnej do ujęcia, uzdatniania, magazynowania i dystrybucji wody do spożycia;</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rozbudowa i modernizacja sieci wodno-kanalizacyjnej;</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rozbudowa i modernizacja oczyszczalni ścieków oraz instalacji do przetwarzania osadów;</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Zwiększenia dostępności usług związanych z oczyszczaniem ścieków w gminach WrOF;</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Zastosowanie nowoczesnych i energooszczędnych technologii w procesie oczyszczania ścieków;</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Realizacja działań mających na celu ograniczanie strat wody, jej odzyskiwanie, zarządzanie oraz zapewnianie bezpieczeństwa dostarczania; </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Prowadzenie działań wśród mieszkańców WrOF w zakresie podnoszenia świadomości ekologicznej w kwestii oszczędzania wody.</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Interesariusze / potencjalni partnerzy</w:t>
            </w:r>
          </w:p>
        </w:tc>
        <w:tc>
          <w:tcPr>
            <w:tcW w:w="6945"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gminy WrOF, mieszkańcy WrOF, podmioty świadczące usługi wodno-ściekowe</w:t>
            </w:r>
          </w:p>
        </w:tc>
      </w:tr>
      <w:tr w:rsidR="00235FCA" w:rsidRPr="00174021" w:rsidTr="00EF02E5">
        <w:trPr>
          <w:trHeight w:val="510"/>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Okres realizacji:</w:t>
            </w:r>
          </w:p>
        </w:tc>
        <w:tc>
          <w:tcPr>
            <w:tcW w:w="6945"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2021-2027 (n+2)</w:t>
            </w:r>
          </w:p>
        </w:tc>
      </w:tr>
      <w:tr w:rsidR="00235FCA" w:rsidRPr="00174021" w:rsidTr="00EF02E5">
        <w:trPr>
          <w:trHeight w:val="670"/>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Potencjalne źródła finansowania: </w:t>
            </w:r>
          </w:p>
        </w:tc>
        <w:tc>
          <w:tcPr>
            <w:tcW w:w="6945" w:type="dxa"/>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dla Dolnego Śląska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na Infrastrukturę, Klimat, Środowisko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inne środki zewnętrzne, budżet państwa, środki własne gminy</w:t>
            </w:r>
          </w:p>
        </w:tc>
      </w:tr>
      <w:tr w:rsidR="00235FCA" w:rsidRPr="00174021" w:rsidTr="00EF02E5">
        <w:trPr>
          <w:trHeight w:val="624"/>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Proponowane wskaźniki monitorujące realizację kierunku działania: </w:t>
            </w:r>
          </w:p>
        </w:tc>
        <w:tc>
          <w:tcPr>
            <w:tcW w:w="6945" w:type="dxa"/>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Długość nowych lub zmodernizowanych sieci kanalizacyjnych w ramach zbiorowych systemów odprowadzania ścieków [km]</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Wydajność nowo wybudowanych lub zmodernizowanych instalacji oczyszczania ścieków [równoważna liczba mieszkańców]</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Ludność przyłączona do zbiorowych systemów oczyszczania ścieków co najmniej II stopnia [osoby]</w:t>
            </w:r>
          </w:p>
        </w:tc>
      </w:tr>
    </w:tbl>
    <w:p w:rsidR="00235FCA" w:rsidRDefault="00235FCA" w:rsidP="00D240D3">
      <w:pPr>
        <w:pStyle w:val="Default"/>
        <w:spacing w:before="120" w:after="120" w:line="360" w:lineRule="auto"/>
        <w:rPr>
          <w:color w:val="000000" w:themeColor="text1"/>
        </w:rPr>
      </w:pPr>
      <w:r>
        <w:rPr>
          <w:color w:val="000000" w:themeColor="text1"/>
        </w:rPr>
        <w:br w:type="page"/>
      </w: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2.2 Ochrona różnorodności biologicznej oraz adaptacja do zmian klimatu wraz z zabezpieczeniem i zwiększeniem odporności na klęski żywiołowe"/>
        <w:tblDescription w:val="omówienie kierunku"/>
      </w:tblPr>
      <w:tblGrid>
        <w:gridCol w:w="1831"/>
        <w:gridCol w:w="7241"/>
      </w:tblGrid>
      <w:tr w:rsidR="00235FCA" w:rsidRPr="00174021" w:rsidTr="00F25E70">
        <w:trPr>
          <w:trHeight w:val="1077"/>
          <w:tblHeader/>
          <w:jc w:val="center"/>
        </w:trPr>
        <w:tc>
          <w:tcPr>
            <w:tcW w:w="1831" w:type="dxa"/>
            <w:shd w:val="clear" w:color="auto" w:fill="FFFFFF" w:themeFill="background1"/>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12.2</w:t>
            </w:r>
          </w:p>
        </w:tc>
        <w:tc>
          <w:tcPr>
            <w:tcW w:w="7241" w:type="dxa"/>
            <w:shd w:val="clear" w:color="auto" w:fill="F1FADE"/>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Ochrona różnorodności biologicznej oraz adaptacja do zmian klimatu wraz z zabezpieczeniem i zwiększeniem odporności na klęski żywiołowe</w:t>
            </w:r>
          </w:p>
        </w:tc>
      </w:tr>
      <w:tr w:rsidR="00235FCA" w:rsidRPr="00174021" w:rsidTr="00235FCA">
        <w:trPr>
          <w:trHeight w:val="907"/>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Charakterystyka działania: </w:t>
            </w:r>
          </w:p>
        </w:tc>
        <w:tc>
          <w:tcPr>
            <w:tcW w:w="7241" w:type="dxa"/>
          </w:tcPr>
          <w:p w:rsidR="00235FCA" w:rsidRPr="00174021" w:rsidRDefault="00235FCA" w:rsidP="00A1431D">
            <w:pPr>
              <w:autoSpaceDE w:val="0"/>
              <w:autoSpaceDN w:val="0"/>
              <w:adjustRightInd w:val="0"/>
              <w:spacing w:line="240" w:lineRule="auto"/>
              <w:jc w:val="left"/>
              <w:rPr>
                <w:color w:val="000000" w:themeColor="text1"/>
                <w:sz w:val="24"/>
                <w:szCs w:val="24"/>
              </w:rPr>
            </w:pPr>
            <w:r w:rsidRPr="00174021">
              <w:rPr>
                <w:color w:val="000000" w:themeColor="text1"/>
                <w:sz w:val="24"/>
                <w:szCs w:val="24"/>
              </w:rPr>
              <w:t>Obszar WrOF charakteryzuje się różnorodnością biologiczną, w tym wieloma rodzajami form ochrony przyrody, które stanowią szczególną wartość obszaru. Kluczowe jest dbanie o stan środowiska naturalnego oraz ochrona bioróżnorodności, wraz z racjonalnym wykorzystaniem i udostępnianiem zasobów w tym np. w celach edukacyjnych, turystycznych czy rekreacyjnych.</w:t>
            </w:r>
            <w:r w:rsidR="00A1431D" w:rsidRPr="00174021">
              <w:rPr>
                <w:color w:val="000000" w:themeColor="text1"/>
                <w:sz w:val="24"/>
                <w:szCs w:val="24"/>
              </w:rPr>
              <w:t xml:space="preserve"> </w:t>
            </w:r>
            <w:r w:rsidRPr="00174021">
              <w:rPr>
                <w:color w:val="000000" w:themeColor="text1"/>
                <w:sz w:val="24"/>
                <w:szCs w:val="24"/>
              </w:rPr>
              <w:t xml:space="preserve">W celu ochrony środowiska i bioróżnorodności oraz łagodzenia zachodzących zmian klimatycznych istotne znaczenie mają działania mające na celu wzmocnienie ochrony przyrody, </w:t>
            </w:r>
            <w:proofErr w:type="spellStart"/>
            <w:r w:rsidRPr="00174021">
              <w:rPr>
                <w:color w:val="000000" w:themeColor="text1"/>
                <w:sz w:val="24"/>
                <w:szCs w:val="24"/>
              </w:rPr>
              <w:t>mitygację</w:t>
            </w:r>
            <w:proofErr w:type="spellEnd"/>
            <w:r w:rsidRPr="00174021">
              <w:rPr>
                <w:color w:val="000000" w:themeColor="text1"/>
                <w:sz w:val="24"/>
                <w:szCs w:val="24"/>
              </w:rPr>
              <w:t xml:space="preserve"> i adaptację do zmian klimatu. W ramach działania niezwykle ważne są zadania dotyczące  realizacji przedsięwzięć mających na celu retencję, ograniczanie strat wody, jej odzyskiwanie, zarządzanie oraz zapewnianie bezpieczeństwa jej dostarczania, ponadto działania w zakresie zielonej i niebieskiej infrastruktury oraz różnorodności biologicznej, dziedzictwa naturalnego i zasobów naturalnych, zapobieganie zagrożeniom oraz zwiększaniu odporności na klęski żywiołowe, w tym systemy ostrzegania i monitorowania oraz reagowania w sytuacjach kryzysowych.</w:t>
            </w:r>
          </w:p>
        </w:tc>
      </w:tr>
      <w:tr w:rsidR="00235FCA" w:rsidRPr="00174021" w:rsidTr="00235FCA">
        <w:trPr>
          <w:trHeight w:val="907"/>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Przykładowe typy przedsięwzięć / projektów / zadań przewidzianych potencjalnie do realizacji </w:t>
            </w:r>
          </w:p>
        </w:tc>
        <w:tc>
          <w:tcPr>
            <w:tcW w:w="7241"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pacing w:val="-2"/>
                <w:kern w:val="22"/>
                <w:sz w:val="24"/>
                <w:szCs w:val="24"/>
              </w:rPr>
              <w:t>Poprawa jakości powietrza oraz stanu gleby i wód, w szczególności</w:t>
            </w:r>
            <w:r w:rsidRPr="00174021">
              <w:rPr>
                <w:color w:val="000000" w:themeColor="text1"/>
                <w:sz w:val="24"/>
                <w:szCs w:val="24"/>
              </w:rPr>
              <w:t xml:space="preserve"> rzeki Odry;</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Ochrona zasobów przyrodniczych, w tym form ochrony przyrody  zlokalizowanych na terenie WrOF;</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Wsparcie ochrony gatunków i siedlisk występujących na obszarach chronionych;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Realizacja działań mających na celu odtwarzanie zdegradowanych siedlisk oraz ochrona siedlisk przed degradacją;</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Racjonalne udostępnianie obszarów atrakcyjnych przyrodniczo np. w celach edukacyjnych, turystycznych, rekreacyjnych;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Stworzenie zagospodarowanych terenów zielonych połączonych z funkcjami edukacyjnymi, rekreacyjnymi;</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Zmniejszenie antropopresji na środowisko naturalne;</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Realizacja projektów zgodnie z planami zazieleniania; </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Rozwój zielonej i niebieskiej infrastruktury, w tym na obszarach miejskich np. zielone dachy, przystanki, ściany i fasady, rozwój terenów zielonych, w tym parki i lasy, naturalne zbiorniki wodne, stawy, niecki, rowy, likwidacja powierzchni nieprzepuszczalnych;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Wdrażanie systemów mających na celu zapobieganie podtopieniom i </w:t>
            </w:r>
            <w:proofErr w:type="spellStart"/>
            <w:r w:rsidRPr="00174021">
              <w:rPr>
                <w:color w:val="000000" w:themeColor="text1"/>
                <w:sz w:val="24"/>
                <w:szCs w:val="24"/>
              </w:rPr>
              <w:t>zalaniom</w:t>
            </w:r>
            <w:proofErr w:type="spellEnd"/>
            <w:r w:rsidRPr="00174021">
              <w:rPr>
                <w:color w:val="000000" w:themeColor="text1"/>
                <w:sz w:val="24"/>
                <w:szCs w:val="24"/>
              </w:rPr>
              <w:t>;</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Prowadzenie działań z zakresu retencjonowania wody wraz z systemami jej zagospodarowania oraz wykorzystania;</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Wdrażanie inteligentnych systemów zarządzania wodami opadowymi;</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Prowadzenie działań w zakresie edukacji ekologicznej i budowania świadomości dotyczącej adaptacji do zmian klimatu i możliwych skutków;</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Realizacja zapisów Planu adaptacji miasta Wrocławia do zmian klimatu;</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Wdrażanie systemów ostrzegania i monitorowania oraz reagowania w sytuacjach kryzysowych;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Zapobieganie i minimalizowanie skutków zagrożeń </w:t>
            </w:r>
            <w:r w:rsidRPr="00174021">
              <w:rPr>
                <w:iCs/>
                <w:color w:val="000000" w:themeColor="text1"/>
                <w:sz w:val="24"/>
                <w:szCs w:val="24"/>
              </w:rPr>
              <w:t>antropogenicznych i naturalnych;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Zwiększenie efektywności energetycznej infrastruktury publicznej.</w:t>
            </w:r>
          </w:p>
        </w:tc>
      </w:tr>
      <w:tr w:rsidR="00235FCA" w:rsidRPr="00174021" w:rsidTr="00235FCA">
        <w:trPr>
          <w:trHeight w:val="907"/>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Interesariusze / potencjalni partnerzy</w:t>
            </w:r>
          </w:p>
        </w:tc>
        <w:tc>
          <w:tcPr>
            <w:tcW w:w="7241"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gminy WrOF, mieszkańcy WrOF</w:t>
            </w:r>
          </w:p>
        </w:tc>
      </w:tr>
      <w:tr w:rsidR="00235FCA" w:rsidRPr="00174021" w:rsidTr="00235FCA">
        <w:trPr>
          <w:trHeight w:val="510"/>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Okres realizacji:</w:t>
            </w:r>
          </w:p>
        </w:tc>
        <w:tc>
          <w:tcPr>
            <w:tcW w:w="7241"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2021-2027 (n+2)</w:t>
            </w:r>
          </w:p>
        </w:tc>
      </w:tr>
      <w:tr w:rsidR="00235FCA" w:rsidRPr="00174021" w:rsidTr="00235FCA">
        <w:trPr>
          <w:trHeight w:val="670"/>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Potencjalne źródła finansowania: </w:t>
            </w:r>
          </w:p>
        </w:tc>
        <w:tc>
          <w:tcPr>
            <w:tcW w:w="7241" w:type="dxa"/>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dla Dolnego Śląska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na Infrastrukturę, Klimat, Środowisko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Krajowy Plan Odbudowy (KPO)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inne środki zewnętrzne, budżet państwa, środki własne gminy</w:t>
            </w:r>
          </w:p>
        </w:tc>
      </w:tr>
      <w:tr w:rsidR="00235FCA" w:rsidRPr="00174021" w:rsidTr="00235FCA">
        <w:trPr>
          <w:trHeight w:val="624"/>
          <w:jc w:val="center"/>
        </w:trPr>
        <w:tc>
          <w:tcPr>
            <w:tcW w:w="183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Proponowane wskaźniki monitorujące realizację kierunku działania: </w:t>
            </w:r>
          </w:p>
        </w:tc>
        <w:tc>
          <w:tcPr>
            <w:tcW w:w="7241"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Liczba wspartych form ochrony przyrody [szt.]</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Powierzchnia wspartych obszarów chronionych [ha]</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Zielona infrastruktura wybudowana lub zmodernizowana w celu przystosowania się do zmian klimatu [ha]</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Ludność mająca dostęp do nowej lub udoskonalonej zielonej infrastruktury [osoby]</w:t>
            </w:r>
          </w:p>
        </w:tc>
      </w:tr>
    </w:tbl>
    <w:p w:rsidR="00235FCA" w:rsidRDefault="00235FCA" w:rsidP="00D240D3">
      <w:pPr>
        <w:pStyle w:val="Default"/>
        <w:spacing w:before="120" w:after="120" w:line="360" w:lineRule="auto"/>
        <w:rPr>
          <w:color w:val="000000" w:themeColor="text1"/>
        </w:rPr>
      </w:pPr>
    </w:p>
    <w:p w:rsidR="00235FCA" w:rsidRDefault="00235FCA" w:rsidP="00D240D3">
      <w:pPr>
        <w:pStyle w:val="Default"/>
        <w:spacing w:before="120" w:after="120" w:line="360" w:lineRule="auto"/>
        <w:rPr>
          <w:color w:val="000000" w:themeColor="text1"/>
        </w:rPr>
      </w:pPr>
    </w:p>
    <w:p w:rsidR="00235FCA" w:rsidRPr="00D240D3" w:rsidRDefault="00235FCA" w:rsidP="00D240D3">
      <w:pPr>
        <w:pStyle w:val="Default"/>
        <w:spacing w:before="120" w:after="120" w:line="360" w:lineRule="auto"/>
        <w:rPr>
          <w:color w:val="000000" w:themeColor="text1"/>
          <w:sz w:val="28"/>
        </w:rPr>
      </w:pPr>
    </w:p>
    <w:p w:rsidR="00173E0D" w:rsidRDefault="00173E0D" w:rsidP="00216B5C">
      <w:pPr>
        <w:pStyle w:val="Default"/>
        <w:spacing w:before="120" w:after="120"/>
        <w:jc w:val="both"/>
      </w:pPr>
      <w:r>
        <w:br w:type="page"/>
      </w:r>
    </w:p>
    <w:p w:rsidR="00216B5C" w:rsidRDefault="00173E0D" w:rsidP="00216B5C">
      <w:pPr>
        <w:pStyle w:val="Default"/>
        <w:spacing w:before="120" w:after="120"/>
        <w:jc w:val="both"/>
      </w:pPr>
      <w:r w:rsidRPr="00783598">
        <w:rPr>
          <w:noProof/>
          <w:lang w:eastAsia="pl-PL"/>
        </w:rPr>
        <w:drawing>
          <wp:inline distT="0" distB="0" distL="0" distR="0" wp14:anchorId="667BB3B1" wp14:editId="32A97F45">
            <wp:extent cx="5760720" cy="1999881"/>
            <wp:effectExtent l="0" t="0" r="0" b="635"/>
            <wp:docPr id="391" name="Obraz 391" descr="Cel strategiczny 3. Priorytet 13. Zrównoważona mobilność, Kierunek 13.1, Kierunek 13.2, Kierunek 13.3, Kierunek 13.4, Kierunek 13.5" title="Cel strategiczny 3. Prioryte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BIT\wszyscy\ZIT\Realizacja STRATEGIA ZIT WrOF\Ikony schematów\cel strategiczny 3. Priorytet 13.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60720" cy="1999881"/>
                    </a:xfrm>
                    <a:prstGeom prst="rect">
                      <a:avLst/>
                    </a:prstGeom>
                    <a:noFill/>
                    <a:ln>
                      <a:noFill/>
                    </a:ln>
                  </pic:spPr>
                </pic:pic>
              </a:graphicData>
            </a:graphic>
          </wp:inline>
        </w:drawing>
      </w:r>
    </w:p>
    <w:p w:rsidR="00174021" w:rsidRDefault="00174021" w:rsidP="00174021">
      <w:pPr>
        <w:pStyle w:val="Default"/>
        <w:spacing w:before="120" w:after="120" w:line="360" w:lineRule="auto"/>
        <w:rPr>
          <w:color w:val="000000" w:themeColor="text1"/>
          <w:szCs w:val="22"/>
        </w:rPr>
      </w:pPr>
      <w:r w:rsidRPr="00174021">
        <w:rPr>
          <w:rFonts w:asciiTheme="majorHAnsi" w:eastAsiaTheme="majorEastAsia" w:hAnsiTheme="majorHAnsi" w:cstheme="majorBidi"/>
          <w:b/>
          <w:color w:val="000000" w:themeColor="text1"/>
          <w:sz w:val="36"/>
          <w:szCs w:val="26"/>
        </w:rPr>
        <w:t xml:space="preserve">Priorytet Zrównoważona mobilność </w:t>
      </w:r>
      <w:r w:rsidRPr="00174021">
        <w:rPr>
          <w:color w:val="000000" w:themeColor="text1"/>
          <w:szCs w:val="22"/>
        </w:rPr>
        <w:t>Stworzenie warunków dla zrównoważonej multimodalnej mobilności miejskiej tj. sprawnego, zintegrowanego, efektywnego, inteligentnego i bezpiecznego nisko i </w:t>
      </w:r>
      <w:proofErr w:type="spellStart"/>
      <w:r w:rsidRPr="00174021">
        <w:rPr>
          <w:color w:val="000000" w:themeColor="text1"/>
          <w:szCs w:val="22"/>
        </w:rPr>
        <w:t>zeroemisyjnego</w:t>
      </w:r>
      <w:proofErr w:type="spellEnd"/>
      <w:r w:rsidRPr="00174021">
        <w:rPr>
          <w:color w:val="000000" w:themeColor="text1"/>
          <w:szCs w:val="22"/>
        </w:rPr>
        <w:t xml:space="preserve"> systemu transportowego jest ważnym kierunkiem rozwoju obszaru ZIT WrOF. </w:t>
      </w:r>
      <w:r w:rsidRPr="00174021">
        <w:rPr>
          <w:rFonts w:cstheme="minorHAnsi"/>
          <w:color w:val="000000" w:themeColor="text1"/>
          <w:szCs w:val="22"/>
        </w:rPr>
        <w:t>Priorytet skupiony jest na działaniach zmniejszających szkodliwe oddziaływanie transportu na środowisko naturalne, poprawiających mobilność i zintegrowanie transportowe oraz wpływających na zwiększenie bezpieczeństwa niechronionych uczestników ruchu. Ponadto wszystkie inwestycje podniosą komfort pasażerów komunikacji zbiorowej oraz osób przemieszczających się po obszarze pieszo, rowerami i UTO. Realizacja powyższych działań zostanie zrealizowana za pomocą zintegrowanych inwestycji z  zakresu m.in.: budowy i rozbudowy centrów/węzłów przesiadkowych wraz z P&amp;R, B&amp;R, budowy i rozbudowy sieci dróg dla rowerów, ciągów pieszo-rowerowych, inwestycji w zero i niskoemisyjny tab</w:t>
      </w:r>
      <w:r w:rsidR="001D1207">
        <w:rPr>
          <w:rFonts w:cstheme="minorHAnsi"/>
          <w:color w:val="000000" w:themeColor="text1"/>
          <w:szCs w:val="22"/>
        </w:rPr>
        <w:t>or komunikacji zbiorowej wraz z </w:t>
      </w:r>
      <w:r w:rsidRPr="00174021">
        <w:rPr>
          <w:rFonts w:cstheme="minorHAnsi"/>
          <w:color w:val="000000" w:themeColor="text1"/>
          <w:szCs w:val="22"/>
        </w:rPr>
        <w:t xml:space="preserve">niezbędną infrastrukturą, w tym ładowania oraz wdrażania paliw alternatywnych oraz rozbudowy systemu ITS. Całości podejmowanych działań dopełni rozwój systemu transportu szynowego na terenie WrOF (m.in. budowa nowych tras tramwajowych i rozwój połączeń kolejowych) oraz </w:t>
      </w:r>
      <w:r w:rsidRPr="00174021">
        <w:rPr>
          <w:color w:val="000000" w:themeColor="text1"/>
          <w:szCs w:val="22"/>
        </w:rPr>
        <w:t>aktualizacja i przygotowanie dokumentów wspierających osiągnięcie zrównoważonej mobilności miejskiej</w:t>
      </w:r>
      <w:r w:rsidRPr="00174021">
        <w:rPr>
          <w:rFonts w:cstheme="minorHAnsi"/>
          <w:color w:val="000000" w:themeColor="text1"/>
          <w:szCs w:val="22"/>
        </w:rPr>
        <w:t xml:space="preserve">. Wszystkie inwestycje z zakresu mobilności realizują założenia </w:t>
      </w:r>
      <w:r w:rsidRPr="00174021">
        <w:rPr>
          <w:color w:val="000000" w:themeColor="text1"/>
          <w:szCs w:val="22"/>
        </w:rPr>
        <w:t>Planu Zrównoważonej Mobilności dla Miejskiego Obszaru Funkcjonalnego Wrocławia.</w:t>
      </w:r>
    </w:p>
    <w:tbl>
      <w:tblPr>
        <w:tblStyle w:val="Tabela-Siatka8"/>
        <w:tblW w:w="898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3.1 Zwiększenie konkurencyjności transportu zbiorowego "/>
        <w:tblDescription w:val="Omówienie kierunku"/>
      </w:tblPr>
      <w:tblGrid>
        <w:gridCol w:w="1862"/>
        <w:gridCol w:w="7127"/>
      </w:tblGrid>
      <w:tr w:rsidR="00235FCA" w:rsidRPr="00174021" w:rsidTr="00EF02E5">
        <w:trPr>
          <w:trHeight w:val="850"/>
          <w:tblHeader/>
          <w:jc w:val="center"/>
        </w:trPr>
        <w:tc>
          <w:tcPr>
            <w:tcW w:w="1862" w:type="dxa"/>
            <w:shd w:val="clear" w:color="auto" w:fill="FFFFFF" w:themeFill="background1"/>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13.1</w:t>
            </w:r>
          </w:p>
        </w:tc>
        <w:tc>
          <w:tcPr>
            <w:tcW w:w="7127" w:type="dxa"/>
            <w:shd w:val="clear" w:color="auto" w:fill="F1FADE"/>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 xml:space="preserve">Zwiększenie konkurencyjności transportu zbiorowego </w:t>
            </w:r>
            <w:r w:rsidRPr="00174021">
              <w:rPr>
                <w:b/>
                <w:bCs/>
                <w:color w:val="000000" w:themeColor="text1"/>
                <w:sz w:val="24"/>
                <w:szCs w:val="24"/>
              </w:rPr>
              <w:br/>
              <w:t>i niskoemisyjnych form przemieszczania się</w:t>
            </w:r>
          </w:p>
        </w:tc>
      </w:tr>
      <w:tr w:rsidR="00235FCA" w:rsidRPr="00174021" w:rsidTr="00EF02E5">
        <w:trPr>
          <w:trHeight w:val="907"/>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Charakterystyka działania: </w:t>
            </w:r>
          </w:p>
        </w:tc>
        <w:tc>
          <w:tcPr>
            <w:tcW w:w="7127" w:type="dxa"/>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Podejmowane działania zapewnią rozwój sieci transportu publicznego poprzez inwestycje w sieć tras tramwajowych i autobusowych, co stworzy faktyczną alternatywę dla indywidualnych podróży samochodowych na obszarze WrOF. Ponadto zaproponowane działania przyczynią się do upłynnienia ruchu oraz zmniejszenia emisji zanieczyszczeń z sektora transportu. </w:t>
            </w:r>
          </w:p>
        </w:tc>
      </w:tr>
      <w:tr w:rsidR="00235FCA" w:rsidRPr="00174021" w:rsidTr="00EF02E5">
        <w:trPr>
          <w:trHeight w:val="907"/>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Przykładowe typy przedsięwzięć / projektów / zadań przewidzianych potencjalnie do realizacji </w:t>
            </w:r>
          </w:p>
        </w:tc>
        <w:tc>
          <w:tcPr>
            <w:tcW w:w="7127"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Inwestycje w infrastrukturę i tabor szynowy publicznego transportu zbiorowego, w tym nowe trasy tramwajowe;</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Inwestycje w tabor </w:t>
            </w:r>
            <w:proofErr w:type="spellStart"/>
            <w:r w:rsidRPr="00174021">
              <w:rPr>
                <w:color w:val="000000" w:themeColor="text1"/>
                <w:sz w:val="24"/>
                <w:szCs w:val="24"/>
              </w:rPr>
              <w:t>niskoemisyjnyi</w:t>
            </w:r>
            <w:proofErr w:type="spellEnd"/>
            <w:r w:rsidRPr="00174021">
              <w:rPr>
                <w:color w:val="000000" w:themeColor="text1"/>
                <w:sz w:val="24"/>
                <w:szCs w:val="24"/>
              </w:rPr>
              <w:t xml:space="preserve"> </w:t>
            </w:r>
            <w:proofErr w:type="spellStart"/>
            <w:r w:rsidRPr="00174021">
              <w:rPr>
                <w:color w:val="000000" w:themeColor="text1"/>
                <w:sz w:val="24"/>
                <w:szCs w:val="24"/>
              </w:rPr>
              <w:t>zeroemisyjny</w:t>
            </w:r>
            <w:proofErr w:type="spellEnd"/>
            <w:r w:rsidRPr="00174021">
              <w:rPr>
                <w:color w:val="000000" w:themeColor="text1"/>
                <w:sz w:val="24"/>
                <w:szCs w:val="24"/>
              </w:rPr>
              <w:t xml:space="preserve"> publicznego transportu zbiorowego wraz z niezbędną infrastrukturą;</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Budowa dróg dla rowerów, ścieżek rowerowych,  ciągów pieszo-rowerowych, tras rowerowych  itp. wraz z niezbędną infrastrukturą, </w:t>
            </w:r>
            <w:r w:rsidRPr="00174021">
              <w:rPr>
                <w:rFonts w:cstheme="minorHAnsi"/>
                <w:bCs/>
                <w:color w:val="000000" w:themeColor="text1"/>
                <w:sz w:val="24"/>
                <w:szCs w:val="24"/>
              </w:rPr>
              <w:t>integracja (połączenie) ważnych ciągów komunikacyjnych, które aktualnie ograniczone są przez naturalne bariery np. w postaci rzek.</w:t>
            </w:r>
          </w:p>
        </w:tc>
      </w:tr>
      <w:tr w:rsidR="00235FCA" w:rsidRPr="00174021" w:rsidTr="00EF02E5">
        <w:trPr>
          <w:trHeight w:val="907"/>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Interesariusze / potencjalni partnerzy</w:t>
            </w:r>
          </w:p>
        </w:tc>
        <w:tc>
          <w:tcPr>
            <w:tcW w:w="7127"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Zarządcy dróg, mieszkańcy WrOF, spółki miejskie, przewoźnicy transportu publicznego, samorządy gminne i powiatowe, związki powiatowo-gminne w zakresie organizacji transportu zbiorowego </w:t>
            </w:r>
          </w:p>
        </w:tc>
      </w:tr>
      <w:tr w:rsidR="00235FCA" w:rsidRPr="00174021" w:rsidTr="00EF02E5">
        <w:trPr>
          <w:trHeight w:val="510"/>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Okres realizacji:</w:t>
            </w:r>
          </w:p>
        </w:tc>
        <w:tc>
          <w:tcPr>
            <w:tcW w:w="7127"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2021-2027 (n+2)</w:t>
            </w:r>
          </w:p>
        </w:tc>
      </w:tr>
      <w:tr w:rsidR="00235FCA" w:rsidRPr="00174021" w:rsidTr="00EF02E5">
        <w:trPr>
          <w:trHeight w:val="670"/>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Potencjalne źródła finansowania: </w:t>
            </w:r>
          </w:p>
        </w:tc>
        <w:tc>
          <w:tcPr>
            <w:tcW w:w="7127"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dla Dolnego Śląska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na Infrastrukturę, Klimat, Środowisko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Krajowy Plan Odbudowy (KPO)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inne środki zewnętrzne, budżet państwa, środki własne gminy</w:t>
            </w:r>
          </w:p>
        </w:tc>
      </w:tr>
      <w:tr w:rsidR="00235FCA" w:rsidRPr="00174021" w:rsidTr="00EF02E5">
        <w:trPr>
          <w:trHeight w:val="624"/>
          <w:jc w:val="center"/>
        </w:trPr>
        <w:tc>
          <w:tcPr>
            <w:tcW w:w="1862"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Proponowane wskaźniki monitorujące realizację kierunku działania: </w:t>
            </w:r>
          </w:p>
        </w:tc>
        <w:tc>
          <w:tcPr>
            <w:tcW w:w="7127"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Wspierana infrastruktura rowerowa [km]</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Pojemność ekologicznego taboru do zbiorowego transportu publicznego [pasażerowie]</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Długość wybudowanych  linii  tramwajowych [km]</w:t>
            </w:r>
          </w:p>
        </w:tc>
      </w:tr>
    </w:tbl>
    <w:p w:rsidR="00235FCA" w:rsidRDefault="00235FCA" w:rsidP="00174021">
      <w:pPr>
        <w:pStyle w:val="Default"/>
        <w:spacing w:before="120" w:after="120" w:line="360" w:lineRule="auto"/>
        <w:rPr>
          <w:color w:val="000000" w:themeColor="text1"/>
          <w:szCs w:val="22"/>
        </w:rPr>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3.2 Rozwój infrastruktury i działań wspierających osiągnięcie zrównoważonej mobilności"/>
        <w:tblDescription w:val="Omówienie kierunku"/>
      </w:tblPr>
      <w:tblGrid>
        <w:gridCol w:w="1941"/>
        <w:gridCol w:w="7131"/>
      </w:tblGrid>
      <w:tr w:rsidR="00235FCA" w:rsidRPr="00174021" w:rsidTr="00EF02E5">
        <w:trPr>
          <w:trHeight w:val="850"/>
          <w:tblHeader/>
          <w:jc w:val="center"/>
        </w:trPr>
        <w:tc>
          <w:tcPr>
            <w:tcW w:w="1941" w:type="dxa"/>
            <w:shd w:val="clear" w:color="auto" w:fill="FFFFFF" w:themeFill="background1"/>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13.2</w:t>
            </w:r>
          </w:p>
        </w:tc>
        <w:tc>
          <w:tcPr>
            <w:tcW w:w="7131" w:type="dxa"/>
            <w:shd w:val="clear" w:color="auto" w:fill="F1FADE"/>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Rozwój infrastruktury i działań wspierających osiągnięcie zrównoważonej mobilności</w:t>
            </w:r>
          </w:p>
        </w:tc>
      </w:tr>
      <w:tr w:rsidR="00235FCA" w:rsidRPr="00174021" w:rsidTr="00EF02E5">
        <w:trPr>
          <w:trHeight w:val="907"/>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Charakterystyka działania: </w:t>
            </w:r>
          </w:p>
        </w:tc>
        <w:tc>
          <w:tcPr>
            <w:tcW w:w="7131"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Działania mają na celu wsparcie rozwoju zrównoważonej mobilności </w:t>
            </w:r>
            <w:r w:rsidRPr="00174021">
              <w:rPr>
                <w:color w:val="000000" w:themeColor="text1"/>
                <w:sz w:val="24"/>
                <w:szCs w:val="24"/>
              </w:rPr>
              <w:br/>
              <w:t>we WrOF.</w:t>
            </w:r>
          </w:p>
        </w:tc>
      </w:tr>
      <w:tr w:rsidR="00235FCA" w:rsidRPr="00174021" w:rsidTr="00EF02E5">
        <w:trPr>
          <w:trHeight w:val="907"/>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Przykładowe typy przedsięwzięć / projektów / zadań przewidzianych potencjalnie do realizacji </w:t>
            </w:r>
          </w:p>
        </w:tc>
        <w:tc>
          <w:tcPr>
            <w:tcW w:w="7131"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Przebudowa i budowa infrastruktury transportu publicznego (infrastruktura punktowa: przystanki, pętle, zatoki także na drogach lokalnych)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Inwestycje w centra przesiadkowe, węzły przesiadkowe , dworce intermodalne, obiekty P&amp;R, B&amp;R</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punktów ładowania samochodów elektrycznych i wodorowych</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Podnoszenie standardu bezpieczeństwa niechronionych użytkowników dróg, dróg dla rowerów, ciągów pieszo-rowerowych </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rozbudowa i poprawa jakości systemów inteligentnego transportu publicznego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Rozwój  oraz dostosowanie systemu sprzedaży biletów i systemu informacji pasażerskiej do potrzeb różnych użytkowników (w tym osób z niepełnosprawnościami)</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rFonts w:cs="Calibri"/>
                <w:color w:val="000000" w:themeColor="text1"/>
                <w:sz w:val="24"/>
                <w:szCs w:val="24"/>
              </w:rPr>
              <w:t>Aktualizacja i przygotowanie dokumentów wspierających osiągnięcie zrównoważonej mobilności miejskiej</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rFonts w:cs="Calibri"/>
                <w:color w:val="000000" w:themeColor="text1"/>
                <w:sz w:val="24"/>
                <w:szCs w:val="24"/>
              </w:rPr>
              <w:t xml:space="preserve">Inwestycje w infrastrukturę drogową m.in. lokalną, gminną, powiatową  (oprócz dróg w TEN-T) </w:t>
            </w:r>
          </w:p>
        </w:tc>
      </w:tr>
      <w:tr w:rsidR="00235FCA" w:rsidRPr="00174021" w:rsidTr="00EF02E5">
        <w:trPr>
          <w:trHeight w:val="907"/>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Interesariusze / potencjalni partnerzy</w:t>
            </w:r>
          </w:p>
        </w:tc>
        <w:tc>
          <w:tcPr>
            <w:tcW w:w="7131"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Zarządcy dróg, mieszkańcy WrOF, spółki miejskie, przewoźnicy transportu publicznego, samorządy gminne i powiatowe, związki powiatowo-gminne w zakresie organizacji transportu zbiorowego</w:t>
            </w:r>
          </w:p>
        </w:tc>
      </w:tr>
      <w:tr w:rsidR="00235FCA" w:rsidRPr="00174021" w:rsidTr="00EF02E5">
        <w:trPr>
          <w:trHeight w:val="510"/>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Okres realizacji:</w:t>
            </w:r>
          </w:p>
        </w:tc>
        <w:tc>
          <w:tcPr>
            <w:tcW w:w="7131"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2021-2027 (n+2)</w:t>
            </w:r>
          </w:p>
        </w:tc>
      </w:tr>
      <w:tr w:rsidR="00235FCA" w:rsidRPr="00174021" w:rsidTr="00EF02E5">
        <w:trPr>
          <w:trHeight w:val="670"/>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Potencjalne źródła finansowania: </w:t>
            </w:r>
          </w:p>
        </w:tc>
        <w:tc>
          <w:tcPr>
            <w:tcW w:w="7131"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dla Dolnego Śląska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na Infrastrukturę, Klimat, Środowisko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Krajowy Plan Odbudowy (KPO)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inne środki zewnętrzne, budżet państwa, środki własne gminy</w:t>
            </w:r>
          </w:p>
        </w:tc>
      </w:tr>
      <w:tr w:rsidR="00235FCA" w:rsidRPr="00174021" w:rsidTr="00EF02E5">
        <w:trPr>
          <w:trHeight w:val="624"/>
          <w:jc w:val="center"/>
        </w:trPr>
        <w:tc>
          <w:tcPr>
            <w:tcW w:w="194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Proponowane wskaźniki monitorujące realizację kierunku działania: </w:t>
            </w:r>
          </w:p>
        </w:tc>
        <w:tc>
          <w:tcPr>
            <w:tcW w:w="7131"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Liczba utworzonych lub zmodernizowanych centrów przesiadkowych, obiektów P&amp;R, B&amp;R [szt.]</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Liczba nowo wybudowanych punktów ładowania samochodów elektrycznych i wodorowych [szt.]</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Wspierana infrastruktura rowerowa [km]</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rFonts w:ascii="Calibri" w:hAnsi="Calibri" w:cs="Arial"/>
                <w:bCs/>
                <w:color w:val="000000" w:themeColor="text1"/>
                <w:sz w:val="24"/>
                <w:szCs w:val="24"/>
              </w:rPr>
              <w:t>Liczba opracowanych dokumentów i analiz dotyczących zrównoważonej mobilności miejskiej</w:t>
            </w:r>
          </w:p>
        </w:tc>
      </w:tr>
    </w:tbl>
    <w:p w:rsidR="00235FCA" w:rsidRDefault="00235FCA" w:rsidP="00174021">
      <w:pPr>
        <w:pStyle w:val="Default"/>
        <w:spacing w:before="120" w:after="120" w:line="360" w:lineRule="auto"/>
        <w:rPr>
          <w:color w:val="000000" w:themeColor="text1"/>
          <w:szCs w:val="22"/>
        </w:rPr>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3.3 Promowanie oraz rozwój nowych form i usług z zakresu mobilności"/>
        <w:tblDescription w:val="omówienie kierunku"/>
      </w:tblPr>
      <w:tblGrid>
        <w:gridCol w:w="1861"/>
        <w:gridCol w:w="7211"/>
      </w:tblGrid>
      <w:tr w:rsidR="00235FCA" w:rsidRPr="00174021" w:rsidTr="00EF02E5">
        <w:trPr>
          <w:trHeight w:val="850"/>
          <w:tblHeader/>
          <w:jc w:val="center"/>
        </w:trPr>
        <w:tc>
          <w:tcPr>
            <w:tcW w:w="1701" w:type="dxa"/>
            <w:shd w:val="clear" w:color="auto" w:fill="FFFFFF" w:themeFill="background1"/>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Kierunek 13.3</w:t>
            </w:r>
          </w:p>
        </w:tc>
        <w:tc>
          <w:tcPr>
            <w:tcW w:w="6945" w:type="dxa"/>
            <w:shd w:val="clear" w:color="auto" w:fill="F1FADE"/>
            <w:vAlign w:val="center"/>
          </w:tcPr>
          <w:p w:rsidR="00235FCA" w:rsidRPr="00174021" w:rsidRDefault="00235FCA" w:rsidP="00EF02E5">
            <w:pPr>
              <w:autoSpaceDE w:val="0"/>
              <w:autoSpaceDN w:val="0"/>
              <w:adjustRightInd w:val="0"/>
              <w:spacing w:line="240" w:lineRule="auto"/>
              <w:jc w:val="left"/>
              <w:rPr>
                <w:b/>
                <w:bCs/>
                <w:color w:val="000000" w:themeColor="text1"/>
                <w:sz w:val="24"/>
                <w:szCs w:val="24"/>
              </w:rPr>
            </w:pPr>
            <w:r w:rsidRPr="00174021">
              <w:rPr>
                <w:b/>
                <w:bCs/>
                <w:color w:val="000000" w:themeColor="text1"/>
                <w:sz w:val="24"/>
                <w:szCs w:val="24"/>
              </w:rPr>
              <w:t>Promowanie oraz rozwój nowych form i usług z zakresu mobilności</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Charakterystyka działania: </w:t>
            </w:r>
          </w:p>
        </w:tc>
        <w:tc>
          <w:tcPr>
            <w:tcW w:w="6945" w:type="dxa"/>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Realizowane działania w ramach kierunku powinny skupić się na rozwoju nowych form i możliwości przemieszczania (w tym korzystania z urządzeń transportu osobistego), a także rozwoju alternatywnych sposobów realizowania dostaw, ograniczając tym samym konieczność przemieszczania się.</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Przykładowe typy przedsięwzięć / projektów / zadań przewidzianych potencjalnie do realizacji </w:t>
            </w:r>
          </w:p>
        </w:tc>
        <w:tc>
          <w:tcPr>
            <w:tcW w:w="6945"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Badania i analizy dotyczące możliwości usprawnień w poruszaniu się urządzeniami transportu osobistego;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Wspieranie inicjatyw związanych z innowacyjnymi formami dostaw;</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Budowa stacji ładowania UTO/rowerów elektrycznych.</w:t>
            </w:r>
          </w:p>
        </w:tc>
      </w:tr>
      <w:tr w:rsidR="00235FCA" w:rsidRPr="00174021" w:rsidTr="00EF02E5">
        <w:trPr>
          <w:trHeight w:val="907"/>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Interesariusze / potencjalni partnerzy</w:t>
            </w:r>
          </w:p>
        </w:tc>
        <w:tc>
          <w:tcPr>
            <w:tcW w:w="6945"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przedsiębiorcy z obszaru WrOF, gminy WrOF, mieszkańcy WrOF,</w:t>
            </w:r>
          </w:p>
        </w:tc>
      </w:tr>
      <w:tr w:rsidR="00235FCA" w:rsidRPr="00174021" w:rsidTr="00EF02E5">
        <w:trPr>
          <w:trHeight w:val="510"/>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Okres realizacji:</w:t>
            </w:r>
          </w:p>
        </w:tc>
        <w:tc>
          <w:tcPr>
            <w:tcW w:w="6945" w:type="dxa"/>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2021-2027 (n+2)</w:t>
            </w:r>
          </w:p>
        </w:tc>
      </w:tr>
      <w:tr w:rsidR="00235FCA" w:rsidRPr="00174021" w:rsidTr="00EF02E5">
        <w:trPr>
          <w:trHeight w:val="670"/>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Potencjalne źródła finansowania: </w:t>
            </w:r>
          </w:p>
        </w:tc>
        <w:tc>
          <w:tcPr>
            <w:tcW w:w="6945"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dla Dolnego Śląska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Fundusze Europejskie na Infrastrukturę, Klimat, Środowisko 2021-2027</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Krajowy Plan Odbudowy (KPO)</w:t>
            </w:r>
          </w:p>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inne środki zewnętrzne, budżet państwa, środki własne gminy</w:t>
            </w:r>
          </w:p>
        </w:tc>
      </w:tr>
      <w:tr w:rsidR="00235FCA" w:rsidRPr="00174021" w:rsidTr="00EF02E5">
        <w:trPr>
          <w:trHeight w:val="454"/>
          <w:jc w:val="center"/>
        </w:trPr>
        <w:tc>
          <w:tcPr>
            <w:tcW w:w="1701" w:type="dxa"/>
            <w:shd w:val="clear" w:color="auto" w:fill="F1FADE"/>
            <w:vAlign w:val="center"/>
          </w:tcPr>
          <w:p w:rsidR="00235FCA" w:rsidRPr="00174021" w:rsidRDefault="00235FCA" w:rsidP="00EF02E5">
            <w:pPr>
              <w:autoSpaceDE w:val="0"/>
              <w:autoSpaceDN w:val="0"/>
              <w:adjustRightInd w:val="0"/>
              <w:spacing w:line="240" w:lineRule="auto"/>
              <w:jc w:val="left"/>
              <w:rPr>
                <w:color w:val="000000" w:themeColor="text1"/>
                <w:sz w:val="24"/>
                <w:szCs w:val="24"/>
              </w:rPr>
            </w:pPr>
            <w:r w:rsidRPr="00174021">
              <w:rPr>
                <w:color w:val="000000" w:themeColor="text1"/>
                <w:sz w:val="24"/>
                <w:szCs w:val="24"/>
              </w:rPr>
              <w:t xml:space="preserve">Proponowane wskaźniki monitorujące realizację kierunku działania: </w:t>
            </w:r>
          </w:p>
        </w:tc>
        <w:tc>
          <w:tcPr>
            <w:tcW w:w="6945" w:type="dxa"/>
            <w:vAlign w:val="center"/>
          </w:tcPr>
          <w:p w:rsidR="00235FCA" w:rsidRPr="00174021" w:rsidRDefault="00235FCA" w:rsidP="00EF02E5">
            <w:pPr>
              <w:pStyle w:val="Akapitzlist"/>
              <w:numPr>
                <w:ilvl w:val="0"/>
                <w:numId w:val="7"/>
              </w:numPr>
              <w:spacing w:line="240" w:lineRule="auto"/>
              <w:jc w:val="left"/>
              <w:rPr>
                <w:color w:val="000000" w:themeColor="text1"/>
                <w:sz w:val="24"/>
                <w:szCs w:val="24"/>
              </w:rPr>
            </w:pPr>
            <w:r w:rsidRPr="00174021">
              <w:rPr>
                <w:color w:val="000000" w:themeColor="text1"/>
                <w:sz w:val="24"/>
                <w:szCs w:val="24"/>
              </w:rPr>
              <w:t xml:space="preserve">brak możliwości oszacowania wskaźników   </w:t>
            </w:r>
          </w:p>
        </w:tc>
      </w:tr>
    </w:tbl>
    <w:p w:rsidR="00235FCA" w:rsidRDefault="00235FCA" w:rsidP="00174021">
      <w:pPr>
        <w:pStyle w:val="Default"/>
        <w:spacing w:before="120" w:after="120" w:line="360" w:lineRule="auto"/>
        <w:rPr>
          <w:color w:val="000000" w:themeColor="text1"/>
          <w:szCs w:val="22"/>
        </w:rPr>
      </w:pPr>
    </w:p>
    <w:tbl>
      <w:tblPr>
        <w:tblStyle w:val="Tabela-Siatka8"/>
        <w:tblW w:w="9022" w:type="dxa"/>
        <w:tblInd w:w="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3.3 Rozwój i wsparcie infrastruktury w ramach TEN-T"/>
        <w:tblDescription w:val="omówienie kierunku"/>
      </w:tblPr>
      <w:tblGrid>
        <w:gridCol w:w="1958"/>
        <w:gridCol w:w="7064"/>
      </w:tblGrid>
      <w:tr w:rsidR="00235FCA" w:rsidRPr="000F745F" w:rsidTr="00762151">
        <w:trPr>
          <w:trHeight w:val="850"/>
          <w:tblHeader/>
        </w:trPr>
        <w:tc>
          <w:tcPr>
            <w:tcW w:w="1958" w:type="dxa"/>
            <w:shd w:val="clear" w:color="auto" w:fill="FFFFFF" w:themeFill="background1"/>
            <w:vAlign w:val="center"/>
          </w:tcPr>
          <w:p w:rsidR="00235FCA" w:rsidRPr="000F745F" w:rsidRDefault="00235FCA" w:rsidP="00EF02E5">
            <w:pPr>
              <w:autoSpaceDE w:val="0"/>
              <w:autoSpaceDN w:val="0"/>
              <w:adjustRightInd w:val="0"/>
              <w:spacing w:line="240" w:lineRule="auto"/>
              <w:jc w:val="left"/>
              <w:rPr>
                <w:b/>
                <w:bCs/>
                <w:color w:val="000000" w:themeColor="text1"/>
                <w:sz w:val="24"/>
                <w:szCs w:val="24"/>
              </w:rPr>
            </w:pPr>
            <w:r w:rsidRPr="000F745F">
              <w:rPr>
                <w:b/>
                <w:bCs/>
                <w:color w:val="000000" w:themeColor="text1"/>
                <w:sz w:val="24"/>
                <w:szCs w:val="24"/>
              </w:rPr>
              <w:t>Kierunek 13.3</w:t>
            </w:r>
          </w:p>
        </w:tc>
        <w:tc>
          <w:tcPr>
            <w:tcW w:w="7064" w:type="dxa"/>
            <w:shd w:val="clear" w:color="auto" w:fill="F1FADE"/>
            <w:vAlign w:val="center"/>
          </w:tcPr>
          <w:p w:rsidR="00235FCA" w:rsidRPr="000F745F" w:rsidRDefault="00235FCA" w:rsidP="00EF02E5">
            <w:pPr>
              <w:autoSpaceDE w:val="0"/>
              <w:autoSpaceDN w:val="0"/>
              <w:adjustRightInd w:val="0"/>
              <w:spacing w:line="240" w:lineRule="auto"/>
              <w:jc w:val="left"/>
              <w:rPr>
                <w:b/>
                <w:bCs/>
                <w:color w:val="000000" w:themeColor="text1"/>
                <w:sz w:val="24"/>
                <w:szCs w:val="24"/>
              </w:rPr>
            </w:pPr>
            <w:r w:rsidRPr="000F745F">
              <w:rPr>
                <w:b/>
                <w:bCs/>
                <w:color w:val="000000" w:themeColor="text1"/>
                <w:sz w:val="24"/>
                <w:szCs w:val="24"/>
              </w:rPr>
              <w:t>Rozwój i wsparcie infrastruktury w ramach TEN-T</w:t>
            </w:r>
          </w:p>
        </w:tc>
      </w:tr>
      <w:tr w:rsidR="00235FCA" w:rsidRPr="000F745F" w:rsidTr="00762151">
        <w:trPr>
          <w:trHeight w:val="907"/>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Charakterystyka działania: </w:t>
            </w:r>
          </w:p>
        </w:tc>
        <w:tc>
          <w:tcPr>
            <w:tcW w:w="7064" w:type="dxa"/>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Działania poświęcone poprawie jakości infrastruktury TEN-T powinny doprowadzić do zwiększenia bezpieczeństwa i konkurencyjności WrOF. Realizowane projekty przełożą się na poprawę warunków otoczenia biznesowego i rozwój turystyki. </w:t>
            </w:r>
          </w:p>
        </w:tc>
      </w:tr>
      <w:tr w:rsidR="00235FCA" w:rsidRPr="000F745F" w:rsidTr="00762151">
        <w:trPr>
          <w:trHeight w:val="907"/>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Przykładowe typy przedsięwzięć / projektów / zadań przewidzianych potencjalnie do realizacji </w:t>
            </w:r>
          </w:p>
        </w:tc>
        <w:tc>
          <w:tcPr>
            <w:tcW w:w="7064"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Budowa i przebudowa dróg w sieci TEN-T;</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Udoskonalanie i rozwój infrastruktury transportu kolejowego;</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Budowa i modernizacja infrastruktury transportu śródlądowego;</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 xml:space="preserve">Usprawnienie połączeń między siecią bazową a sieciami transportowymi państw trzecich, wdrożenie efektywnych systemów zarządzania ruchem na tych sieciach; </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Budowa/unowocześnienie rozjazdów i przejazdów drogowo-kolejowych, stacji, urządzenia dotyczące ochrony środowiska;</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Wdrożenie innowacyjnych systemów mających na celu zapewnienie bezpieczeństwa przejazdów kolejowo-drogowych.</w:t>
            </w:r>
          </w:p>
        </w:tc>
      </w:tr>
      <w:tr w:rsidR="00235FCA" w:rsidRPr="000F745F" w:rsidTr="00762151">
        <w:trPr>
          <w:trHeight w:val="907"/>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Interesariusze / potencjalni partnerzy</w:t>
            </w:r>
          </w:p>
        </w:tc>
        <w:tc>
          <w:tcPr>
            <w:tcW w:w="7064" w:type="dxa"/>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gminy WrOF, mieszkańcy WrOF, przedsiębiorcy korzystający z dofinansowanej infrastruktury, Zarządcy dróg, </w:t>
            </w:r>
            <w:proofErr w:type="spellStart"/>
            <w:r w:rsidRPr="000F745F">
              <w:rPr>
                <w:color w:val="000000" w:themeColor="text1"/>
                <w:sz w:val="24"/>
                <w:szCs w:val="24"/>
              </w:rPr>
              <w:t>GDDKiA</w:t>
            </w:r>
            <w:proofErr w:type="spellEnd"/>
            <w:r w:rsidRPr="000F745F">
              <w:rPr>
                <w:color w:val="000000" w:themeColor="text1"/>
                <w:sz w:val="24"/>
                <w:szCs w:val="24"/>
              </w:rPr>
              <w:t xml:space="preserve">, PKP S.A, PKP Polskie Linie Kolejowe, samorządy gminne i powiatowe </w:t>
            </w:r>
          </w:p>
        </w:tc>
      </w:tr>
      <w:tr w:rsidR="00235FCA" w:rsidRPr="000F745F" w:rsidTr="00762151">
        <w:trPr>
          <w:trHeight w:val="510"/>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Okres realizacji:</w:t>
            </w:r>
          </w:p>
        </w:tc>
        <w:tc>
          <w:tcPr>
            <w:tcW w:w="7064" w:type="dxa"/>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2021-2027 (n+2)</w:t>
            </w:r>
          </w:p>
        </w:tc>
      </w:tr>
      <w:tr w:rsidR="00235FCA" w:rsidRPr="000F745F" w:rsidTr="00762151">
        <w:trPr>
          <w:trHeight w:val="670"/>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Potencjalne źródła finansowania: </w:t>
            </w:r>
          </w:p>
        </w:tc>
        <w:tc>
          <w:tcPr>
            <w:tcW w:w="7064"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Fundusze Europejskie na Infrastrukturę, Klimat, Środowisko 2021-2027</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inne środki zewnętrzne, budżet państwa, środki własne gminy</w:t>
            </w:r>
          </w:p>
        </w:tc>
      </w:tr>
      <w:tr w:rsidR="00235FCA" w:rsidRPr="000F745F" w:rsidTr="00762151">
        <w:trPr>
          <w:trHeight w:val="624"/>
        </w:trPr>
        <w:tc>
          <w:tcPr>
            <w:tcW w:w="1958" w:type="dxa"/>
            <w:shd w:val="clear" w:color="auto" w:fill="F1FADE"/>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Proponowane wskaźniki monitorujące realizację kierunku działania: </w:t>
            </w:r>
          </w:p>
        </w:tc>
        <w:tc>
          <w:tcPr>
            <w:tcW w:w="7064"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brak możliwości oszacowania wskaźników</w:t>
            </w:r>
          </w:p>
        </w:tc>
      </w:tr>
    </w:tbl>
    <w:p w:rsidR="00762151" w:rsidRDefault="00762151"/>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3.3 Rozwój i wsparcie infrastruktury w ramach TEN-T"/>
        <w:tblDescription w:val="omówienie kierunku"/>
      </w:tblPr>
      <w:tblGrid>
        <w:gridCol w:w="1980"/>
        <w:gridCol w:w="7092"/>
      </w:tblGrid>
      <w:tr w:rsidR="00235FCA" w:rsidRPr="000F745F" w:rsidTr="00762151">
        <w:trPr>
          <w:trHeight w:val="850"/>
          <w:tblHeader/>
          <w:jc w:val="center"/>
        </w:trPr>
        <w:tc>
          <w:tcPr>
            <w:tcW w:w="1980" w:type="dxa"/>
            <w:shd w:val="clear" w:color="auto" w:fill="FFFFFF" w:themeFill="background1"/>
            <w:vAlign w:val="center"/>
          </w:tcPr>
          <w:p w:rsidR="00235FCA" w:rsidRPr="000F745F" w:rsidRDefault="00235FCA" w:rsidP="00EF02E5">
            <w:pPr>
              <w:autoSpaceDE w:val="0"/>
              <w:autoSpaceDN w:val="0"/>
              <w:adjustRightInd w:val="0"/>
              <w:spacing w:line="240" w:lineRule="auto"/>
              <w:jc w:val="center"/>
              <w:rPr>
                <w:b/>
                <w:bCs/>
                <w:color w:val="000000" w:themeColor="text1"/>
                <w:sz w:val="24"/>
                <w:szCs w:val="24"/>
              </w:rPr>
            </w:pPr>
            <w:r>
              <w:rPr>
                <w:b/>
                <w:bCs/>
                <w:color w:val="000000" w:themeColor="text1"/>
                <w:sz w:val="24"/>
                <w:szCs w:val="24"/>
              </w:rPr>
              <w:t>Kierunek 13.4</w:t>
            </w:r>
          </w:p>
        </w:tc>
        <w:tc>
          <w:tcPr>
            <w:tcW w:w="7092" w:type="dxa"/>
            <w:shd w:val="clear" w:color="auto" w:fill="F1FADE"/>
            <w:vAlign w:val="center"/>
          </w:tcPr>
          <w:p w:rsidR="00235FCA" w:rsidRPr="000F745F" w:rsidRDefault="00235FCA" w:rsidP="00EF02E5">
            <w:pPr>
              <w:autoSpaceDE w:val="0"/>
              <w:autoSpaceDN w:val="0"/>
              <w:adjustRightInd w:val="0"/>
              <w:spacing w:line="240" w:lineRule="auto"/>
              <w:jc w:val="left"/>
              <w:rPr>
                <w:b/>
                <w:bCs/>
                <w:color w:val="000000" w:themeColor="text1"/>
                <w:sz w:val="24"/>
                <w:szCs w:val="24"/>
              </w:rPr>
            </w:pPr>
            <w:r w:rsidRPr="000F745F">
              <w:rPr>
                <w:b/>
                <w:bCs/>
                <w:color w:val="000000" w:themeColor="text1"/>
                <w:sz w:val="24"/>
                <w:szCs w:val="24"/>
              </w:rPr>
              <w:t>Rozwój i udoskonalanie infrastruktury transportu drogowego, kolejowego oraz wodnego śródlądowego na rzecz poprawy dostępu do TEN-T oraz mobilności transgranicznej</w:t>
            </w:r>
          </w:p>
        </w:tc>
      </w:tr>
      <w:tr w:rsidR="00235FCA" w:rsidRPr="000F745F" w:rsidTr="00762151">
        <w:trPr>
          <w:trHeight w:val="907"/>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 xml:space="preserve">Charakterystyka działania: </w:t>
            </w:r>
          </w:p>
        </w:tc>
        <w:tc>
          <w:tcPr>
            <w:tcW w:w="7092" w:type="dxa"/>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Działania przewidują wsparcie dla infrastruktury transportu drogowego, kolejowego, wodnego śródlądowego poza TEN-T. Działanie przyczyniać się będzie do budowy i odtwarzania połączeń w kierunkach dotąd zmarginalizowanych lub nieobsługiwanych.</w:t>
            </w:r>
          </w:p>
        </w:tc>
      </w:tr>
      <w:tr w:rsidR="00235FCA" w:rsidRPr="000F745F" w:rsidTr="00762151">
        <w:trPr>
          <w:trHeight w:val="907"/>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 xml:space="preserve">Przykładowe typy przedsięwzięć / projektów / zadań przewidzianych potencjalnie do realizacji </w:t>
            </w:r>
          </w:p>
        </w:tc>
        <w:tc>
          <w:tcPr>
            <w:tcW w:w="7092"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Wspieranie połączeń drogowych do sieci TEN-T;</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Inwestycje na rzecz poprawy bezpieczeństwa na drogach polegające na doposażeniu służb drogowych;</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Budowa i modernizacja linii kolejowych i węzłów transportowych dla przewozów o charakterze ponadregionalnym (poza siecią TEN-T);</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Wdrażanie systemów sterowania dotyczące realizacji systemów dynamicznej informacji pasażerskiej na kolei oraz systemów służących jej integracji z innymi rodzajami transportu i osiągnięciu multimodalności.</w:t>
            </w:r>
          </w:p>
        </w:tc>
      </w:tr>
      <w:tr w:rsidR="00235FCA" w:rsidRPr="000F745F" w:rsidTr="00762151">
        <w:trPr>
          <w:trHeight w:val="907"/>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Interesariusze / potencjalni partnerzy</w:t>
            </w:r>
          </w:p>
        </w:tc>
        <w:tc>
          <w:tcPr>
            <w:tcW w:w="7092" w:type="dxa"/>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 xml:space="preserve">gminy WrOF, mieszkańcy WrOF, przedsiębiorcy korzystający z dofinansowanej infrastruktury, Zarządcy dróg, </w:t>
            </w:r>
            <w:proofErr w:type="spellStart"/>
            <w:r w:rsidRPr="000F745F">
              <w:rPr>
                <w:color w:val="000000" w:themeColor="text1"/>
                <w:sz w:val="24"/>
                <w:szCs w:val="24"/>
              </w:rPr>
              <w:t>GDDKiA</w:t>
            </w:r>
            <w:proofErr w:type="spellEnd"/>
            <w:r w:rsidRPr="000F745F">
              <w:rPr>
                <w:color w:val="000000" w:themeColor="text1"/>
                <w:sz w:val="24"/>
                <w:szCs w:val="24"/>
              </w:rPr>
              <w:t>, PKP S.A, PKP Polskie Linie Kolejowe</w:t>
            </w:r>
          </w:p>
        </w:tc>
      </w:tr>
      <w:tr w:rsidR="00235FCA" w:rsidRPr="000F745F" w:rsidTr="00762151">
        <w:trPr>
          <w:trHeight w:val="510"/>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Okres realizacji:</w:t>
            </w:r>
          </w:p>
        </w:tc>
        <w:tc>
          <w:tcPr>
            <w:tcW w:w="7092" w:type="dxa"/>
            <w:vAlign w:val="center"/>
          </w:tcPr>
          <w:p w:rsidR="00235FCA" w:rsidRPr="000F745F" w:rsidRDefault="00235FCA" w:rsidP="00EF02E5">
            <w:pPr>
              <w:autoSpaceDE w:val="0"/>
              <w:autoSpaceDN w:val="0"/>
              <w:adjustRightInd w:val="0"/>
              <w:spacing w:line="240" w:lineRule="auto"/>
              <w:jc w:val="left"/>
              <w:rPr>
                <w:color w:val="000000" w:themeColor="text1"/>
                <w:sz w:val="24"/>
                <w:szCs w:val="24"/>
              </w:rPr>
            </w:pPr>
            <w:r w:rsidRPr="000F745F">
              <w:rPr>
                <w:color w:val="000000" w:themeColor="text1"/>
                <w:sz w:val="24"/>
                <w:szCs w:val="24"/>
              </w:rPr>
              <w:t>2021-2027 (n+2)</w:t>
            </w:r>
          </w:p>
        </w:tc>
      </w:tr>
      <w:tr w:rsidR="00235FCA" w:rsidRPr="000F745F" w:rsidTr="00762151">
        <w:trPr>
          <w:trHeight w:val="670"/>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 xml:space="preserve">Potencjalne źródła finansowania: </w:t>
            </w:r>
          </w:p>
        </w:tc>
        <w:tc>
          <w:tcPr>
            <w:tcW w:w="7092"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Fundusze Europejskie dla Dolnego Śląska 2021-2027</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Fundusze Europejskie na Infrastrukturę, Klimat, Środowisko 2021-2027</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Krajowy Plan Odbudowy (KPO)</w:t>
            </w:r>
          </w:p>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inne środki zewnętrzne, budżet państwa, środki własne gminy</w:t>
            </w:r>
          </w:p>
        </w:tc>
      </w:tr>
      <w:tr w:rsidR="00235FCA" w:rsidRPr="000F745F" w:rsidTr="00762151">
        <w:trPr>
          <w:trHeight w:val="624"/>
          <w:jc w:val="center"/>
        </w:trPr>
        <w:tc>
          <w:tcPr>
            <w:tcW w:w="1980" w:type="dxa"/>
            <w:shd w:val="clear" w:color="auto" w:fill="F1FADE"/>
            <w:vAlign w:val="center"/>
          </w:tcPr>
          <w:p w:rsidR="00235FCA" w:rsidRPr="000F745F" w:rsidRDefault="00235FCA" w:rsidP="00EF02E5">
            <w:pPr>
              <w:autoSpaceDE w:val="0"/>
              <w:autoSpaceDN w:val="0"/>
              <w:adjustRightInd w:val="0"/>
              <w:spacing w:line="240" w:lineRule="auto"/>
              <w:jc w:val="right"/>
              <w:rPr>
                <w:color w:val="000000" w:themeColor="text1"/>
                <w:sz w:val="24"/>
                <w:szCs w:val="24"/>
              </w:rPr>
            </w:pPr>
            <w:r w:rsidRPr="000F745F">
              <w:rPr>
                <w:color w:val="000000" w:themeColor="text1"/>
                <w:sz w:val="24"/>
                <w:szCs w:val="24"/>
              </w:rPr>
              <w:t xml:space="preserve">Proponowane wskaźniki: </w:t>
            </w:r>
          </w:p>
        </w:tc>
        <w:tc>
          <w:tcPr>
            <w:tcW w:w="7092" w:type="dxa"/>
            <w:vAlign w:val="center"/>
          </w:tcPr>
          <w:p w:rsidR="00235FCA" w:rsidRPr="000F745F" w:rsidRDefault="00235FCA" w:rsidP="00EF02E5">
            <w:pPr>
              <w:pStyle w:val="Akapitzlist"/>
              <w:numPr>
                <w:ilvl w:val="0"/>
                <w:numId w:val="7"/>
              </w:numPr>
              <w:spacing w:line="240" w:lineRule="auto"/>
              <w:jc w:val="left"/>
              <w:rPr>
                <w:color w:val="000000" w:themeColor="text1"/>
                <w:sz w:val="24"/>
                <w:szCs w:val="24"/>
              </w:rPr>
            </w:pPr>
            <w:r w:rsidRPr="000F745F">
              <w:rPr>
                <w:color w:val="000000" w:themeColor="text1"/>
                <w:sz w:val="24"/>
                <w:szCs w:val="24"/>
              </w:rPr>
              <w:t xml:space="preserve">brak możliwości oszacowania wskaźników </w:t>
            </w:r>
          </w:p>
        </w:tc>
      </w:tr>
    </w:tbl>
    <w:p w:rsidR="00235FCA" w:rsidRDefault="00235FCA" w:rsidP="00174021">
      <w:pPr>
        <w:pStyle w:val="Default"/>
        <w:spacing w:before="120" w:after="120" w:line="360" w:lineRule="auto"/>
        <w:rPr>
          <w:color w:val="000000" w:themeColor="text1"/>
          <w:szCs w:val="22"/>
        </w:rPr>
      </w:pPr>
    </w:p>
    <w:p w:rsidR="00235FCA" w:rsidRDefault="00235FCA" w:rsidP="00173E0D">
      <w:r>
        <w:br w:type="page"/>
      </w:r>
    </w:p>
    <w:p w:rsidR="00216B5C" w:rsidRDefault="00216B5C" w:rsidP="00173E0D">
      <w:r w:rsidRPr="00C4337B">
        <w:rPr>
          <w:noProof/>
          <w:lang w:eastAsia="pl-PL"/>
        </w:rPr>
        <w:drawing>
          <wp:inline distT="0" distB="0" distL="0" distR="0" wp14:anchorId="2B84381C" wp14:editId="0A694CF0">
            <wp:extent cx="1785620" cy="2577465"/>
            <wp:effectExtent l="0" t="0" r="5080" b="0"/>
            <wp:docPr id="109" name="Obraz 109" descr="Wymiar przestrzenny - Cel strategiczny 4. - Integracja i rozwój terytorialny WrOF" title="Wymiar przestrzenny - Cel strategiczny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BIT\wszyscy\ZIT\Realizacja STRATEGIA ZIT WrOF\Ikony schematów\ikony schematów 2\cel strategiczny 4-07.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85620" cy="2577465"/>
                    </a:xfrm>
                    <a:prstGeom prst="rect">
                      <a:avLst/>
                    </a:prstGeom>
                    <a:noFill/>
                    <a:ln>
                      <a:noFill/>
                    </a:ln>
                  </pic:spPr>
                </pic:pic>
              </a:graphicData>
            </a:graphic>
          </wp:inline>
        </w:drawing>
      </w:r>
    </w:p>
    <w:p w:rsidR="00216B5C" w:rsidRDefault="00216B5C" w:rsidP="000F745F">
      <w:pPr>
        <w:pStyle w:val="Poprawka"/>
        <w:spacing w:before="120" w:after="120" w:line="360" w:lineRule="auto"/>
      </w:pPr>
      <w:r w:rsidRPr="000F745F">
        <w:rPr>
          <w:rFonts w:asciiTheme="majorHAnsi" w:eastAsiaTheme="majorEastAsia" w:hAnsiTheme="majorHAnsi" w:cstheme="majorBidi"/>
          <w:b/>
          <w:color w:val="000000" w:themeColor="text1"/>
          <w:sz w:val="36"/>
          <w:szCs w:val="26"/>
        </w:rPr>
        <w:t>Wymiar przestrzenny</w:t>
      </w:r>
      <w:r w:rsidR="0002200C" w:rsidRPr="000F745F">
        <w:rPr>
          <w:rFonts w:asciiTheme="majorHAnsi" w:eastAsiaTheme="majorEastAsia" w:hAnsiTheme="majorHAnsi" w:cstheme="majorBidi"/>
          <w:b/>
          <w:color w:val="000000" w:themeColor="text1"/>
          <w:sz w:val="36"/>
          <w:szCs w:val="26"/>
        </w:rPr>
        <w:t xml:space="preserve"> </w:t>
      </w:r>
      <w:r w:rsidRPr="000F745F">
        <w:rPr>
          <w:color w:val="000000" w:themeColor="text1"/>
          <w:sz w:val="24"/>
        </w:rPr>
        <w:t>oprócz kwestii zwi</w:t>
      </w:r>
      <w:r w:rsidR="001D1207">
        <w:rPr>
          <w:color w:val="000000" w:themeColor="text1"/>
          <w:sz w:val="24"/>
        </w:rPr>
        <w:t>ązanych z ochroną środowiska, w </w:t>
      </w:r>
      <w:r w:rsidRPr="000F745F">
        <w:rPr>
          <w:color w:val="000000" w:themeColor="text1"/>
          <w:sz w:val="24"/>
        </w:rPr>
        <w:t xml:space="preserve">wymiarze przestrzennym istotną rolę odgrywa również infrastruktura, planowanie przestrzenne oraz integracja na poziomie zarządczym. W ten sposób tytułowy rozwój terytorialny określają trzy priorytety: przestrzeń publiczna, </w:t>
      </w:r>
      <w:r w:rsidR="001D1207">
        <w:rPr>
          <w:color w:val="000000" w:themeColor="text1"/>
          <w:sz w:val="24"/>
        </w:rPr>
        <w:t>zintegrowane zarządzanie WrOF i </w:t>
      </w:r>
      <w:r w:rsidRPr="000F745F">
        <w:rPr>
          <w:color w:val="000000" w:themeColor="text1"/>
          <w:sz w:val="24"/>
        </w:rPr>
        <w:t>planowanie przestrzenne</w:t>
      </w:r>
      <w:r w:rsidRPr="00BC1326">
        <w:t>.</w:t>
      </w:r>
    </w:p>
    <w:tbl>
      <w:tblPr>
        <w:tblStyle w:val="Tabela-Siatka"/>
        <w:tblW w:w="8896" w:type="dxa"/>
        <w:tblInd w:w="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yzwania w ramach czwartego celu strategicznego "/>
        <w:tblDescription w:val="Wyzwania w ramach czwartego celu strategicznego "/>
      </w:tblPr>
      <w:tblGrid>
        <w:gridCol w:w="683"/>
        <w:gridCol w:w="8213"/>
      </w:tblGrid>
      <w:tr w:rsidR="00F25E70" w:rsidRPr="00D94BDD" w:rsidTr="00F25E70">
        <w:trPr>
          <w:trHeight w:val="680"/>
          <w:tblHeader/>
        </w:trPr>
        <w:tc>
          <w:tcPr>
            <w:tcW w:w="683" w:type="dxa"/>
            <w:shd w:val="clear" w:color="auto" w:fill="E3F1ED" w:themeFill="accent3" w:themeFillTint="33"/>
            <w:vAlign w:val="center"/>
          </w:tcPr>
          <w:p w:rsidR="00F25E70" w:rsidRPr="00D94BDD" w:rsidRDefault="00F25E70" w:rsidP="000F745F">
            <w:pPr>
              <w:autoSpaceDE w:val="0"/>
              <w:autoSpaceDN w:val="0"/>
              <w:adjustRightInd w:val="0"/>
              <w:spacing w:line="240" w:lineRule="auto"/>
              <w:ind w:left="59"/>
              <w:jc w:val="left"/>
              <w:rPr>
                <w:color w:val="000000" w:themeColor="text1"/>
                <w:sz w:val="32"/>
                <w:szCs w:val="32"/>
              </w:rPr>
            </w:pPr>
            <w:proofErr w:type="spellStart"/>
            <w:r>
              <w:rPr>
                <w:color w:val="000000" w:themeColor="text1"/>
                <w:sz w:val="32"/>
                <w:szCs w:val="32"/>
              </w:rPr>
              <w:t>lp</w:t>
            </w:r>
            <w:proofErr w:type="spellEnd"/>
          </w:p>
        </w:tc>
        <w:tc>
          <w:tcPr>
            <w:tcW w:w="8213" w:type="dxa"/>
            <w:shd w:val="clear" w:color="auto" w:fill="E3F1ED" w:themeFill="accent3" w:themeFillTint="33"/>
            <w:vAlign w:val="center"/>
          </w:tcPr>
          <w:p w:rsidR="00F25E70" w:rsidRPr="00D94BDD" w:rsidRDefault="00F25E70" w:rsidP="000F745F">
            <w:pPr>
              <w:autoSpaceDE w:val="0"/>
              <w:autoSpaceDN w:val="0"/>
              <w:adjustRightInd w:val="0"/>
              <w:spacing w:line="240" w:lineRule="auto"/>
              <w:ind w:left="59"/>
              <w:jc w:val="left"/>
              <w:rPr>
                <w:color w:val="000000" w:themeColor="text1"/>
                <w:sz w:val="32"/>
                <w:szCs w:val="32"/>
              </w:rPr>
            </w:pPr>
            <w:r w:rsidRPr="00D94BDD">
              <w:rPr>
                <w:rFonts w:asciiTheme="majorHAnsi" w:eastAsiaTheme="majorEastAsia" w:hAnsiTheme="majorHAnsi" w:cstheme="majorBidi"/>
                <w:b/>
                <w:color w:val="000000" w:themeColor="text1"/>
                <w:sz w:val="32"/>
                <w:szCs w:val="32"/>
              </w:rPr>
              <w:t>Wyzwania w ramach czwartego celu strategicznego to:</w:t>
            </w:r>
          </w:p>
        </w:tc>
      </w:tr>
      <w:tr w:rsidR="000F745F" w:rsidRPr="00D94BDD" w:rsidTr="00F25E70">
        <w:trPr>
          <w:trHeight w:val="1020"/>
        </w:trPr>
        <w:tc>
          <w:tcPr>
            <w:tcW w:w="683" w:type="dxa"/>
            <w:shd w:val="clear" w:color="auto" w:fill="E3F1ED" w:themeFill="accent3" w:themeFillTint="33"/>
            <w:vAlign w:val="center"/>
          </w:tcPr>
          <w:p w:rsidR="000F745F" w:rsidRPr="00D94BDD" w:rsidRDefault="000F745F" w:rsidP="000F745F">
            <w:pPr>
              <w:autoSpaceDE w:val="0"/>
              <w:autoSpaceDN w:val="0"/>
              <w:adjustRightInd w:val="0"/>
              <w:spacing w:line="240" w:lineRule="auto"/>
              <w:jc w:val="left"/>
              <w:rPr>
                <w:color w:val="000000" w:themeColor="text1"/>
                <w:sz w:val="24"/>
                <w:szCs w:val="24"/>
              </w:rPr>
            </w:pPr>
            <w:r w:rsidRPr="00D94BDD">
              <w:rPr>
                <w:color w:val="000000" w:themeColor="text1"/>
                <w:sz w:val="24"/>
                <w:szCs w:val="24"/>
              </w:rPr>
              <w:t>1</w:t>
            </w:r>
          </w:p>
        </w:tc>
        <w:tc>
          <w:tcPr>
            <w:tcW w:w="8213" w:type="dxa"/>
            <w:vAlign w:val="center"/>
          </w:tcPr>
          <w:p w:rsidR="000F745F" w:rsidRPr="000F745F" w:rsidRDefault="000F745F" w:rsidP="000F745F">
            <w:pPr>
              <w:autoSpaceDE w:val="0"/>
              <w:autoSpaceDN w:val="0"/>
              <w:adjustRightInd w:val="0"/>
              <w:spacing w:line="240" w:lineRule="auto"/>
              <w:jc w:val="left"/>
              <w:rPr>
                <w:sz w:val="24"/>
              </w:rPr>
            </w:pPr>
            <w:r w:rsidRPr="000F745F">
              <w:rPr>
                <w:sz w:val="24"/>
              </w:rPr>
              <w:t>Realizacja instrumentu ZIT w nadchodzącej perspektywie finansowej Unii Europejskiej.</w:t>
            </w:r>
          </w:p>
        </w:tc>
      </w:tr>
      <w:tr w:rsidR="000F745F" w:rsidRPr="00D94BDD" w:rsidTr="00F25E70">
        <w:trPr>
          <w:trHeight w:val="1020"/>
        </w:trPr>
        <w:tc>
          <w:tcPr>
            <w:tcW w:w="683" w:type="dxa"/>
            <w:shd w:val="clear" w:color="auto" w:fill="E3F1ED" w:themeFill="accent3" w:themeFillTint="33"/>
            <w:vAlign w:val="center"/>
          </w:tcPr>
          <w:p w:rsidR="000F745F" w:rsidRPr="00D94BDD" w:rsidRDefault="000F745F" w:rsidP="000F745F">
            <w:pPr>
              <w:autoSpaceDE w:val="0"/>
              <w:autoSpaceDN w:val="0"/>
              <w:adjustRightInd w:val="0"/>
              <w:spacing w:line="240" w:lineRule="auto"/>
              <w:jc w:val="left"/>
              <w:rPr>
                <w:color w:val="000000" w:themeColor="text1"/>
                <w:sz w:val="24"/>
                <w:szCs w:val="24"/>
              </w:rPr>
            </w:pPr>
            <w:r w:rsidRPr="00D94BDD">
              <w:rPr>
                <w:color w:val="000000" w:themeColor="text1"/>
                <w:sz w:val="24"/>
                <w:szCs w:val="24"/>
              </w:rPr>
              <w:t>2</w:t>
            </w:r>
          </w:p>
        </w:tc>
        <w:tc>
          <w:tcPr>
            <w:tcW w:w="8213" w:type="dxa"/>
            <w:vAlign w:val="center"/>
          </w:tcPr>
          <w:p w:rsidR="000F745F" w:rsidRPr="000F745F" w:rsidRDefault="000F745F" w:rsidP="000F745F">
            <w:pPr>
              <w:autoSpaceDE w:val="0"/>
              <w:autoSpaceDN w:val="0"/>
              <w:adjustRightInd w:val="0"/>
              <w:spacing w:line="240" w:lineRule="auto"/>
              <w:jc w:val="left"/>
              <w:rPr>
                <w:sz w:val="24"/>
              </w:rPr>
            </w:pPr>
            <w:r w:rsidRPr="000F745F">
              <w:rPr>
                <w:sz w:val="24"/>
              </w:rPr>
              <w:t>Budowanie wspólnoty pomiędzy samorządami skupionymi we WrOF, jako jednorodnej grupy interesu w ramach prowadzenia działań lobbingowych.</w:t>
            </w:r>
          </w:p>
        </w:tc>
      </w:tr>
      <w:tr w:rsidR="000F745F" w:rsidRPr="00D94BDD" w:rsidTr="00F25E70">
        <w:trPr>
          <w:trHeight w:val="1020"/>
        </w:trPr>
        <w:tc>
          <w:tcPr>
            <w:tcW w:w="683" w:type="dxa"/>
            <w:shd w:val="clear" w:color="auto" w:fill="E3F1ED" w:themeFill="accent3" w:themeFillTint="33"/>
            <w:vAlign w:val="center"/>
          </w:tcPr>
          <w:p w:rsidR="000F745F" w:rsidRPr="00D94BDD" w:rsidRDefault="000F745F" w:rsidP="000F745F">
            <w:pPr>
              <w:autoSpaceDE w:val="0"/>
              <w:autoSpaceDN w:val="0"/>
              <w:adjustRightInd w:val="0"/>
              <w:spacing w:line="240" w:lineRule="auto"/>
              <w:jc w:val="left"/>
              <w:rPr>
                <w:color w:val="000000" w:themeColor="text1"/>
                <w:sz w:val="24"/>
                <w:szCs w:val="24"/>
              </w:rPr>
            </w:pPr>
            <w:r w:rsidRPr="00D94BDD">
              <w:rPr>
                <w:color w:val="000000" w:themeColor="text1"/>
                <w:sz w:val="24"/>
                <w:szCs w:val="24"/>
              </w:rPr>
              <w:t>3</w:t>
            </w:r>
          </w:p>
        </w:tc>
        <w:tc>
          <w:tcPr>
            <w:tcW w:w="8213" w:type="dxa"/>
            <w:vAlign w:val="center"/>
          </w:tcPr>
          <w:p w:rsidR="000F745F" w:rsidRPr="000F745F" w:rsidRDefault="000F745F" w:rsidP="000F745F">
            <w:pPr>
              <w:autoSpaceDE w:val="0"/>
              <w:autoSpaceDN w:val="0"/>
              <w:adjustRightInd w:val="0"/>
              <w:spacing w:line="240" w:lineRule="auto"/>
              <w:jc w:val="left"/>
              <w:rPr>
                <w:sz w:val="24"/>
              </w:rPr>
            </w:pPr>
            <w:r w:rsidRPr="000F745F">
              <w:rPr>
                <w:color w:val="000000" w:themeColor="text1"/>
                <w:sz w:val="24"/>
              </w:rPr>
              <w:t>Poprawa jakości, funkcjonalności i dostępności przestrzeni publicznych, z uwzględnieniem zadań mających na celu poprawę kondycji psychofizycznej mieszkańców</w:t>
            </w:r>
          </w:p>
        </w:tc>
      </w:tr>
      <w:tr w:rsidR="000F745F" w:rsidRPr="00D94BDD" w:rsidTr="00F25E70">
        <w:trPr>
          <w:trHeight w:val="1020"/>
        </w:trPr>
        <w:tc>
          <w:tcPr>
            <w:tcW w:w="683" w:type="dxa"/>
            <w:shd w:val="clear" w:color="auto" w:fill="E3F1ED" w:themeFill="accent3" w:themeFillTint="33"/>
            <w:vAlign w:val="center"/>
          </w:tcPr>
          <w:p w:rsidR="000F745F" w:rsidRPr="00D94BDD" w:rsidRDefault="000F745F" w:rsidP="000F745F">
            <w:pPr>
              <w:autoSpaceDE w:val="0"/>
              <w:autoSpaceDN w:val="0"/>
              <w:adjustRightInd w:val="0"/>
              <w:spacing w:line="240" w:lineRule="auto"/>
              <w:jc w:val="left"/>
              <w:rPr>
                <w:color w:val="000000" w:themeColor="text1"/>
                <w:sz w:val="24"/>
                <w:szCs w:val="24"/>
              </w:rPr>
            </w:pPr>
            <w:r w:rsidRPr="00D94BDD">
              <w:rPr>
                <w:color w:val="000000" w:themeColor="text1"/>
                <w:sz w:val="24"/>
                <w:szCs w:val="24"/>
              </w:rPr>
              <w:t>4</w:t>
            </w:r>
          </w:p>
        </w:tc>
        <w:tc>
          <w:tcPr>
            <w:tcW w:w="8213" w:type="dxa"/>
            <w:vAlign w:val="center"/>
          </w:tcPr>
          <w:p w:rsidR="000F745F" w:rsidRPr="000F745F" w:rsidRDefault="000F745F" w:rsidP="000F745F">
            <w:pPr>
              <w:autoSpaceDE w:val="0"/>
              <w:autoSpaceDN w:val="0"/>
              <w:adjustRightInd w:val="0"/>
              <w:spacing w:line="240" w:lineRule="auto"/>
              <w:jc w:val="left"/>
              <w:rPr>
                <w:color w:val="000000" w:themeColor="text1"/>
                <w:sz w:val="24"/>
              </w:rPr>
            </w:pPr>
            <w:r w:rsidRPr="000F745F">
              <w:rPr>
                <w:color w:val="000000" w:themeColor="text1"/>
                <w:sz w:val="24"/>
              </w:rPr>
              <w:t>Rozszerzenie zakresu współpracy międzygminnej oraz instytucjonalnej na rzecz budowania spójności komunikacyjnej i zintegrowanej mobilności WrOF.</w:t>
            </w:r>
          </w:p>
        </w:tc>
      </w:tr>
    </w:tbl>
    <w:p w:rsidR="00173E0D" w:rsidRDefault="00173E0D">
      <w:r>
        <w:br w:type="page"/>
      </w:r>
    </w:p>
    <w:p w:rsidR="00216B5C" w:rsidRPr="000F745F" w:rsidRDefault="000F745F" w:rsidP="000F745F">
      <w:pPr>
        <w:pStyle w:val="Default"/>
        <w:spacing w:before="120" w:after="120" w:line="360" w:lineRule="auto"/>
        <w:jc w:val="both"/>
        <w:rPr>
          <w:b/>
          <w:color w:val="000000" w:themeColor="text1"/>
        </w:rPr>
      </w:pPr>
      <w:r w:rsidRPr="000F745F">
        <w:rPr>
          <w:b/>
          <w:color w:val="000000" w:themeColor="text1"/>
        </w:rPr>
        <w:t>Schemat wymiaru przestrzennego wraz z celem strategicznym, priorytetami i kierunkami działań</w:t>
      </w:r>
    </w:p>
    <w:p w:rsidR="004A1B31" w:rsidRDefault="000F745F" w:rsidP="000F745F">
      <w:pPr>
        <w:pStyle w:val="Default"/>
        <w:spacing w:before="120" w:after="120"/>
        <w:jc w:val="center"/>
      </w:pPr>
      <w:r>
        <w:rPr>
          <w:noProof/>
          <w:lang w:eastAsia="pl-PL"/>
        </w:rPr>
        <w:drawing>
          <wp:inline distT="0" distB="0" distL="0" distR="0" wp14:anchorId="04B94099" wp14:editId="51EFE3E7">
            <wp:extent cx="5112000" cy="8113781"/>
            <wp:effectExtent l="0" t="0" r="0" b="0"/>
            <wp:docPr id="1033" name="Obraz 1033" descr="Wymiar przestrzenny - Cel strategiczny 4. Priorytet 14. Przestrzeń publiczna, Priorytet 15. Zintegrowane zarządzanie obszarem, Priorytet 16. Planowanie przestrzenne wraz z kierunkami działań" title="Wymiar przestrzenny - Cel strategiczn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cel strategiczny 4 plus rozgałęzienie-08-08.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112000" cy="8113781"/>
                    </a:xfrm>
                    <a:prstGeom prst="rect">
                      <a:avLst/>
                    </a:prstGeom>
                  </pic:spPr>
                </pic:pic>
              </a:graphicData>
            </a:graphic>
          </wp:inline>
        </w:drawing>
      </w:r>
    </w:p>
    <w:p w:rsidR="00216B5C" w:rsidRDefault="00216B5C" w:rsidP="00216B5C">
      <w:pPr>
        <w:pStyle w:val="Default"/>
        <w:spacing w:before="120" w:after="120"/>
        <w:jc w:val="both"/>
      </w:pPr>
      <w:r w:rsidRPr="00C4337B">
        <w:rPr>
          <w:noProof/>
          <w:lang w:eastAsia="pl-PL"/>
        </w:rPr>
        <w:drawing>
          <wp:inline distT="0" distB="0" distL="0" distR="0" wp14:anchorId="7B070934" wp14:editId="57F90C7F">
            <wp:extent cx="5356860" cy="2173605"/>
            <wp:effectExtent l="0" t="0" r="0" b="0"/>
            <wp:docPr id="111" name="Obraz 111" descr="Cel strategiczny 4. Priorytet 14. Przestrzeń publiczna, Kierunek działania 14.1, 14.2, 14.3" title="Cel strategiczny 4. Prioryte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BIT\wszyscy\ZIT\Realizacja STRATEGIA ZIT WrOF\Ikony schematów\ikony schematów 2\cel strategiczny 4. priorytet 14-03-0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56860" cy="2173605"/>
                    </a:xfrm>
                    <a:prstGeom prst="rect">
                      <a:avLst/>
                    </a:prstGeom>
                    <a:noFill/>
                    <a:ln>
                      <a:noFill/>
                    </a:ln>
                  </pic:spPr>
                </pic:pic>
              </a:graphicData>
            </a:graphic>
          </wp:inline>
        </w:drawing>
      </w:r>
    </w:p>
    <w:p w:rsidR="000F745F" w:rsidRDefault="000F745F" w:rsidP="000F745F">
      <w:pPr>
        <w:pStyle w:val="Default"/>
        <w:spacing w:before="120" w:after="120" w:line="360" w:lineRule="auto"/>
        <w:rPr>
          <w:rFonts w:cstheme="minorHAnsi"/>
          <w:color w:val="000000" w:themeColor="text1"/>
          <w:sz w:val="28"/>
          <w:szCs w:val="20"/>
        </w:rPr>
      </w:pPr>
      <w:r w:rsidRPr="000F745F">
        <w:rPr>
          <w:rFonts w:asciiTheme="majorHAnsi" w:eastAsiaTheme="majorEastAsia" w:hAnsiTheme="majorHAnsi" w:cstheme="majorBidi"/>
          <w:b/>
          <w:color w:val="000000" w:themeColor="text1"/>
          <w:sz w:val="36"/>
          <w:szCs w:val="26"/>
        </w:rPr>
        <w:t xml:space="preserve">Priorytet Przestrzeń publiczna </w:t>
      </w:r>
      <w:r w:rsidRPr="000F745F">
        <w:rPr>
          <w:rFonts w:cstheme="minorHAnsi"/>
          <w:color w:val="000000" w:themeColor="text1"/>
          <w:szCs w:val="20"/>
        </w:rPr>
        <w:t>ma na celu utworzenie i fizyczną odnowę publicznych obszarów miejskich i wiejskich, poprawę ich funkcjonalności i bezpieczeństwa oraz doposażenie, co ma przełożyć się na popra</w:t>
      </w:r>
      <w:r w:rsidR="001D1207">
        <w:rPr>
          <w:rFonts w:cstheme="minorHAnsi"/>
          <w:color w:val="000000" w:themeColor="text1"/>
          <w:szCs w:val="20"/>
        </w:rPr>
        <w:t>wę jakości życia mieszkańców. W </w:t>
      </w:r>
      <w:r w:rsidRPr="000F745F">
        <w:rPr>
          <w:rFonts w:cstheme="minorHAnsi"/>
          <w:color w:val="000000" w:themeColor="text1"/>
          <w:szCs w:val="20"/>
        </w:rPr>
        <w:t>przedsięwzięciach obejmujących utworzenie i fizyczną odnowę i bezpieczeństwo przestrzeni publicznej zwraca się uwagę m.in. na zachowanie i rozwój zielonej infrastruktury, zwłaszcza ochronę drzew w całym cyklu projektowym, w tym poprzez stosowanie standardów ochrony zieleni. Innym aspektem, n</w:t>
      </w:r>
      <w:r w:rsidR="00762151">
        <w:rPr>
          <w:rFonts w:cstheme="minorHAnsi"/>
          <w:color w:val="000000" w:themeColor="text1"/>
          <w:szCs w:val="20"/>
        </w:rPr>
        <w:t>a który kładziony jest nacisk w </w:t>
      </w:r>
      <w:r w:rsidRPr="000F745F">
        <w:rPr>
          <w:rFonts w:cstheme="minorHAnsi"/>
          <w:color w:val="000000" w:themeColor="text1"/>
          <w:szCs w:val="20"/>
        </w:rPr>
        <w:t>przedmiotowych przedsięwzięciach jest poprawa kondycji</w:t>
      </w:r>
      <w:r w:rsidR="001D1207">
        <w:rPr>
          <w:rFonts w:cstheme="minorHAnsi"/>
          <w:color w:val="000000" w:themeColor="text1"/>
          <w:szCs w:val="20"/>
        </w:rPr>
        <w:t xml:space="preserve"> psychofizycznej mieszkańców, w </w:t>
      </w:r>
      <w:r w:rsidRPr="000F745F">
        <w:rPr>
          <w:rFonts w:cstheme="minorHAnsi"/>
          <w:color w:val="000000" w:themeColor="text1"/>
          <w:szCs w:val="20"/>
        </w:rPr>
        <w:t xml:space="preserve">szczególności poprzez rozwój infrastruktury, np. kultury, społecznej i edukacyjnej. Dodatkowo pozytywnym aspektem przedsięwzięcia będzie również dążenie do zwiększania powierzchni biologicznie czynnych i unikanie tworzenia powierzchni uszczelnionych. Przewidziane działania to m.in. rozwój i zagospodarowanie terenów zielonych, wnętrz podwórzowych, parków, skwerów, infrastruktura </w:t>
      </w:r>
      <w:r w:rsidRPr="000F745F">
        <w:rPr>
          <w:rFonts w:cstheme="minorHAnsi"/>
          <w:bCs/>
          <w:color w:val="000000" w:themeColor="text1"/>
          <w:szCs w:val="20"/>
        </w:rPr>
        <w:t xml:space="preserve">aktywizacji i integracji społecznej, </w:t>
      </w:r>
      <w:r w:rsidRPr="000F745F">
        <w:rPr>
          <w:bCs/>
          <w:color w:val="000000" w:themeColor="text1"/>
          <w:szCs w:val="22"/>
        </w:rPr>
        <w:t>poprawa dostępności usług publicznych</w:t>
      </w:r>
      <w:r w:rsidRPr="000F745F">
        <w:rPr>
          <w:rFonts w:cstheme="minorHAnsi"/>
          <w:color w:val="000000" w:themeColor="text1"/>
          <w:sz w:val="28"/>
          <w:szCs w:val="20"/>
        </w:rPr>
        <w:t>.</w:t>
      </w: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4.1 Utworzenie i odnowa przestrzeni publicznych w tym wnętrz podwórzowych, terenów zielonych, parków, skwerów i przestrzeni rekreacyjnych"/>
        <w:tblDescription w:val="omówienie kierunku"/>
      </w:tblPr>
      <w:tblGrid>
        <w:gridCol w:w="2054"/>
        <w:gridCol w:w="7018"/>
      </w:tblGrid>
      <w:tr w:rsidR="00235FCA" w:rsidRPr="00B20A8A" w:rsidTr="001D1207">
        <w:trPr>
          <w:trHeight w:val="850"/>
          <w:tblHeader/>
          <w:jc w:val="center"/>
        </w:trPr>
        <w:tc>
          <w:tcPr>
            <w:tcW w:w="2054" w:type="dxa"/>
            <w:shd w:val="clear" w:color="auto" w:fill="FFFFFF" w:themeFill="background1"/>
            <w:vAlign w:val="center"/>
          </w:tcPr>
          <w:p w:rsidR="00235FCA" w:rsidRPr="00B20A8A"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14.1</w:t>
            </w:r>
          </w:p>
        </w:tc>
        <w:tc>
          <w:tcPr>
            <w:tcW w:w="7018"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b/>
                <w:bCs/>
                <w:color w:val="000000" w:themeColor="text1"/>
                <w:sz w:val="24"/>
                <w:szCs w:val="24"/>
              </w:rPr>
            </w:pPr>
            <w:r w:rsidRPr="00B20A8A">
              <w:rPr>
                <w:b/>
                <w:bCs/>
                <w:color w:val="000000" w:themeColor="text1"/>
                <w:sz w:val="24"/>
                <w:szCs w:val="24"/>
              </w:rPr>
              <w:t xml:space="preserve">Utworzenie i </w:t>
            </w:r>
            <w:r>
              <w:rPr>
                <w:b/>
                <w:bCs/>
                <w:color w:val="000000" w:themeColor="text1"/>
                <w:sz w:val="24"/>
                <w:szCs w:val="24"/>
              </w:rPr>
              <w:t xml:space="preserve">odnowa przestrzeni publicznych, </w:t>
            </w:r>
            <w:r w:rsidRPr="00B20A8A">
              <w:rPr>
                <w:b/>
                <w:bCs/>
                <w:color w:val="000000" w:themeColor="text1"/>
                <w:sz w:val="24"/>
                <w:szCs w:val="24"/>
              </w:rPr>
              <w:t>w tym wnętrz podwórzowych, terenów zielonych, parków, skwerów i przestrzeni rekreacyjnych</w:t>
            </w:r>
          </w:p>
        </w:tc>
      </w:tr>
      <w:tr w:rsidR="00235FCA" w:rsidRPr="00B20A8A" w:rsidTr="001D1207">
        <w:trPr>
          <w:trHeight w:val="907"/>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 xml:space="preserve">Charakterystyka działania: </w:t>
            </w:r>
          </w:p>
        </w:tc>
        <w:tc>
          <w:tcPr>
            <w:tcW w:w="7018" w:type="dxa"/>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Zaplanowane działania pozwolą na zwiększenie poziomu bezpieczeństwa w przestrzeniach publicznych oraz stworzenie atrakcyjnych przestrzeni sprzyjających integracji mieszkańców.</w:t>
            </w:r>
          </w:p>
        </w:tc>
      </w:tr>
      <w:tr w:rsidR="00235FCA" w:rsidRPr="00B20A8A" w:rsidTr="001D1207">
        <w:trPr>
          <w:trHeight w:val="680"/>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 xml:space="preserve">Przykładowe typy przedsięwzięć / projektów / zadań przewidzianych potencjalnie do realizacji </w:t>
            </w:r>
          </w:p>
        </w:tc>
        <w:tc>
          <w:tcPr>
            <w:tcW w:w="7018" w:type="dxa"/>
            <w:vAlign w:val="center"/>
          </w:tcPr>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Odnowa zdegradowanych obszarów miejskich i wiejskich;</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Utworzenie, estetyzacja, poprawa funkcjonalności i doposażenie przestrzeni publicznych, terenów zielonych, parków, skwerów,  przestrzeni rekreacyjnych itp.;</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Poprawa bezpieczeństwa ww. przestrzeni publicznych;</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Rozwój i zagospodarowanie terenów zielonych;</w:t>
            </w:r>
          </w:p>
          <w:p w:rsidR="00235FCA" w:rsidRPr="00B20A8A" w:rsidRDefault="00235FCA" w:rsidP="00EF02E5">
            <w:pPr>
              <w:numPr>
                <w:ilvl w:val="0"/>
                <w:numId w:val="7"/>
              </w:numPr>
              <w:spacing w:line="240" w:lineRule="auto"/>
              <w:contextualSpacing/>
              <w:rPr>
                <w:rFonts w:ascii="Calibri" w:eastAsia="Calibri" w:hAnsi="Calibri" w:cs="Times New Roman"/>
                <w:color w:val="000000" w:themeColor="text1"/>
                <w:sz w:val="24"/>
                <w:szCs w:val="24"/>
              </w:rPr>
            </w:pPr>
            <w:r w:rsidRPr="00B20A8A">
              <w:rPr>
                <w:rFonts w:ascii="Calibri" w:eastAsia="Calibri" w:hAnsi="Calibri" w:cs="Times New Roman"/>
                <w:color w:val="000000" w:themeColor="text1"/>
                <w:sz w:val="24"/>
                <w:szCs w:val="24"/>
              </w:rPr>
              <w:t>Estetyzacja, poprawa funkcjonalności wnętrz podwórzowych;</w:t>
            </w:r>
          </w:p>
          <w:p w:rsidR="00235FCA" w:rsidRPr="00B20A8A" w:rsidRDefault="00235FCA" w:rsidP="00EF02E5">
            <w:pPr>
              <w:numPr>
                <w:ilvl w:val="0"/>
                <w:numId w:val="7"/>
              </w:numPr>
              <w:spacing w:line="240" w:lineRule="auto"/>
              <w:contextualSpacing/>
              <w:rPr>
                <w:rFonts w:ascii="Calibri" w:eastAsia="Calibri" w:hAnsi="Calibri" w:cs="Times New Roman"/>
                <w:color w:val="000000" w:themeColor="text1"/>
                <w:sz w:val="24"/>
                <w:szCs w:val="24"/>
              </w:rPr>
            </w:pPr>
            <w:r w:rsidRPr="00B20A8A">
              <w:rPr>
                <w:rFonts w:ascii="Calibri" w:eastAsia="Calibri" w:hAnsi="Calibri" w:cs="Times New Roman"/>
                <w:color w:val="000000" w:themeColor="text1"/>
                <w:sz w:val="24"/>
                <w:szCs w:val="24"/>
              </w:rPr>
              <w:t xml:space="preserve">Poprawa bezpieczeństwa wnętrz podwórzowych; </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rFonts w:ascii="Calibri" w:eastAsia="Calibri" w:hAnsi="Calibri" w:cs="Times New Roman"/>
                <w:color w:val="000000" w:themeColor="text1"/>
                <w:sz w:val="24"/>
                <w:szCs w:val="24"/>
              </w:rPr>
              <w:t>Poprawa bezpieczeństwa przestrzeni publicznych wraz z rozbudową monitoringu na terenie gmin WrOF.</w:t>
            </w:r>
          </w:p>
        </w:tc>
      </w:tr>
      <w:tr w:rsidR="00235FCA" w:rsidRPr="00B20A8A" w:rsidTr="001D1207">
        <w:trPr>
          <w:trHeight w:val="907"/>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Interesariusze / potencjalni partnerzy</w:t>
            </w:r>
          </w:p>
        </w:tc>
        <w:tc>
          <w:tcPr>
            <w:tcW w:w="7018" w:type="dxa"/>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gminy WrOF, mieszkańcy WrOF</w:t>
            </w:r>
          </w:p>
        </w:tc>
      </w:tr>
      <w:tr w:rsidR="00235FCA" w:rsidRPr="00B20A8A" w:rsidTr="001D1207">
        <w:trPr>
          <w:trHeight w:val="510"/>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Okres realizacji:</w:t>
            </w:r>
          </w:p>
        </w:tc>
        <w:tc>
          <w:tcPr>
            <w:tcW w:w="7018" w:type="dxa"/>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2021-2027 (n+2)</w:t>
            </w:r>
          </w:p>
        </w:tc>
      </w:tr>
      <w:tr w:rsidR="00235FCA" w:rsidRPr="00B20A8A" w:rsidTr="001D1207">
        <w:trPr>
          <w:trHeight w:val="670"/>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 xml:space="preserve">Potencjalne źródła finansowania: </w:t>
            </w:r>
          </w:p>
        </w:tc>
        <w:tc>
          <w:tcPr>
            <w:tcW w:w="7018" w:type="dxa"/>
            <w:vAlign w:val="center"/>
          </w:tcPr>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Fundusze Europejskie dla Dolnego Śląska 2021-2027</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inne środki zewnętrzne, budżet państwa, środki własne gminy</w:t>
            </w:r>
          </w:p>
        </w:tc>
      </w:tr>
      <w:tr w:rsidR="00235FCA" w:rsidRPr="00B20A8A" w:rsidTr="001D1207">
        <w:trPr>
          <w:trHeight w:val="624"/>
          <w:jc w:val="center"/>
        </w:trPr>
        <w:tc>
          <w:tcPr>
            <w:tcW w:w="2054" w:type="dxa"/>
            <w:shd w:val="clear" w:color="auto" w:fill="E3F1ED" w:themeFill="accent3" w:themeFillTint="33"/>
            <w:vAlign w:val="center"/>
          </w:tcPr>
          <w:p w:rsidR="00235FCA" w:rsidRPr="00B20A8A" w:rsidRDefault="00235FCA" w:rsidP="00EF02E5">
            <w:pPr>
              <w:autoSpaceDE w:val="0"/>
              <w:autoSpaceDN w:val="0"/>
              <w:adjustRightInd w:val="0"/>
              <w:spacing w:line="240" w:lineRule="auto"/>
              <w:jc w:val="left"/>
              <w:rPr>
                <w:color w:val="000000" w:themeColor="text1"/>
                <w:sz w:val="24"/>
                <w:szCs w:val="24"/>
              </w:rPr>
            </w:pPr>
            <w:r w:rsidRPr="00B20A8A">
              <w:rPr>
                <w:color w:val="000000" w:themeColor="text1"/>
                <w:sz w:val="24"/>
                <w:szCs w:val="24"/>
              </w:rPr>
              <w:t xml:space="preserve">Proponowane wskaźniki monitorujące realizację kierunku działania: </w:t>
            </w:r>
          </w:p>
        </w:tc>
        <w:tc>
          <w:tcPr>
            <w:tcW w:w="7018" w:type="dxa"/>
            <w:vAlign w:val="center"/>
          </w:tcPr>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Otwarta przestrzeń utworzona lub rekultywowana na obszarach miejskich i wiejskich [ha]</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Poprawa przestrzeni publicznych [ha]</w:t>
            </w:r>
          </w:p>
          <w:p w:rsidR="00235FCA" w:rsidRPr="00B20A8A" w:rsidRDefault="00235FCA" w:rsidP="00EF02E5">
            <w:pPr>
              <w:pStyle w:val="Akapitzlist"/>
              <w:numPr>
                <w:ilvl w:val="0"/>
                <w:numId w:val="7"/>
              </w:numPr>
              <w:spacing w:line="240" w:lineRule="auto"/>
              <w:jc w:val="left"/>
              <w:rPr>
                <w:color w:val="000000" w:themeColor="text1"/>
                <w:sz w:val="24"/>
                <w:szCs w:val="24"/>
              </w:rPr>
            </w:pPr>
            <w:r w:rsidRPr="00B20A8A">
              <w:rPr>
                <w:color w:val="000000" w:themeColor="text1"/>
                <w:sz w:val="24"/>
                <w:szCs w:val="24"/>
              </w:rPr>
              <w:t>Liczba osób, które zamieszkują obszar objęty realizacją instrumentu rozwoju terytorialnego [osoby]</w:t>
            </w:r>
          </w:p>
        </w:tc>
      </w:tr>
    </w:tbl>
    <w:p w:rsidR="00235FCA" w:rsidRDefault="00235FCA" w:rsidP="000F745F">
      <w:pPr>
        <w:pStyle w:val="Default"/>
        <w:spacing w:before="120" w:after="120" w:line="360" w:lineRule="auto"/>
        <w:rPr>
          <w:rFonts w:cstheme="minorHAnsi"/>
          <w:color w:val="000000" w:themeColor="text1"/>
          <w:sz w:val="28"/>
          <w:szCs w:val="20"/>
        </w:rPr>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4.2 Infrastruktura aktywizacji i integracji społecznej mająca na celu poprawę kondycji psychofizycznej mieszkańców"/>
      </w:tblPr>
      <w:tblGrid>
        <w:gridCol w:w="2252"/>
        <w:gridCol w:w="6820"/>
      </w:tblGrid>
      <w:tr w:rsidR="00235FCA" w:rsidRPr="00D864D5" w:rsidTr="00EF02E5">
        <w:trPr>
          <w:trHeight w:val="850"/>
          <w:tblHeader/>
          <w:jc w:val="center"/>
        </w:trPr>
        <w:tc>
          <w:tcPr>
            <w:tcW w:w="2256" w:type="dxa"/>
            <w:shd w:val="clear" w:color="auto" w:fill="FFFFFF" w:themeFill="background1"/>
            <w:vAlign w:val="center"/>
          </w:tcPr>
          <w:p w:rsidR="00235FCA" w:rsidRPr="00D864D5" w:rsidRDefault="00235FCA" w:rsidP="00EF02E5">
            <w:pPr>
              <w:autoSpaceDE w:val="0"/>
              <w:autoSpaceDN w:val="0"/>
              <w:adjustRightInd w:val="0"/>
              <w:spacing w:line="240" w:lineRule="auto"/>
              <w:jc w:val="center"/>
              <w:rPr>
                <w:b/>
                <w:bCs/>
                <w:color w:val="000000" w:themeColor="text1"/>
                <w:sz w:val="24"/>
                <w:szCs w:val="24"/>
              </w:rPr>
            </w:pPr>
            <w:r w:rsidRPr="00D864D5">
              <w:rPr>
                <w:b/>
                <w:bCs/>
                <w:color w:val="000000" w:themeColor="text1"/>
                <w:sz w:val="24"/>
                <w:szCs w:val="24"/>
              </w:rPr>
              <w:t>Kierunek 14.2</w:t>
            </w:r>
          </w:p>
        </w:tc>
        <w:tc>
          <w:tcPr>
            <w:tcW w:w="6865"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left"/>
              <w:rPr>
                <w:b/>
                <w:bCs/>
                <w:color w:val="000000" w:themeColor="text1"/>
                <w:sz w:val="24"/>
                <w:szCs w:val="24"/>
              </w:rPr>
            </w:pPr>
            <w:r w:rsidRPr="00D864D5">
              <w:rPr>
                <w:b/>
                <w:bCs/>
                <w:color w:val="000000" w:themeColor="text1"/>
                <w:sz w:val="24"/>
                <w:szCs w:val="24"/>
              </w:rPr>
              <w:t>Infrastruktura aktywizacji i integracji społecznej mająca na celu poprawę kondycji psychofizycznej mieszkańców</w:t>
            </w:r>
          </w:p>
        </w:tc>
      </w:tr>
      <w:tr w:rsidR="00235FCA" w:rsidRPr="00D864D5" w:rsidTr="00EF02E5">
        <w:trPr>
          <w:trHeight w:val="907"/>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 xml:space="preserve">Charakterystyka działania: </w:t>
            </w:r>
          </w:p>
        </w:tc>
        <w:tc>
          <w:tcPr>
            <w:tcW w:w="6865" w:type="dxa"/>
          </w:tcPr>
          <w:p w:rsidR="00235FCA" w:rsidRPr="00D864D5" w:rsidRDefault="00235FCA" w:rsidP="00EF02E5">
            <w:pPr>
              <w:autoSpaceDE w:val="0"/>
              <w:autoSpaceDN w:val="0"/>
              <w:adjustRightInd w:val="0"/>
              <w:spacing w:line="240" w:lineRule="auto"/>
              <w:jc w:val="left"/>
              <w:rPr>
                <w:color w:val="000000" w:themeColor="text1"/>
                <w:sz w:val="24"/>
                <w:szCs w:val="24"/>
              </w:rPr>
            </w:pPr>
            <w:r w:rsidRPr="00D864D5">
              <w:rPr>
                <w:color w:val="000000" w:themeColor="text1"/>
                <w:sz w:val="24"/>
                <w:szCs w:val="24"/>
              </w:rPr>
              <w:t xml:space="preserve">Zaplanowane działania pozwolą na </w:t>
            </w:r>
            <w:r w:rsidRPr="00D864D5">
              <w:rPr>
                <w:rFonts w:cstheme="minorHAnsi"/>
                <w:color w:val="000000" w:themeColor="text1"/>
                <w:sz w:val="24"/>
                <w:szCs w:val="24"/>
              </w:rPr>
              <w:t>poprawę kondycji psychofizycznej mieszkańców i jednocześnie przyczynią się do</w:t>
            </w:r>
            <w:r w:rsidRPr="00D864D5">
              <w:rPr>
                <w:color w:val="000000" w:themeColor="text1"/>
                <w:sz w:val="24"/>
                <w:szCs w:val="24"/>
              </w:rPr>
              <w:t xml:space="preserve"> szeroko pojętej edukacji kulturalnej i tworzenia przestrzeni do spotkań.</w:t>
            </w:r>
          </w:p>
        </w:tc>
      </w:tr>
      <w:tr w:rsidR="00235FCA" w:rsidRPr="00D864D5" w:rsidTr="00EF02E5">
        <w:trPr>
          <w:trHeight w:val="907"/>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 xml:space="preserve">Przykładowe typy przedsięwzięć / projektów / zadań przewidzianych potencjalnie do realizacji </w:t>
            </w:r>
          </w:p>
        </w:tc>
        <w:tc>
          <w:tcPr>
            <w:tcW w:w="6865" w:type="dxa"/>
            <w:vAlign w:val="center"/>
          </w:tcPr>
          <w:p w:rsidR="00235FCA" w:rsidRPr="00D864D5" w:rsidRDefault="00235FCA" w:rsidP="00EF02E5">
            <w:pPr>
              <w:numPr>
                <w:ilvl w:val="0"/>
                <w:numId w:val="7"/>
              </w:numPr>
              <w:spacing w:line="240" w:lineRule="auto"/>
              <w:jc w:val="left"/>
              <w:rPr>
                <w:color w:val="000000" w:themeColor="text1"/>
                <w:sz w:val="24"/>
                <w:szCs w:val="24"/>
              </w:rPr>
            </w:pPr>
            <w:r w:rsidRPr="00D864D5">
              <w:rPr>
                <w:color w:val="000000" w:themeColor="text1"/>
                <w:sz w:val="24"/>
                <w:szCs w:val="24"/>
              </w:rPr>
              <w:t xml:space="preserve">Tworzenie nowej infrastruktury </w:t>
            </w:r>
            <w:r w:rsidRPr="00D864D5">
              <w:rPr>
                <w:bCs/>
                <w:color w:val="000000" w:themeColor="text1"/>
                <w:sz w:val="24"/>
                <w:szCs w:val="24"/>
              </w:rPr>
              <w:t xml:space="preserve">aktywizacji i integracji społecznej </w:t>
            </w:r>
            <w:r w:rsidRPr="00D864D5">
              <w:rPr>
                <w:bCs/>
                <w:color w:val="000000" w:themeColor="text1"/>
                <w:sz w:val="24"/>
                <w:szCs w:val="24"/>
              </w:rPr>
              <w:br/>
              <w:t xml:space="preserve">mający na celu poprawę kondycji psychofizycznej mieszkańców, </w:t>
            </w:r>
            <w:r w:rsidRPr="00D864D5">
              <w:rPr>
                <w:bCs/>
                <w:color w:val="000000" w:themeColor="text1"/>
                <w:sz w:val="24"/>
                <w:szCs w:val="24"/>
              </w:rPr>
              <w:br/>
              <w:t>z uwzględnieniem szeroko pojętej edukacji kulturalnej, w szczególności poprzez budowę budynków;</w:t>
            </w:r>
          </w:p>
          <w:p w:rsidR="00235FCA" w:rsidRPr="00D864D5" w:rsidRDefault="00235FCA" w:rsidP="00EF02E5">
            <w:pPr>
              <w:numPr>
                <w:ilvl w:val="0"/>
                <w:numId w:val="7"/>
              </w:numPr>
              <w:spacing w:line="240" w:lineRule="auto"/>
              <w:jc w:val="left"/>
              <w:rPr>
                <w:color w:val="000000" w:themeColor="text1"/>
                <w:sz w:val="24"/>
                <w:szCs w:val="24"/>
              </w:rPr>
            </w:pPr>
            <w:r w:rsidRPr="00D864D5">
              <w:rPr>
                <w:color w:val="000000" w:themeColor="text1"/>
                <w:sz w:val="24"/>
                <w:szCs w:val="24"/>
              </w:rPr>
              <w:t>Działania mające na celu rozbudowę, remont  lub modernizację</w:t>
            </w:r>
            <w:r w:rsidRPr="00D864D5">
              <w:rPr>
                <w:bCs/>
                <w:color w:val="000000" w:themeColor="text1"/>
                <w:sz w:val="24"/>
                <w:szCs w:val="24"/>
              </w:rPr>
              <w:t xml:space="preserve"> infrastruktury aktywizacji i integracji społecznej mający na celu poprawę kondycji psychofizycznej mieszkańców,  z uwzględnieniem szeroko pojętej edukacji kulturalnej;</w:t>
            </w:r>
          </w:p>
          <w:p w:rsidR="00235FCA" w:rsidRPr="00D864D5" w:rsidRDefault="00235FCA" w:rsidP="00EF02E5">
            <w:pPr>
              <w:numPr>
                <w:ilvl w:val="0"/>
                <w:numId w:val="7"/>
              </w:numPr>
              <w:spacing w:line="240" w:lineRule="auto"/>
              <w:jc w:val="left"/>
              <w:rPr>
                <w:color w:val="000000" w:themeColor="text1"/>
                <w:sz w:val="24"/>
                <w:szCs w:val="24"/>
              </w:rPr>
            </w:pPr>
            <w:r w:rsidRPr="00D864D5">
              <w:rPr>
                <w:color w:val="000000" w:themeColor="text1"/>
                <w:sz w:val="24"/>
                <w:szCs w:val="24"/>
              </w:rPr>
              <w:t>Rozwój pozostałej infrastruktury kulturalnej.</w:t>
            </w:r>
          </w:p>
        </w:tc>
      </w:tr>
      <w:tr w:rsidR="00235FCA" w:rsidRPr="00D864D5" w:rsidTr="00EF02E5">
        <w:trPr>
          <w:trHeight w:val="907"/>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Interesariusze / potencjalni partnerzy</w:t>
            </w:r>
          </w:p>
        </w:tc>
        <w:tc>
          <w:tcPr>
            <w:tcW w:w="6865" w:type="dxa"/>
            <w:vAlign w:val="center"/>
          </w:tcPr>
          <w:p w:rsidR="00235FCA" w:rsidRPr="00D864D5" w:rsidRDefault="00235FCA" w:rsidP="00EF02E5">
            <w:pPr>
              <w:autoSpaceDE w:val="0"/>
              <w:autoSpaceDN w:val="0"/>
              <w:adjustRightInd w:val="0"/>
              <w:spacing w:line="240" w:lineRule="auto"/>
              <w:jc w:val="left"/>
              <w:rPr>
                <w:color w:val="000000" w:themeColor="text1"/>
                <w:sz w:val="24"/>
                <w:szCs w:val="24"/>
              </w:rPr>
            </w:pPr>
            <w:r w:rsidRPr="00D864D5">
              <w:rPr>
                <w:color w:val="000000" w:themeColor="text1"/>
                <w:sz w:val="24"/>
                <w:szCs w:val="24"/>
              </w:rPr>
              <w:t>gminy WrOF, mieszkańcy WrOF</w:t>
            </w:r>
          </w:p>
        </w:tc>
      </w:tr>
      <w:tr w:rsidR="00235FCA" w:rsidRPr="00D864D5" w:rsidTr="00EF02E5">
        <w:trPr>
          <w:trHeight w:val="510"/>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Okres realizacji:</w:t>
            </w:r>
          </w:p>
        </w:tc>
        <w:tc>
          <w:tcPr>
            <w:tcW w:w="6865" w:type="dxa"/>
            <w:vAlign w:val="center"/>
          </w:tcPr>
          <w:p w:rsidR="00235FCA" w:rsidRPr="00D864D5" w:rsidRDefault="00235FCA" w:rsidP="00EF02E5">
            <w:pPr>
              <w:autoSpaceDE w:val="0"/>
              <w:autoSpaceDN w:val="0"/>
              <w:adjustRightInd w:val="0"/>
              <w:spacing w:line="240" w:lineRule="auto"/>
              <w:jc w:val="left"/>
              <w:rPr>
                <w:color w:val="000000" w:themeColor="text1"/>
                <w:sz w:val="24"/>
                <w:szCs w:val="24"/>
              </w:rPr>
            </w:pPr>
            <w:r w:rsidRPr="00D864D5">
              <w:rPr>
                <w:color w:val="000000" w:themeColor="text1"/>
                <w:sz w:val="24"/>
                <w:szCs w:val="24"/>
              </w:rPr>
              <w:t>2021-2027 (n+2)</w:t>
            </w:r>
          </w:p>
        </w:tc>
      </w:tr>
      <w:tr w:rsidR="00235FCA" w:rsidRPr="00D864D5" w:rsidTr="00EF02E5">
        <w:trPr>
          <w:trHeight w:val="670"/>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 xml:space="preserve">Potencjalne źródła finansowania: </w:t>
            </w:r>
          </w:p>
        </w:tc>
        <w:tc>
          <w:tcPr>
            <w:tcW w:w="6865" w:type="dxa"/>
            <w:vAlign w:val="center"/>
          </w:tcPr>
          <w:p w:rsidR="00235FCA" w:rsidRPr="00D864D5" w:rsidRDefault="00235FCA" w:rsidP="00EF02E5">
            <w:pPr>
              <w:pStyle w:val="Akapitzlist"/>
              <w:numPr>
                <w:ilvl w:val="0"/>
                <w:numId w:val="7"/>
              </w:numPr>
              <w:spacing w:line="240" w:lineRule="auto"/>
              <w:jc w:val="left"/>
              <w:rPr>
                <w:color w:val="000000" w:themeColor="text1"/>
                <w:sz w:val="24"/>
                <w:szCs w:val="24"/>
              </w:rPr>
            </w:pPr>
            <w:r w:rsidRPr="00D864D5">
              <w:rPr>
                <w:color w:val="000000" w:themeColor="text1"/>
                <w:sz w:val="24"/>
                <w:szCs w:val="24"/>
              </w:rPr>
              <w:t>Fundusze Europejskie dla Dolnego Śląska 2021-2027</w:t>
            </w:r>
          </w:p>
          <w:p w:rsidR="00235FCA" w:rsidRPr="00D864D5" w:rsidRDefault="00235FCA" w:rsidP="00EF02E5">
            <w:pPr>
              <w:pStyle w:val="Akapitzlist"/>
              <w:numPr>
                <w:ilvl w:val="0"/>
                <w:numId w:val="7"/>
              </w:numPr>
              <w:spacing w:line="240" w:lineRule="auto"/>
              <w:jc w:val="left"/>
              <w:rPr>
                <w:color w:val="000000" w:themeColor="text1"/>
                <w:sz w:val="24"/>
                <w:szCs w:val="24"/>
              </w:rPr>
            </w:pPr>
            <w:r w:rsidRPr="00D864D5">
              <w:rPr>
                <w:color w:val="000000" w:themeColor="text1"/>
                <w:sz w:val="24"/>
                <w:szCs w:val="24"/>
              </w:rPr>
              <w:t>inne środki zewnętrzne, budżet państwa, środki własne gminy</w:t>
            </w:r>
          </w:p>
        </w:tc>
      </w:tr>
      <w:tr w:rsidR="00235FCA" w:rsidRPr="00D864D5" w:rsidTr="00EF02E5">
        <w:trPr>
          <w:trHeight w:val="624"/>
          <w:jc w:val="center"/>
        </w:trPr>
        <w:tc>
          <w:tcPr>
            <w:tcW w:w="2256" w:type="dxa"/>
            <w:shd w:val="clear" w:color="auto" w:fill="E3F1ED" w:themeFill="accent3" w:themeFillTint="33"/>
            <w:vAlign w:val="center"/>
          </w:tcPr>
          <w:p w:rsidR="00235FCA" w:rsidRPr="00D864D5" w:rsidRDefault="00235FCA" w:rsidP="00EF02E5">
            <w:pPr>
              <w:autoSpaceDE w:val="0"/>
              <w:autoSpaceDN w:val="0"/>
              <w:adjustRightInd w:val="0"/>
              <w:spacing w:line="240" w:lineRule="auto"/>
              <w:jc w:val="right"/>
              <w:rPr>
                <w:color w:val="000000" w:themeColor="text1"/>
                <w:sz w:val="24"/>
                <w:szCs w:val="24"/>
              </w:rPr>
            </w:pPr>
            <w:r w:rsidRPr="00D864D5">
              <w:rPr>
                <w:color w:val="000000" w:themeColor="text1"/>
                <w:sz w:val="24"/>
                <w:szCs w:val="24"/>
              </w:rPr>
              <w:t xml:space="preserve">Proponowane wskaźniki monitorujące realizację kierunku działania: </w:t>
            </w:r>
          </w:p>
        </w:tc>
        <w:tc>
          <w:tcPr>
            <w:tcW w:w="6865" w:type="dxa"/>
            <w:vAlign w:val="center"/>
          </w:tcPr>
          <w:p w:rsidR="00235FCA" w:rsidRPr="00D864D5" w:rsidRDefault="00235FCA" w:rsidP="00EF02E5">
            <w:pPr>
              <w:pStyle w:val="Akapitzlist"/>
              <w:numPr>
                <w:ilvl w:val="0"/>
                <w:numId w:val="7"/>
              </w:numPr>
              <w:spacing w:line="240" w:lineRule="auto"/>
              <w:jc w:val="left"/>
              <w:rPr>
                <w:rFonts w:cstheme="minorHAnsi"/>
                <w:color w:val="000000" w:themeColor="text1"/>
                <w:sz w:val="24"/>
                <w:szCs w:val="24"/>
              </w:rPr>
            </w:pPr>
            <w:r w:rsidRPr="00D864D5">
              <w:rPr>
                <w:rFonts w:cstheme="minorHAnsi"/>
                <w:color w:val="000000" w:themeColor="text1"/>
                <w:sz w:val="24"/>
                <w:szCs w:val="24"/>
              </w:rPr>
              <w:t>Liczba obiektów kulturalnych i turystycznych objętych wsparciem [liczba obiektów]</w:t>
            </w:r>
          </w:p>
          <w:p w:rsidR="00235FCA" w:rsidRPr="00D864D5" w:rsidRDefault="00235FCA" w:rsidP="00EF02E5">
            <w:pPr>
              <w:pStyle w:val="Akapitzlist"/>
              <w:numPr>
                <w:ilvl w:val="0"/>
                <w:numId w:val="7"/>
              </w:numPr>
              <w:spacing w:line="240" w:lineRule="auto"/>
              <w:jc w:val="left"/>
              <w:rPr>
                <w:color w:val="000000" w:themeColor="text1"/>
                <w:sz w:val="24"/>
                <w:szCs w:val="24"/>
              </w:rPr>
            </w:pPr>
            <w:r w:rsidRPr="00D864D5">
              <w:rPr>
                <w:rFonts w:cstheme="minorHAnsi"/>
                <w:color w:val="000000" w:themeColor="text1"/>
                <w:sz w:val="24"/>
                <w:szCs w:val="24"/>
              </w:rPr>
              <w:t>Liczba osób odwiedzających obiekty kulturalne i turystyczne objęte wsparciem [osoby]</w:t>
            </w:r>
          </w:p>
        </w:tc>
      </w:tr>
    </w:tbl>
    <w:p w:rsidR="00235FCA" w:rsidRDefault="00235FCA" w:rsidP="000F745F">
      <w:pPr>
        <w:pStyle w:val="Default"/>
        <w:spacing w:before="120" w:after="120" w:line="360" w:lineRule="auto"/>
        <w:rPr>
          <w:color w:val="000000" w:themeColor="text1"/>
          <w:sz w:val="28"/>
        </w:rPr>
      </w:pPr>
    </w:p>
    <w:tbl>
      <w:tblPr>
        <w:tblStyle w:val="Tabela-Siatka8"/>
        <w:tblW w:w="91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4.3 Poprawa dostępności usług publicznych"/>
      </w:tblPr>
      <w:tblGrid>
        <w:gridCol w:w="2248"/>
        <w:gridCol w:w="6945"/>
      </w:tblGrid>
      <w:tr w:rsidR="00235FCA" w:rsidRPr="00A739B6" w:rsidTr="00EF02E5">
        <w:trPr>
          <w:trHeight w:val="850"/>
          <w:tblHeader/>
        </w:trPr>
        <w:tc>
          <w:tcPr>
            <w:tcW w:w="2248" w:type="dxa"/>
            <w:shd w:val="clear" w:color="auto" w:fill="FFFFFF" w:themeFill="background1"/>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14.3</w:t>
            </w:r>
          </w:p>
        </w:tc>
        <w:tc>
          <w:tcPr>
            <w:tcW w:w="6945"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sidRPr="00A739B6">
              <w:rPr>
                <w:b/>
                <w:bCs/>
                <w:color w:val="000000" w:themeColor="text1"/>
                <w:sz w:val="24"/>
                <w:szCs w:val="24"/>
              </w:rPr>
              <w:t>Poprawa dostępności usług publicznych</w:t>
            </w:r>
          </w:p>
        </w:tc>
      </w:tr>
      <w:tr w:rsidR="00235FCA" w:rsidRPr="00A739B6" w:rsidTr="00EF02E5">
        <w:trPr>
          <w:trHeight w:val="907"/>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Charakterystyka działania: </w:t>
            </w:r>
          </w:p>
        </w:tc>
        <w:tc>
          <w:tcPr>
            <w:tcW w:w="6945" w:type="dxa"/>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Zaplanowane działania zapewnią zrównoważony rozwoju obszaru WrOF, w szczególności z większą dostęp do usług publicznych wśród mieszkańców terenów wiejskich i miejskich. Działania wpłyną na poprawę jakości nauczania i warunków życia na tych terenach, pozytywnie wpłyną na </w:t>
            </w:r>
            <w:r w:rsidRPr="00A739B6">
              <w:rPr>
                <w:rFonts w:cstheme="minorHAnsi"/>
                <w:color w:val="000000" w:themeColor="text1"/>
                <w:sz w:val="24"/>
                <w:szCs w:val="24"/>
              </w:rPr>
              <w:t>poprawę kondycji psychofizycznej mieszkańców.</w:t>
            </w:r>
          </w:p>
        </w:tc>
      </w:tr>
      <w:tr w:rsidR="00235FCA" w:rsidRPr="00A739B6" w:rsidTr="00EF02E5">
        <w:trPr>
          <w:trHeight w:val="907"/>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Przykładowe typy przedsięwzięć / projektów / zadań przewidzianych potencjalnie do realizacji </w:t>
            </w:r>
          </w:p>
        </w:tc>
        <w:tc>
          <w:tcPr>
            <w:tcW w:w="6945"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bCs/>
                <w:color w:val="000000" w:themeColor="text1"/>
                <w:sz w:val="24"/>
                <w:szCs w:val="24"/>
              </w:rPr>
              <w:t>Poprawa dostępności usług publicznych poprzez budowę budynków mających wpływ, w szczególności na poprawę dostępności lub jakości  edukacji, poprawę zdrowia i kondycji psychofizycznej mieszkańców;</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 xml:space="preserve">Działania mające na celu rozbudowę, remont lub modernizację obiektów </w:t>
            </w:r>
            <w:r w:rsidRPr="00A739B6">
              <w:rPr>
                <w:bCs/>
                <w:color w:val="000000" w:themeColor="text1"/>
                <w:sz w:val="24"/>
                <w:szCs w:val="24"/>
              </w:rPr>
              <w:t>mających wpływ, w szczególności na poprawę dostępności lub jakości  edukacji, poprawę zdrowia i kondycji psychofizycznej mieszkańców;</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Rozwój infrastruktury dodatkowej.</w:t>
            </w:r>
          </w:p>
        </w:tc>
      </w:tr>
      <w:tr w:rsidR="00235FCA" w:rsidRPr="00A739B6" w:rsidTr="00EF02E5">
        <w:trPr>
          <w:trHeight w:val="907"/>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Interesariusze / potencjalni partnerzy</w:t>
            </w:r>
          </w:p>
        </w:tc>
        <w:tc>
          <w:tcPr>
            <w:tcW w:w="6945"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gminy WrOF, mieszkańcy WrOF</w:t>
            </w:r>
          </w:p>
        </w:tc>
      </w:tr>
      <w:tr w:rsidR="00235FCA" w:rsidRPr="00A739B6" w:rsidTr="00EF02E5">
        <w:trPr>
          <w:trHeight w:val="510"/>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Okres realizacji:</w:t>
            </w:r>
          </w:p>
        </w:tc>
        <w:tc>
          <w:tcPr>
            <w:tcW w:w="6945"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2021-2027 (n+2)</w:t>
            </w:r>
          </w:p>
        </w:tc>
      </w:tr>
      <w:tr w:rsidR="00235FCA" w:rsidRPr="00A739B6" w:rsidTr="00EF02E5">
        <w:trPr>
          <w:trHeight w:val="670"/>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Potencjalne źródła finansowania: </w:t>
            </w:r>
          </w:p>
        </w:tc>
        <w:tc>
          <w:tcPr>
            <w:tcW w:w="6945"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dla Dolnego Śląska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inne środki zewnętrzne, budżet państwa, środki własne gminy</w:t>
            </w:r>
          </w:p>
        </w:tc>
      </w:tr>
      <w:tr w:rsidR="00235FCA" w:rsidRPr="00A739B6" w:rsidTr="00EF02E5">
        <w:trPr>
          <w:trHeight w:val="624"/>
        </w:trPr>
        <w:tc>
          <w:tcPr>
            <w:tcW w:w="2248"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Proponowane wskaźniki monitorujące realizację kierunku działania: </w:t>
            </w:r>
          </w:p>
        </w:tc>
        <w:tc>
          <w:tcPr>
            <w:tcW w:w="6945" w:type="dxa"/>
            <w:vAlign w:val="center"/>
          </w:tcPr>
          <w:p w:rsidR="00235FCA" w:rsidRPr="00A739B6" w:rsidRDefault="00235FCA" w:rsidP="00EF02E5">
            <w:pPr>
              <w:pStyle w:val="Akapitzlist"/>
              <w:numPr>
                <w:ilvl w:val="0"/>
                <w:numId w:val="7"/>
              </w:numPr>
              <w:spacing w:line="240" w:lineRule="auto"/>
              <w:ind w:left="357" w:hanging="357"/>
              <w:rPr>
                <w:color w:val="000000" w:themeColor="text1"/>
                <w:sz w:val="24"/>
                <w:szCs w:val="24"/>
              </w:rPr>
            </w:pPr>
            <w:r w:rsidRPr="00A739B6">
              <w:rPr>
                <w:color w:val="000000" w:themeColor="text1"/>
                <w:sz w:val="24"/>
                <w:szCs w:val="24"/>
              </w:rPr>
              <w:t>Całkowita liczba osób objętych wsparciem [osoby]</w:t>
            </w:r>
          </w:p>
          <w:p w:rsidR="00235FCA" w:rsidRPr="00A739B6" w:rsidRDefault="00235FCA" w:rsidP="00EF02E5">
            <w:pPr>
              <w:pStyle w:val="Akapitzlist"/>
              <w:numPr>
                <w:ilvl w:val="0"/>
                <w:numId w:val="7"/>
              </w:numPr>
              <w:spacing w:line="240" w:lineRule="auto"/>
              <w:ind w:left="357" w:hanging="357"/>
              <w:jc w:val="left"/>
              <w:rPr>
                <w:color w:val="000000" w:themeColor="text1"/>
                <w:sz w:val="24"/>
                <w:szCs w:val="24"/>
              </w:rPr>
            </w:pPr>
            <w:r w:rsidRPr="00A739B6">
              <w:rPr>
                <w:color w:val="000000" w:themeColor="text1"/>
                <w:sz w:val="24"/>
                <w:szCs w:val="24"/>
              </w:rPr>
              <w:t>Liczba przebudowanych lub rozbudowanych szkół [liczba obiektów]</w:t>
            </w:r>
          </w:p>
        </w:tc>
      </w:tr>
    </w:tbl>
    <w:p w:rsidR="00235FCA" w:rsidRDefault="00235FCA" w:rsidP="000F745F">
      <w:pPr>
        <w:pStyle w:val="Default"/>
        <w:spacing w:before="120" w:after="120" w:line="360" w:lineRule="auto"/>
        <w:rPr>
          <w:color w:val="000000" w:themeColor="text1"/>
          <w:sz w:val="28"/>
        </w:rPr>
      </w:pPr>
      <w:r>
        <w:rPr>
          <w:color w:val="000000" w:themeColor="text1"/>
          <w:sz w:val="28"/>
        </w:rPr>
        <w:br w:type="page"/>
      </w:r>
    </w:p>
    <w:p w:rsidR="00216B5C" w:rsidRDefault="00216B5C" w:rsidP="00216B5C">
      <w:pPr>
        <w:pStyle w:val="Default"/>
        <w:spacing w:before="120" w:after="120"/>
        <w:jc w:val="both"/>
      </w:pPr>
      <w:r w:rsidRPr="00AF6578">
        <w:rPr>
          <w:noProof/>
          <w:lang w:eastAsia="pl-PL"/>
        </w:rPr>
        <w:drawing>
          <wp:inline distT="0" distB="0" distL="0" distR="0" wp14:anchorId="086140AD" wp14:editId="15FAECD7">
            <wp:extent cx="5356860" cy="2173605"/>
            <wp:effectExtent l="0" t="0" r="0" b="0"/>
            <wp:docPr id="117" name="Obraz 117" descr="Cel strategiczny 4. Priorytet 15. Zintegrowane zarządzanie obszarem. Kierunek 15.1, 15.2, 15.3" title="Cel strategiczny 4. Prioryte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BIT\wszyscy\ZIT\Realizacja STRATEGIA ZIT WrOF\Ikony schematów\ikony schematów 2\cel strategiczny 4. priorytet 15-03.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356860" cy="2173605"/>
                    </a:xfrm>
                    <a:prstGeom prst="rect">
                      <a:avLst/>
                    </a:prstGeom>
                    <a:noFill/>
                    <a:ln>
                      <a:noFill/>
                    </a:ln>
                  </pic:spPr>
                </pic:pic>
              </a:graphicData>
            </a:graphic>
          </wp:inline>
        </w:drawing>
      </w:r>
    </w:p>
    <w:p w:rsidR="00A739B6" w:rsidRDefault="00A739B6" w:rsidP="00A739B6">
      <w:pPr>
        <w:pStyle w:val="Default"/>
        <w:spacing w:before="120" w:after="120" w:line="360" w:lineRule="auto"/>
        <w:rPr>
          <w:rFonts w:cstheme="minorHAnsi"/>
          <w:color w:val="000000" w:themeColor="text1"/>
          <w:szCs w:val="20"/>
        </w:rPr>
      </w:pPr>
      <w:r w:rsidRPr="00A739B6">
        <w:rPr>
          <w:rFonts w:asciiTheme="majorHAnsi" w:eastAsiaTheme="majorEastAsia" w:hAnsiTheme="majorHAnsi" w:cstheme="majorBidi"/>
          <w:b/>
          <w:color w:val="000000" w:themeColor="text1"/>
          <w:sz w:val="36"/>
          <w:szCs w:val="26"/>
        </w:rPr>
        <w:t xml:space="preserve">Priorytet Zintegrowane zarządzanie obszarem </w:t>
      </w:r>
      <w:r w:rsidRPr="00A739B6">
        <w:rPr>
          <w:rFonts w:cstheme="minorHAnsi"/>
          <w:color w:val="000000" w:themeColor="text1"/>
          <w:szCs w:val="20"/>
        </w:rPr>
        <w:t>Zintegrowane zarządzanie obszarem oraz zacieśnienie i podniesienie jako</w:t>
      </w:r>
      <w:r w:rsidR="001D1207">
        <w:rPr>
          <w:rFonts w:cstheme="minorHAnsi"/>
          <w:color w:val="000000" w:themeColor="text1"/>
          <w:szCs w:val="20"/>
        </w:rPr>
        <w:t>ści i efektywności współpracy w </w:t>
      </w:r>
      <w:r w:rsidRPr="00A739B6">
        <w:rPr>
          <w:rFonts w:cstheme="minorHAnsi"/>
          <w:color w:val="000000" w:themeColor="text1"/>
          <w:szCs w:val="20"/>
        </w:rPr>
        <w:t>ramach WrOF pozwoli na dalszy rozwój obszaru. Realizacja zintegrowanych projektów i wzmocnienie współpracy pozwoli na rozwiązywanie wspólnych problemów rozwojowych, dotyczących całego obszaru.</w:t>
      </w: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5.1 Wdrażanie instrumentu Zintegrowanych Inwestycji Terytorialnych "/>
        <w:tblDescription w:val="omówienie kierunku"/>
      </w:tblPr>
      <w:tblGrid>
        <w:gridCol w:w="2762"/>
        <w:gridCol w:w="6310"/>
      </w:tblGrid>
      <w:tr w:rsidR="00235FCA" w:rsidRPr="00A739B6" w:rsidTr="00EF02E5">
        <w:trPr>
          <w:trHeight w:val="850"/>
          <w:tblHeader/>
          <w:jc w:val="center"/>
        </w:trPr>
        <w:tc>
          <w:tcPr>
            <w:tcW w:w="2762" w:type="dxa"/>
            <w:shd w:val="clear" w:color="auto" w:fill="FFFFFF" w:themeFill="background1"/>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sidRPr="00A739B6">
              <w:rPr>
                <w:b/>
                <w:bCs/>
                <w:color w:val="000000" w:themeColor="text1"/>
                <w:sz w:val="24"/>
                <w:szCs w:val="24"/>
              </w:rPr>
              <w:t>Kierunek 15.1</w:t>
            </w:r>
          </w:p>
        </w:tc>
        <w:tc>
          <w:tcPr>
            <w:tcW w:w="6310"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sidRPr="00A739B6">
              <w:rPr>
                <w:b/>
                <w:bCs/>
                <w:color w:val="000000" w:themeColor="text1"/>
                <w:sz w:val="24"/>
                <w:szCs w:val="24"/>
              </w:rPr>
              <w:t xml:space="preserve">Wdrażanie instrumentu Zintegrowanych Inwestycji Terytorialnych </w:t>
            </w:r>
          </w:p>
        </w:tc>
      </w:tr>
      <w:tr w:rsidR="00235FCA" w:rsidRPr="00A739B6" w:rsidTr="00EF02E5">
        <w:trPr>
          <w:trHeight w:val="680"/>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Charakterystyka działania: </w:t>
            </w:r>
          </w:p>
        </w:tc>
        <w:tc>
          <w:tcPr>
            <w:tcW w:w="6310"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Kierunek działania odpowiada za wdrażanie instrumentu ZIT na poziomie operacyjnym</w:t>
            </w:r>
          </w:p>
        </w:tc>
      </w:tr>
      <w:tr w:rsidR="00235FCA" w:rsidRPr="00A739B6" w:rsidTr="00EF02E5">
        <w:trPr>
          <w:trHeight w:val="907"/>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Przykładowe typy przedsięwzięć / projektów / zadań przewidzianych potencjalnie do realizacji </w:t>
            </w:r>
          </w:p>
        </w:tc>
        <w:tc>
          <w:tcPr>
            <w:tcW w:w="6310"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Typologia projektów zintegrowanych oraz ich charakterystyka zostały szczegółowo opisane w rozdziale IV Instrument ZIT – poziom operacyjny;</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Przygotowanie i monitorowanie strategii, w szczególności ich aktualizacja;</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Działania na rzecz zwiększenia zdolności kreowania polityki rozwoju obszaru oraz koordynacyjnych Biura ZIT Wrocławskiego Obszaru Funkcjonalnego.</w:t>
            </w:r>
          </w:p>
        </w:tc>
      </w:tr>
      <w:tr w:rsidR="00235FCA" w:rsidRPr="00A739B6" w:rsidTr="00EF02E5">
        <w:trPr>
          <w:trHeight w:val="624"/>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Interesariusze / potencjalni partnerzy</w:t>
            </w:r>
          </w:p>
        </w:tc>
        <w:tc>
          <w:tcPr>
            <w:tcW w:w="6310"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gminy WrOF, mieszkańcy WrOF</w:t>
            </w:r>
          </w:p>
        </w:tc>
      </w:tr>
      <w:tr w:rsidR="00235FCA" w:rsidRPr="00A739B6" w:rsidTr="00EF02E5">
        <w:trPr>
          <w:trHeight w:val="510"/>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Okres realizacji:</w:t>
            </w:r>
          </w:p>
        </w:tc>
        <w:tc>
          <w:tcPr>
            <w:tcW w:w="6310"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2021-2027 (n+2)</w:t>
            </w:r>
          </w:p>
        </w:tc>
      </w:tr>
      <w:tr w:rsidR="00235FCA" w:rsidRPr="00A739B6" w:rsidTr="00EF02E5">
        <w:trPr>
          <w:trHeight w:val="670"/>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Potencjalne źródła finansowania: </w:t>
            </w:r>
          </w:p>
        </w:tc>
        <w:tc>
          <w:tcPr>
            <w:tcW w:w="6310"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dla Dolnego Śląska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na Infrastrukturę, Klimat, Środowisko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Pomoc Techniczna dla Funduszy Europejskich (PTFE)</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inne środki zewnętrzne, budżet państwa, środki własne gminy</w:t>
            </w:r>
          </w:p>
        </w:tc>
      </w:tr>
      <w:tr w:rsidR="00235FCA" w:rsidRPr="00A739B6" w:rsidTr="00EF02E5">
        <w:trPr>
          <w:trHeight w:val="624"/>
          <w:jc w:val="center"/>
        </w:trPr>
        <w:tc>
          <w:tcPr>
            <w:tcW w:w="2762"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Proponowane wskaźniki monitorujące realizację kierunku działania: </w:t>
            </w:r>
          </w:p>
        </w:tc>
        <w:tc>
          <w:tcPr>
            <w:tcW w:w="6310"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Liczba zrealizowanych projektów zintegrowanych [szt.]</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Pozyskana kwota dofinansowania na realizację zadań w trybie niekonkurencyjnym [zł]</w:t>
            </w:r>
          </w:p>
        </w:tc>
      </w:tr>
    </w:tbl>
    <w:p w:rsidR="00235FCA" w:rsidRDefault="00235FCA" w:rsidP="00A739B6">
      <w:pPr>
        <w:pStyle w:val="Default"/>
        <w:spacing w:before="120" w:after="120" w:line="360" w:lineRule="auto"/>
        <w:rPr>
          <w:rFonts w:cstheme="minorHAnsi"/>
          <w:color w:val="000000" w:themeColor="text1"/>
          <w:szCs w:val="20"/>
        </w:rPr>
      </w:pPr>
    </w:p>
    <w:tbl>
      <w:tblPr>
        <w:tblStyle w:val="Tabela-Siatka8"/>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5.2 Tworzenie partnerskich projektów przez gminy WrOF poza mechanizmem ZIT"/>
        <w:tblDescription w:val="omówienie kierunku"/>
      </w:tblPr>
      <w:tblGrid>
        <w:gridCol w:w="1861"/>
        <w:gridCol w:w="7211"/>
      </w:tblGrid>
      <w:tr w:rsidR="00235FCA" w:rsidRPr="00A739B6" w:rsidTr="00EF02E5">
        <w:trPr>
          <w:trHeight w:val="850"/>
          <w:tblHeader/>
          <w:jc w:val="center"/>
        </w:trPr>
        <w:tc>
          <w:tcPr>
            <w:tcW w:w="1701" w:type="dxa"/>
            <w:shd w:val="clear" w:color="auto" w:fill="FFFFFF" w:themeFill="background1"/>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Pr>
                <w:b/>
                <w:bCs/>
                <w:color w:val="000000" w:themeColor="text1"/>
                <w:sz w:val="24"/>
                <w:szCs w:val="24"/>
              </w:rPr>
              <w:t>Kierunek 15.2</w:t>
            </w:r>
          </w:p>
        </w:tc>
        <w:tc>
          <w:tcPr>
            <w:tcW w:w="6945"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sidRPr="00A739B6">
              <w:rPr>
                <w:rFonts w:cstheme="minorHAnsi"/>
                <w:b/>
                <w:color w:val="000000" w:themeColor="text1"/>
                <w:sz w:val="24"/>
                <w:szCs w:val="24"/>
                <w:lang w:eastAsia="pl-PL"/>
              </w:rPr>
              <w:t>Tworzenie partnerskich projektów przez gminy WrOF poza mechanizmem ZIT</w:t>
            </w:r>
          </w:p>
        </w:tc>
      </w:tr>
      <w:tr w:rsidR="00235FCA" w:rsidRPr="00A739B6" w:rsidTr="00EF02E5">
        <w:trPr>
          <w:trHeight w:val="1417"/>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Charakterystyka działania: </w:t>
            </w:r>
          </w:p>
        </w:tc>
        <w:tc>
          <w:tcPr>
            <w:tcW w:w="6945"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Działania planowane do realizacji zakładają wzmocnienie współpracy członków WrOF, zarówno pomiędzy poszczególnymi gminami WrOF,</w:t>
            </w:r>
            <w:r w:rsidRPr="00A739B6">
              <w:rPr>
                <w:color w:val="000000" w:themeColor="text1"/>
                <w:sz w:val="24"/>
                <w:szCs w:val="24"/>
              </w:rPr>
              <w:br/>
              <w:t xml:space="preserve">jak i podmiotami zewnętrznymi, takimi jak organizacje pozarządowe </w:t>
            </w:r>
            <w:r w:rsidRPr="00A739B6">
              <w:rPr>
                <w:color w:val="000000" w:themeColor="text1"/>
                <w:sz w:val="24"/>
                <w:szCs w:val="24"/>
              </w:rPr>
              <w:br/>
              <w:t xml:space="preserve">lub inni partnerzy społeczno-gospodarczy.  </w:t>
            </w:r>
          </w:p>
        </w:tc>
      </w:tr>
      <w:tr w:rsidR="00235FCA" w:rsidRPr="00A739B6" w:rsidTr="00EF02E5">
        <w:trPr>
          <w:trHeight w:val="794"/>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Przykładowe typy przedsięwzięć / projektów / zadań przewidzianych potencjalnie do realizacji </w:t>
            </w:r>
          </w:p>
        </w:tc>
        <w:tc>
          <w:tcPr>
            <w:tcW w:w="6945"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Działania na rzecz wspólnej gospodarki odpadami</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Wspólna promocja, marketing i działalność lobbingowa</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Współpraca na rzecz decentralizacji usług</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 xml:space="preserve">Tworzenie wspólnych produktów turystycznych, w tym szlaków turystycznych </w:t>
            </w:r>
          </w:p>
        </w:tc>
      </w:tr>
      <w:tr w:rsidR="00235FCA" w:rsidRPr="00A739B6" w:rsidTr="00EF02E5">
        <w:trPr>
          <w:trHeight w:val="794"/>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Interesariusze / potencjalni partnerzy</w:t>
            </w:r>
          </w:p>
        </w:tc>
        <w:tc>
          <w:tcPr>
            <w:tcW w:w="6945"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gminy WrOF, mieszkańcy WrOF, organizacje pozarządowe , gminy Porozumienia dot. PZM MOFW </w:t>
            </w:r>
          </w:p>
        </w:tc>
      </w:tr>
      <w:tr w:rsidR="00235FCA" w:rsidRPr="00A739B6" w:rsidTr="00EF02E5">
        <w:trPr>
          <w:trHeight w:val="794"/>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Okres realizacji:</w:t>
            </w:r>
          </w:p>
        </w:tc>
        <w:tc>
          <w:tcPr>
            <w:tcW w:w="6945"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2021-2027 (n+2)</w:t>
            </w:r>
          </w:p>
        </w:tc>
      </w:tr>
      <w:tr w:rsidR="00235FCA" w:rsidRPr="00A739B6" w:rsidTr="00EF02E5">
        <w:trPr>
          <w:trHeight w:val="794"/>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Potencjalne źródła finansowania: </w:t>
            </w:r>
          </w:p>
        </w:tc>
        <w:tc>
          <w:tcPr>
            <w:tcW w:w="6945"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dla Dolnego Śląska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na Infrastrukturę, Klimat, Środowisko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Fundusze Europejskie dla Rozwoju Społecznego 2021–2027</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inne środki zewnętrzne, budżet państwa, środki własne gminy</w:t>
            </w:r>
          </w:p>
        </w:tc>
      </w:tr>
      <w:tr w:rsidR="00235FCA" w:rsidRPr="00A739B6" w:rsidTr="00EF02E5">
        <w:trPr>
          <w:trHeight w:val="2098"/>
          <w:jc w:val="center"/>
        </w:trPr>
        <w:tc>
          <w:tcPr>
            <w:tcW w:w="1701"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 xml:space="preserve">Proponowane wskaźniki monitorujące realizację kierunku działania: </w:t>
            </w:r>
          </w:p>
        </w:tc>
        <w:tc>
          <w:tcPr>
            <w:tcW w:w="6945"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Liczba podpisanych umów partnerskich pomiędzy gminami WrOF na rzecz realizacji projektów zintegrowanych [szt.]</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Liczba projektów zintegrowanych zrealizowanych we współpracy z organizacjami pozarządowymi [szt.]</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Liczba projektów zintegrowanych zrealizowana z innymi podmiotami społeczno-gospodarczymi [szt.]</w:t>
            </w:r>
          </w:p>
        </w:tc>
      </w:tr>
    </w:tbl>
    <w:p w:rsidR="00235FCA" w:rsidRPr="00A739B6" w:rsidRDefault="00235FCA" w:rsidP="00A739B6">
      <w:pPr>
        <w:pStyle w:val="Default"/>
        <w:spacing w:before="120" w:after="120" w:line="360" w:lineRule="auto"/>
        <w:rPr>
          <w:rFonts w:cstheme="minorHAnsi"/>
          <w:color w:val="000000" w:themeColor="text1"/>
          <w:sz w:val="28"/>
          <w:szCs w:val="20"/>
        </w:rPr>
      </w:pPr>
    </w:p>
    <w:p w:rsidR="006C0174" w:rsidRDefault="006C0174" w:rsidP="00216B5C">
      <w:pPr>
        <w:pStyle w:val="Default"/>
        <w:spacing w:before="120" w:after="120"/>
        <w:jc w:val="both"/>
      </w:pPr>
      <w:r>
        <w:br w:type="page"/>
      </w:r>
    </w:p>
    <w:p w:rsidR="004A1B31" w:rsidRDefault="004A1B31" w:rsidP="001D1207">
      <w:pPr>
        <w:jc w:val="left"/>
        <w:rPr>
          <w:rFonts w:cstheme="minorHAnsi"/>
          <w:color w:val="000000" w:themeColor="text1"/>
          <w:szCs w:val="20"/>
        </w:rPr>
      </w:pPr>
      <w:r w:rsidRPr="00AF6578">
        <w:rPr>
          <w:noProof/>
          <w:lang w:eastAsia="pl-PL"/>
        </w:rPr>
        <w:drawing>
          <wp:inline distT="0" distB="0" distL="0" distR="0" wp14:anchorId="565CAC3A" wp14:editId="3C4808C8">
            <wp:extent cx="4554855" cy="1776730"/>
            <wp:effectExtent l="0" t="0" r="0" b="0"/>
            <wp:docPr id="122" name="Obraz 122" descr="Cel strategiczny 4. Priorytet 16. Planowanie przestrzenne, Kierunek 16.1" title="Cel strategiczny 4. Priorytet 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BIT\wszyscy\ZIT\Realizacja STRATEGIA ZIT WrOF\Ikony schematów\ikony schematów 2\cel strategiczny 4. priorytet 16-03.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554855" cy="1776730"/>
                    </a:xfrm>
                    <a:prstGeom prst="rect">
                      <a:avLst/>
                    </a:prstGeom>
                    <a:noFill/>
                    <a:ln>
                      <a:noFill/>
                    </a:ln>
                  </pic:spPr>
                </pic:pic>
              </a:graphicData>
            </a:graphic>
          </wp:inline>
        </w:drawing>
      </w:r>
      <w:r w:rsidR="00660368">
        <w:rPr>
          <w:rFonts w:asciiTheme="majorHAnsi" w:eastAsiaTheme="majorEastAsia" w:hAnsiTheme="majorHAnsi" w:cstheme="majorBidi"/>
          <w:b/>
          <w:color w:val="000000" w:themeColor="text1"/>
          <w:sz w:val="36"/>
          <w:szCs w:val="26"/>
        </w:rPr>
        <w:br/>
      </w:r>
      <w:r w:rsidR="00A739B6" w:rsidRPr="00A739B6">
        <w:rPr>
          <w:rFonts w:asciiTheme="majorHAnsi" w:eastAsiaTheme="majorEastAsia" w:hAnsiTheme="majorHAnsi" w:cstheme="majorBidi"/>
          <w:b/>
          <w:color w:val="000000" w:themeColor="text1"/>
          <w:sz w:val="36"/>
          <w:szCs w:val="26"/>
        </w:rPr>
        <w:t>Priorytet Planowanie przestrzenne</w:t>
      </w:r>
      <w:r w:rsidR="00A739B6" w:rsidRPr="00A739B6">
        <w:rPr>
          <w:rFonts w:cstheme="minorHAnsi"/>
          <w:color w:val="000000" w:themeColor="text1"/>
          <w:sz w:val="24"/>
          <w:szCs w:val="20"/>
        </w:rPr>
        <w:t xml:space="preserve"> </w:t>
      </w:r>
      <w:r w:rsidR="00A739B6" w:rsidRPr="001D1207">
        <w:rPr>
          <w:rFonts w:cstheme="minorHAnsi"/>
          <w:color w:val="000000" w:themeColor="text1"/>
          <w:sz w:val="24"/>
          <w:szCs w:val="20"/>
        </w:rPr>
        <w:t>–</w:t>
      </w:r>
      <w:r w:rsidR="00A739B6" w:rsidRPr="001D1207">
        <w:rPr>
          <w:rFonts w:asciiTheme="majorHAnsi" w:eastAsiaTheme="majorEastAsia" w:hAnsiTheme="majorHAnsi" w:cstheme="majorBidi"/>
          <w:b/>
          <w:color w:val="000000" w:themeColor="text1"/>
          <w:sz w:val="36"/>
          <w:szCs w:val="26"/>
        </w:rPr>
        <w:t xml:space="preserve"> </w:t>
      </w:r>
      <w:r w:rsidR="00A739B6" w:rsidRPr="001D1207">
        <w:rPr>
          <w:rFonts w:cstheme="minorHAnsi"/>
          <w:color w:val="000000" w:themeColor="text1"/>
          <w:sz w:val="24"/>
          <w:szCs w:val="20"/>
        </w:rPr>
        <w:t xml:space="preserve">kompleksowe planowanie przestrzenne jest jednym z elementów wpływających na poziom spójności przestrzennej obszaru. Z uwagi na zachodzące we WrOF procesy, istotne jest minimalizowane skutków niekontrolowanej suburbanizacji, która wiąże </w:t>
      </w:r>
      <w:r w:rsidR="001D1207">
        <w:rPr>
          <w:rFonts w:cstheme="minorHAnsi"/>
          <w:color w:val="000000" w:themeColor="text1"/>
          <w:sz w:val="24"/>
          <w:szCs w:val="20"/>
        </w:rPr>
        <w:t>się m.in. ze wzrostem zużycia i </w:t>
      </w:r>
      <w:r w:rsidR="00A739B6" w:rsidRPr="001D1207">
        <w:rPr>
          <w:rFonts w:cstheme="minorHAnsi"/>
          <w:color w:val="000000" w:themeColor="text1"/>
          <w:sz w:val="24"/>
          <w:szCs w:val="20"/>
        </w:rPr>
        <w:t>zapotrzebowania na energię. Dzięki prowadzonym działaniom zwiększy się również funkcjonalność i dostępność przestrzeni, co przełoży się na wzmocnienie atrakcyjności osiedleńczej obszaru, a także podniesienie efektywności energetycznej struktur osadniczych</w:t>
      </w:r>
      <w:r w:rsidR="00A739B6" w:rsidRPr="001D1207">
        <w:rPr>
          <w:rFonts w:cstheme="minorHAnsi"/>
          <w:color w:val="000000" w:themeColor="text1"/>
          <w:szCs w:val="20"/>
        </w:rPr>
        <w:t>.</w:t>
      </w:r>
    </w:p>
    <w:tbl>
      <w:tblPr>
        <w:tblStyle w:val="Tabela-Siatka8"/>
        <w:tblW w:w="91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ierunek 16.1 Koordynacja planowania przestrzennego"/>
        <w:tblDescription w:val="Omówienie kierunku"/>
      </w:tblPr>
      <w:tblGrid>
        <w:gridCol w:w="2329"/>
        <w:gridCol w:w="6866"/>
      </w:tblGrid>
      <w:tr w:rsidR="00235FCA" w:rsidRPr="00A739B6" w:rsidTr="00EF02E5">
        <w:trPr>
          <w:trHeight w:val="567"/>
          <w:tblHeader/>
        </w:trPr>
        <w:tc>
          <w:tcPr>
            <w:tcW w:w="2329" w:type="dxa"/>
            <w:shd w:val="clear" w:color="auto" w:fill="FFFFFF" w:themeFill="background1"/>
            <w:vAlign w:val="center"/>
          </w:tcPr>
          <w:p w:rsidR="00235FCA" w:rsidRPr="00A739B6" w:rsidRDefault="00235FCA" w:rsidP="00EF02E5">
            <w:pPr>
              <w:autoSpaceDE w:val="0"/>
              <w:autoSpaceDN w:val="0"/>
              <w:adjustRightInd w:val="0"/>
              <w:spacing w:line="240" w:lineRule="auto"/>
              <w:jc w:val="center"/>
              <w:rPr>
                <w:b/>
                <w:bCs/>
                <w:color w:val="000000" w:themeColor="text1"/>
                <w:sz w:val="24"/>
                <w:szCs w:val="24"/>
              </w:rPr>
            </w:pPr>
            <w:r w:rsidRPr="00A739B6">
              <w:rPr>
                <w:b/>
                <w:bCs/>
                <w:color w:val="000000" w:themeColor="text1"/>
                <w:sz w:val="24"/>
                <w:szCs w:val="24"/>
              </w:rPr>
              <w:t>Kierunek 16.1</w:t>
            </w:r>
          </w:p>
        </w:tc>
        <w:tc>
          <w:tcPr>
            <w:tcW w:w="6866"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left"/>
              <w:rPr>
                <w:b/>
                <w:bCs/>
                <w:color w:val="000000" w:themeColor="text1"/>
                <w:sz w:val="24"/>
                <w:szCs w:val="24"/>
              </w:rPr>
            </w:pPr>
            <w:r w:rsidRPr="00A739B6">
              <w:rPr>
                <w:b/>
                <w:bCs/>
                <w:color w:val="000000" w:themeColor="text1"/>
                <w:sz w:val="24"/>
                <w:szCs w:val="24"/>
              </w:rPr>
              <w:t>Koordynacja planowania przestrzennego</w:t>
            </w:r>
          </w:p>
        </w:tc>
      </w:tr>
      <w:tr w:rsidR="00235FCA" w:rsidRPr="00A739B6" w:rsidTr="00EF02E5">
        <w:trPr>
          <w:trHeight w:val="907"/>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 xml:space="preserve">Charakterystyka działania: </w:t>
            </w:r>
          </w:p>
        </w:tc>
        <w:tc>
          <w:tcPr>
            <w:tcW w:w="6866"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Proponowane działania mają za zadanie wzmocnić koordynację planowania przestrzennego na obszarze WrOF, co pozwoli lepiej wykorzystać posiadane zasoby w postaci terenów inwestycyjnych.</w:t>
            </w:r>
          </w:p>
        </w:tc>
      </w:tr>
      <w:tr w:rsidR="00235FCA" w:rsidRPr="00A739B6" w:rsidTr="00EF02E5">
        <w:trPr>
          <w:trHeight w:val="907"/>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 xml:space="preserve">Przykładowe typy przedsięwzięć / projektów / zadań przewidzianych potencjalnie do realizacji </w:t>
            </w:r>
          </w:p>
        </w:tc>
        <w:tc>
          <w:tcPr>
            <w:tcW w:w="6866"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Zwiększenie poziomu pokrycia gmin miejscowymi planami zagospodarowania przestrzennego;</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Powoływanie ciał doradczych (komitetów, komisji) w celu zapewnienia spójności planowania przestrzennego;</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 xml:space="preserve">Tworzenie wspólnych platform informatycznych integrujących działania związane z planowaniem przestrzennym w gminach; </w:t>
            </w:r>
          </w:p>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 xml:space="preserve">Przygotowanie </w:t>
            </w:r>
            <w:proofErr w:type="spellStart"/>
            <w:r w:rsidRPr="00A739B6">
              <w:rPr>
                <w:color w:val="000000" w:themeColor="text1"/>
                <w:sz w:val="24"/>
                <w:szCs w:val="24"/>
              </w:rPr>
              <w:t>Masterplanu</w:t>
            </w:r>
            <w:proofErr w:type="spellEnd"/>
            <w:r w:rsidRPr="00A739B6">
              <w:rPr>
                <w:color w:val="000000" w:themeColor="text1"/>
                <w:sz w:val="24"/>
                <w:szCs w:val="24"/>
              </w:rPr>
              <w:t xml:space="preserve"> dla WrOF w porozumieniu z międzynarodowymi ciałami doradczymi (np. Grupa Banku Światowego).</w:t>
            </w:r>
          </w:p>
        </w:tc>
      </w:tr>
      <w:tr w:rsidR="00235FCA" w:rsidRPr="00A739B6" w:rsidTr="00EF02E5">
        <w:trPr>
          <w:trHeight w:val="680"/>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Interesariusze / potencjalni partnerzy</w:t>
            </w:r>
          </w:p>
        </w:tc>
        <w:tc>
          <w:tcPr>
            <w:tcW w:w="6866"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gminy WrOF, mieszkańcy WrOF</w:t>
            </w:r>
          </w:p>
        </w:tc>
      </w:tr>
      <w:tr w:rsidR="00235FCA" w:rsidRPr="00A739B6" w:rsidTr="00EF02E5">
        <w:trPr>
          <w:trHeight w:val="510"/>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Okres realizacji:</w:t>
            </w:r>
          </w:p>
        </w:tc>
        <w:tc>
          <w:tcPr>
            <w:tcW w:w="6866" w:type="dxa"/>
            <w:vAlign w:val="center"/>
          </w:tcPr>
          <w:p w:rsidR="00235FCA" w:rsidRPr="00A739B6" w:rsidRDefault="00235FCA" w:rsidP="00EF02E5">
            <w:pPr>
              <w:autoSpaceDE w:val="0"/>
              <w:autoSpaceDN w:val="0"/>
              <w:adjustRightInd w:val="0"/>
              <w:spacing w:line="240" w:lineRule="auto"/>
              <w:jc w:val="left"/>
              <w:rPr>
                <w:color w:val="000000" w:themeColor="text1"/>
                <w:sz w:val="24"/>
                <w:szCs w:val="24"/>
              </w:rPr>
            </w:pPr>
            <w:r w:rsidRPr="00A739B6">
              <w:rPr>
                <w:color w:val="000000" w:themeColor="text1"/>
                <w:sz w:val="24"/>
                <w:szCs w:val="24"/>
              </w:rPr>
              <w:t>2021-2027 (n+2)</w:t>
            </w:r>
          </w:p>
        </w:tc>
      </w:tr>
      <w:tr w:rsidR="00235FCA" w:rsidRPr="00A739B6" w:rsidTr="00EF02E5">
        <w:trPr>
          <w:trHeight w:val="670"/>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 xml:space="preserve">Potencjalne źródła finansowania: </w:t>
            </w:r>
          </w:p>
        </w:tc>
        <w:tc>
          <w:tcPr>
            <w:tcW w:w="6866"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inne środki zewnętrzne, budżet państwa, środki własne gminy</w:t>
            </w:r>
          </w:p>
        </w:tc>
      </w:tr>
      <w:tr w:rsidR="00235FCA" w:rsidRPr="00A739B6" w:rsidTr="00EF02E5">
        <w:trPr>
          <w:trHeight w:val="624"/>
        </w:trPr>
        <w:tc>
          <w:tcPr>
            <w:tcW w:w="2329" w:type="dxa"/>
            <w:shd w:val="clear" w:color="auto" w:fill="E3F1ED" w:themeFill="accent3" w:themeFillTint="33"/>
            <w:vAlign w:val="center"/>
          </w:tcPr>
          <w:p w:rsidR="00235FCA" w:rsidRPr="00A739B6" w:rsidRDefault="00235FCA" w:rsidP="00EF02E5">
            <w:pPr>
              <w:autoSpaceDE w:val="0"/>
              <w:autoSpaceDN w:val="0"/>
              <w:adjustRightInd w:val="0"/>
              <w:spacing w:line="240" w:lineRule="auto"/>
              <w:jc w:val="right"/>
              <w:rPr>
                <w:color w:val="000000" w:themeColor="text1"/>
                <w:sz w:val="24"/>
                <w:szCs w:val="24"/>
              </w:rPr>
            </w:pPr>
            <w:r w:rsidRPr="00A739B6">
              <w:rPr>
                <w:color w:val="000000" w:themeColor="text1"/>
                <w:sz w:val="24"/>
                <w:szCs w:val="24"/>
              </w:rPr>
              <w:t xml:space="preserve">Proponowane wskaźniki monitorujące realizację kierunku działania: </w:t>
            </w:r>
          </w:p>
        </w:tc>
        <w:tc>
          <w:tcPr>
            <w:tcW w:w="6866" w:type="dxa"/>
            <w:vAlign w:val="center"/>
          </w:tcPr>
          <w:p w:rsidR="00235FCA" w:rsidRPr="00A739B6" w:rsidRDefault="00235FCA" w:rsidP="00EF02E5">
            <w:pPr>
              <w:pStyle w:val="Akapitzlist"/>
              <w:numPr>
                <w:ilvl w:val="0"/>
                <w:numId w:val="7"/>
              </w:numPr>
              <w:spacing w:line="240" w:lineRule="auto"/>
              <w:jc w:val="left"/>
              <w:rPr>
                <w:color w:val="000000" w:themeColor="text1"/>
                <w:sz w:val="24"/>
                <w:szCs w:val="24"/>
              </w:rPr>
            </w:pPr>
            <w:r w:rsidRPr="00A739B6">
              <w:rPr>
                <w:color w:val="000000" w:themeColor="text1"/>
                <w:sz w:val="24"/>
                <w:szCs w:val="24"/>
              </w:rPr>
              <w:t>Zintegrowane projekty rozwoju terytorialnego [projekty]</w:t>
            </w:r>
          </w:p>
        </w:tc>
      </w:tr>
    </w:tbl>
    <w:p w:rsidR="00F50E28" w:rsidRPr="00D33978" w:rsidRDefault="00F50E28" w:rsidP="00D33978">
      <w:pPr>
        <w:pStyle w:val="Nagwek1"/>
        <w:spacing w:before="0"/>
      </w:pPr>
      <w:bookmarkStart w:id="159" w:name="_Toc143673221"/>
      <w:r w:rsidRPr="00D33978">
        <w:t>IV Instrument ZIT – poziom operacyjny</w:t>
      </w:r>
      <w:bookmarkEnd w:id="159"/>
    </w:p>
    <w:p w:rsidR="00CC51A0" w:rsidRPr="00660368" w:rsidRDefault="00F50E28" w:rsidP="00660368">
      <w:pPr>
        <w:pStyle w:val="Nagwek2"/>
      </w:pPr>
      <w:bookmarkStart w:id="160" w:name="_Toc143673222"/>
      <w:r w:rsidRPr="00660368">
        <w:t>IV.1 Założenia Zintegrowanych Inwestycji Terytorialnych</w:t>
      </w:r>
      <w:bookmarkEnd w:id="160"/>
    </w:p>
    <w:p w:rsidR="00F425C2" w:rsidRPr="00660368" w:rsidRDefault="004F58F3" w:rsidP="00660368">
      <w:pPr>
        <w:spacing w:after="120"/>
        <w:jc w:val="left"/>
        <w:rPr>
          <w:sz w:val="24"/>
        </w:rPr>
      </w:pPr>
      <w:r w:rsidRPr="00660368">
        <w:rPr>
          <w:sz w:val="24"/>
        </w:rPr>
        <w:t>Poziom operacyjny w Strategii ZIT WrOF 2021-2027</w:t>
      </w:r>
      <w:r w:rsidR="005934D9" w:rsidRPr="00660368">
        <w:rPr>
          <w:sz w:val="24"/>
        </w:rPr>
        <w:t xml:space="preserve"> odnos</w:t>
      </w:r>
      <w:r w:rsidR="00C41F2E" w:rsidRPr="00660368">
        <w:rPr>
          <w:sz w:val="24"/>
        </w:rPr>
        <w:t xml:space="preserve">i się do instrumentu ZIT oraz </w:t>
      </w:r>
      <w:r w:rsidR="005934D9" w:rsidRPr="00660368">
        <w:rPr>
          <w:sz w:val="24"/>
        </w:rPr>
        <w:t xml:space="preserve">możliwości finansowania  projektów z programów FEDS </w:t>
      </w:r>
      <w:r w:rsidR="00571FC6" w:rsidRPr="00660368">
        <w:rPr>
          <w:sz w:val="24"/>
        </w:rPr>
        <w:t xml:space="preserve">2021-2027 </w:t>
      </w:r>
      <w:r w:rsidR="005934D9" w:rsidRPr="00660368">
        <w:rPr>
          <w:sz w:val="24"/>
        </w:rPr>
        <w:t xml:space="preserve">oraz </w:t>
      </w:r>
      <w:proofErr w:type="spellStart"/>
      <w:r w:rsidR="00571FC6" w:rsidRPr="00660368">
        <w:rPr>
          <w:sz w:val="24"/>
        </w:rPr>
        <w:t>FEnIKS</w:t>
      </w:r>
      <w:proofErr w:type="spellEnd"/>
      <w:r w:rsidR="00571FC6" w:rsidRPr="00660368">
        <w:rPr>
          <w:sz w:val="24"/>
        </w:rPr>
        <w:t xml:space="preserve"> 2021-2027</w:t>
      </w:r>
      <w:r w:rsidR="005934D9" w:rsidRPr="00660368">
        <w:rPr>
          <w:sz w:val="24"/>
        </w:rPr>
        <w:t xml:space="preserve">. </w:t>
      </w:r>
    </w:p>
    <w:p w:rsidR="006662FF" w:rsidRPr="00660368" w:rsidRDefault="001A6C7E" w:rsidP="00660368">
      <w:pPr>
        <w:spacing w:after="120"/>
        <w:jc w:val="left"/>
        <w:rPr>
          <w:sz w:val="24"/>
        </w:rPr>
      </w:pPr>
      <w:r w:rsidRPr="00660368">
        <w:rPr>
          <w:sz w:val="24"/>
        </w:rPr>
        <w:t>Projekty ujęte w S</w:t>
      </w:r>
      <w:r w:rsidR="006662FF" w:rsidRPr="00660368">
        <w:rPr>
          <w:sz w:val="24"/>
        </w:rPr>
        <w:t>trategii ZIT WrOF</w:t>
      </w:r>
      <w:r w:rsidR="00C41F2E" w:rsidRPr="00660368">
        <w:rPr>
          <w:sz w:val="24"/>
        </w:rPr>
        <w:t xml:space="preserve"> 2021-2027</w:t>
      </w:r>
      <w:r w:rsidR="006662FF" w:rsidRPr="00660368">
        <w:rPr>
          <w:sz w:val="24"/>
        </w:rPr>
        <w:t xml:space="preserve">  będą  wybier</w:t>
      </w:r>
      <w:r w:rsidR="00C438A4" w:rsidRPr="00660368">
        <w:rPr>
          <w:sz w:val="24"/>
        </w:rPr>
        <w:t>ane do </w:t>
      </w:r>
      <w:r w:rsidR="00DB7E92" w:rsidRPr="00660368">
        <w:rPr>
          <w:sz w:val="24"/>
        </w:rPr>
        <w:t xml:space="preserve">dofinansowania w trybie </w:t>
      </w:r>
      <w:r w:rsidR="006662FF" w:rsidRPr="00660368">
        <w:rPr>
          <w:sz w:val="24"/>
        </w:rPr>
        <w:t>pozakonkursow</w:t>
      </w:r>
      <w:r w:rsidR="00DB7E92" w:rsidRPr="00660368">
        <w:rPr>
          <w:sz w:val="24"/>
        </w:rPr>
        <w:t xml:space="preserve">ym </w:t>
      </w:r>
      <w:r w:rsidR="00045771" w:rsidRPr="00660368">
        <w:rPr>
          <w:sz w:val="24"/>
        </w:rPr>
        <w:t>w obszarach interwencji (</w:t>
      </w:r>
      <w:r w:rsidR="00C41F2E" w:rsidRPr="00660368">
        <w:rPr>
          <w:sz w:val="24"/>
        </w:rPr>
        <w:t>Priorytetach i C</w:t>
      </w:r>
      <w:r w:rsidR="00045771" w:rsidRPr="00660368">
        <w:rPr>
          <w:sz w:val="24"/>
        </w:rPr>
        <w:t xml:space="preserve">elach szczegółowych) i dla kodów interwencji </w:t>
      </w:r>
      <w:r w:rsidR="00DB7E92" w:rsidRPr="00660368">
        <w:rPr>
          <w:sz w:val="24"/>
        </w:rPr>
        <w:t xml:space="preserve">wskazanych </w:t>
      </w:r>
      <w:r w:rsidR="00045771" w:rsidRPr="00660368">
        <w:rPr>
          <w:sz w:val="24"/>
        </w:rPr>
        <w:t xml:space="preserve">przez odpowiednie Instytucje Zarządzające </w:t>
      </w:r>
      <w:r w:rsidR="00B81BEC" w:rsidRPr="00660368">
        <w:rPr>
          <w:sz w:val="24"/>
        </w:rPr>
        <w:t>programów</w:t>
      </w:r>
      <w:r w:rsidR="00571FC6" w:rsidRPr="00660368">
        <w:rPr>
          <w:sz w:val="24"/>
        </w:rPr>
        <w:t xml:space="preserve"> FEDS 2021-2027 oraz </w:t>
      </w:r>
      <w:proofErr w:type="spellStart"/>
      <w:r w:rsidR="00571FC6" w:rsidRPr="00660368">
        <w:rPr>
          <w:sz w:val="24"/>
        </w:rPr>
        <w:t>FEnIKS</w:t>
      </w:r>
      <w:proofErr w:type="spellEnd"/>
      <w:r w:rsidR="00571FC6" w:rsidRPr="00660368">
        <w:rPr>
          <w:sz w:val="24"/>
        </w:rPr>
        <w:t xml:space="preserve"> 2021-2027. </w:t>
      </w:r>
    </w:p>
    <w:p w:rsidR="00DB7E92" w:rsidRPr="00660368" w:rsidRDefault="005934D9" w:rsidP="00660368">
      <w:pPr>
        <w:spacing w:after="0"/>
        <w:jc w:val="left"/>
        <w:rPr>
          <w:sz w:val="24"/>
        </w:rPr>
      </w:pPr>
      <w:r w:rsidRPr="00660368">
        <w:rPr>
          <w:sz w:val="24"/>
        </w:rPr>
        <w:t>Przyznana, dedykowana a</w:t>
      </w:r>
      <w:r w:rsidR="00DB7E92" w:rsidRPr="00660368">
        <w:rPr>
          <w:sz w:val="24"/>
        </w:rPr>
        <w:t xml:space="preserve">lokacja </w:t>
      </w:r>
      <w:r w:rsidRPr="00660368">
        <w:rPr>
          <w:sz w:val="24"/>
        </w:rPr>
        <w:t xml:space="preserve">dla </w:t>
      </w:r>
      <w:r w:rsidR="00DB7E92" w:rsidRPr="00660368">
        <w:rPr>
          <w:sz w:val="24"/>
        </w:rPr>
        <w:t>ZIT WrOF</w:t>
      </w:r>
      <w:r w:rsidR="00DB7E92" w:rsidRPr="00660368">
        <w:rPr>
          <w:rStyle w:val="Odwoanieprzypisudolnego"/>
          <w:sz w:val="24"/>
        </w:rPr>
        <w:footnoteReference w:id="120"/>
      </w:r>
      <w:r w:rsidR="00C438A4" w:rsidRPr="00660368">
        <w:rPr>
          <w:sz w:val="24"/>
        </w:rPr>
        <w:t xml:space="preserve"> </w:t>
      </w:r>
      <w:r w:rsidRPr="00660368">
        <w:rPr>
          <w:sz w:val="24"/>
        </w:rPr>
        <w:t xml:space="preserve">w poszczególnych programach  wynosi:  </w:t>
      </w:r>
    </w:p>
    <w:p w:rsidR="00DB7E92" w:rsidRPr="00660368" w:rsidRDefault="00C438A4" w:rsidP="00660368">
      <w:pPr>
        <w:numPr>
          <w:ilvl w:val="0"/>
          <w:numId w:val="16"/>
        </w:numPr>
        <w:suppressAutoHyphens/>
        <w:spacing w:after="0"/>
        <w:ind w:left="714" w:hanging="357"/>
        <w:jc w:val="left"/>
        <w:rPr>
          <w:rFonts w:cstheme="minorHAnsi"/>
          <w:sz w:val="24"/>
        </w:rPr>
      </w:pPr>
      <w:r w:rsidRPr="00660368">
        <w:rPr>
          <w:rFonts w:cstheme="minorHAnsi"/>
          <w:sz w:val="24"/>
        </w:rPr>
        <w:t xml:space="preserve">FEDS 2021-2027 – </w:t>
      </w:r>
      <w:r w:rsidR="00B81BEC" w:rsidRPr="00660368">
        <w:rPr>
          <w:rFonts w:cstheme="minorHAnsi"/>
          <w:sz w:val="24"/>
        </w:rPr>
        <w:t xml:space="preserve">54 337 636 </w:t>
      </w:r>
      <w:r w:rsidR="00DB7E92" w:rsidRPr="00660368">
        <w:rPr>
          <w:rFonts w:cstheme="minorHAnsi"/>
          <w:sz w:val="24"/>
        </w:rPr>
        <w:t>EUR</w:t>
      </w:r>
    </w:p>
    <w:p w:rsidR="00DB7E92" w:rsidRPr="00660368" w:rsidRDefault="00571FC6" w:rsidP="00660368">
      <w:pPr>
        <w:numPr>
          <w:ilvl w:val="0"/>
          <w:numId w:val="16"/>
        </w:numPr>
        <w:suppressAutoHyphens/>
        <w:spacing w:after="120"/>
        <w:ind w:left="714" w:hanging="357"/>
        <w:jc w:val="left"/>
        <w:rPr>
          <w:rFonts w:cstheme="minorHAnsi"/>
          <w:sz w:val="24"/>
        </w:rPr>
      </w:pPr>
      <w:proofErr w:type="spellStart"/>
      <w:r w:rsidRPr="00660368">
        <w:rPr>
          <w:rFonts w:cstheme="minorHAnsi"/>
          <w:sz w:val="24"/>
        </w:rPr>
        <w:t>FEnIKS</w:t>
      </w:r>
      <w:proofErr w:type="spellEnd"/>
      <w:r w:rsidRPr="00660368">
        <w:rPr>
          <w:rFonts w:cstheme="minorHAnsi"/>
          <w:sz w:val="24"/>
        </w:rPr>
        <w:t xml:space="preserve"> 2021-2027</w:t>
      </w:r>
      <w:r w:rsidR="00C438A4" w:rsidRPr="00660368">
        <w:rPr>
          <w:rFonts w:cstheme="minorHAnsi"/>
          <w:sz w:val="24"/>
        </w:rPr>
        <w:t xml:space="preserve"> – </w:t>
      </w:r>
      <w:r w:rsidR="00DB7E92" w:rsidRPr="00660368">
        <w:rPr>
          <w:rFonts w:cstheme="minorHAnsi"/>
          <w:sz w:val="24"/>
        </w:rPr>
        <w:t xml:space="preserve">450 000 000 PLN. </w:t>
      </w:r>
    </w:p>
    <w:p w:rsidR="00B81BEC" w:rsidRPr="00660368" w:rsidRDefault="00E7725E" w:rsidP="00660368">
      <w:pPr>
        <w:spacing w:after="0"/>
        <w:jc w:val="left"/>
        <w:rPr>
          <w:sz w:val="24"/>
        </w:rPr>
      </w:pPr>
      <w:r w:rsidRPr="00660368">
        <w:rPr>
          <w:sz w:val="24"/>
        </w:rPr>
        <w:t>W ramach p</w:t>
      </w:r>
      <w:r w:rsidR="00B81BEC" w:rsidRPr="00660368">
        <w:rPr>
          <w:sz w:val="24"/>
        </w:rPr>
        <w:t>rogramu FEDS</w:t>
      </w:r>
      <w:r w:rsidR="00571FC6" w:rsidRPr="00660368">
        <w:rPr>
          <w:sz w:val="24"/>
        </w:rPr>
        <w:t xml:space="preserve"> 2021-2027 </w:t>
      </w:r>
      <w:r w:rsidR="00B81BEC" w:rsidRPr="00660368">
        <w:rPr>
          <w:sz w:val="24"/>
        </w:rPr>
        <w:t>wskazano następujący podział przyznanej alokacji:</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obszar Efektywność energetyczna (CP2) – kod interwencji 045 - 2 590 000 EUR</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obs</w:t>
      </w:r>
      <w:r w:rsidR="007C017C" w:rsidRPr="00660368">
        <w:rPr>
          <w:rFonts w:cstheme="minorHAnsi"/>
          <w:sz w:val="24"/>
        </w:rPr>
        <w:t>zar Gospodarka wodno-ściekowa (</w:t>
      </w:r>
      <w:r w:rsidRPr="00660368">
        <w:rPr>
          <w:rFonts w:cstheme="minorHAnsi"/>
          <w:sz w:val="24"/>
        </w:rPr>
        <w:t>CP2) – 13 557 254 EUR</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obszar Ochrona przyrody i klimatu (CP2) – 2 966 747 EUR</w:t>
      </w:r>
    </w:p>
    <w:p w:rsidR="00B81BEC" w:rsidRPr="00660368" w:rsidRDefault="00567FCB" w:rsidP="00660368">
      <w:pPr>
        <w:numPr>
          <w:ilvl w:val="0"/>
          <w:numId w:val="16"/>
        </w:numPr>
        <w:suppressAutoHyphens/>
        <w:spacing w:after="0"/>
        <w:ind w:left="714" w:hanging="357"/>
        <w:jc w:val="left"/>
        <w:rPr>
          <w:rFonts w:cstheme="minorHAnsi"/>
          <w:sz w:val="24"/>
        </w:rPr>
      </w:pPr>
      <w:r w:rsidRPr="00660368">
        <w:rPr>
          <w:rFonts w:cstheme="minorHAnsi"/>
          <w:sz w:val="24"/>
        </w:rPr>
        <w:t>o</w:t>
      </w:r>
      <w:r w:rsidR="00B81BEC" w:rsidRPr="00660368">
        <w:rPr>
          <w:rFonts w:cstheme="minorHAnsi"/>
          <w:sz w:val="24"/>
        </w:rPr>
        <w:t>bszar Mobi</w:t>
      </w:r>
      <w:r w:rsidR="007C017C" w:rsidRPr="00660368">
        <w:rPr>
          <w:rFonts w:cstheme="minorHAnsi"/>
          <w:sz w:val="24"/>
        </w:rPr>
        <w:t>lność miejska i aglomeracyjna (</w:t>
      </w:r>
      <w:r w:rsidR="00B81BEC" w:rsidRPr="00660368">
        <w:rPr>
          <w:rFonts w:cstheme="minorHAnsi"/>
          <w:sz w:val="24"/>
        </w:rPr>
        <w:t>CP2)</w:t>
      </w:r>
      <w:r w:rsidR="007C017C" w:rsidRPr="00660368">
        <w:rPr>
          <w:rFonts w:cstheme="minorHAnsi"/>
          <w:sz w:val="24"/>
        </w:rPr>
        <w:t xml:space="preserve"> –</w:t>
      </w:r>
      <w:r w:rsidR="00B81BEC" w:rsidRPr="00660368">
        <w:rPr>
          <w:rFonts w:cstheme="minorHAnsi"/>
          <w:sz w:val="24"/>
        </w:rPr>
        <w:t xml:space="preserve"> 9 655 092 EUR</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obszar Zrówn</w:t>
      </w:r>
      <w:r w:rsidR="007728E2" w:rsidRPr="00660368">
        <w:rPr>
          <w:rFonts w:cstheme="minorHAnsi"/>
          <w:sz w:val="24"/>
        </w:rPr>
        <w:t>oważony rozwój terytorialny (CP5</w:t>
      </w:r>
      <w:r w:rsidRPr="00660368">
        <w:rPr>
          <w:rFonts w:cstheme="minorHAnsi"/>
          <w:sz w:val="24"/>
        </w:rPr>
        <w:t>) – 17 140 829 EUR</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 xml:space="preserve">obszar Dostęp do edukacji (CP4 EFS+) </w:t>
      </w:r>
      <w:r w:rsidR="007C017C" w:rsidRPr="00660368">
        <w:rPr>
          <w:rFonts w:cstheme="minorHAnsi"/>
          <w:sz w:val="24"/>
        </w:rPr>
        <w:t>–</w:t>
      </w:r>
      <w:r w:rsidRPr="00660368">
        <w:rPr>
          <w:rFonts w:cstheme="minorHAnsi"/>
          <w:sz w:val="24"/>
        </w:rPr>
        <w:t xml:space="preserve"> w zakresie przedszkoli </w:t>
      </w:r>
      <w:r w:rsidR="001F03F8" w:rsidRPr="00660368">
        <w:rPr>
          <w:rFonts w:cstheme="minorHAnsi"/>
          <w:sz w:val="24"/>
        </w:rPr>
        <w:t>–</w:t>
      </w:r>
      <w:r w:rsidRPr="00660368">
        <w:rPr>
          <w:rFonts w:cstheme="minorHAnsi"/>
          <w:sz w:val="24"/>
        </w:rPr>
        <w:t xml:space="preserve"> 1 700 000 EUR</w:t>
      </w:r>
    </w:p>
    <w:p w:rsidR="00B81BEC" w:rsidRPr="00660368" w:rsidRDefault="00B81BEC" w:rsidP="00660368">
      <w:pPr>
        <w:numPr>
          <w:ilvl w:val="0"/>
          <w:numId w:val="16"/>
        </w:numPr>
        <w:suppressAutoHyphens/>
        <w:spacing w:after="0"/>
        <w:ind w:left="714" w:hanging="357"/>
        <w:jc w:val="left"/>
        <w:rPr>
          <w:rFonts w:cstheme="minorHAnsi"/>
          <w:sz w:val="24"/>
        </w:rPr>
      </w:pPr>
      <w:r w:rsidRPr="00660368">
        <w:rPr>
          <w:rFonts w:cstheme="minorHAnsi"/>
          <w:sz w:val="24"/>
        </w:rPr>
        <w:t xml:space="preserve">obszar Dostęp do edukacji (CP4 EFS+) </w:t>
      </w:r>
      <w:r w:rsidR="007C017C" w:rsidRPr="00660368">
        <w:rPr>
          <w:rFonts w:cstheme="minorHAnsi"/>
          <w:sz w:val="24"/>
        </w:rPr>
        <w:t>–</w:t>
      </w:r>
      <w:r w:rsidRPr="00660368">
        <w:rPr>
          <w:rFonts w:cstheme="minorHAnsi"/>
          <w:sz w:val="24"/>
        </w:rPr>
        <w:t xml:space="preserve"> w zakresie szkół zawodowych </w:t>
      </w:r>
      <w:r w:rsidR="001F03F8" w:rsidRPr="00660368">
        <w:rPr>
          <w:rFonts w:cstheme="minorHAnsi"/>
          <w:sz w:val="24"/>
        </w:rPr>
        <w:t>–</w:t>
      </w:r>
      <w:r w:rsidRPr="00660368">
        <w:rPr>
          <w:rFonts w:cstheme="minorHAnsi"/>
          <w:sz w:val="24"/>
        </w:rPr>
        <w:t xml:space="preserve"> 1 500 000 EUR</w:t>
      </w:r>
    </w:p>
    <w:p w:rsidR="00B81BEC" w:rsidRPr="00660368" w:rsidRDefault="00567FCB" w:rsidP="00660368">
      <w:pPr>
        <w:numPr>
          <w:ilvl w:val="0"/>
          <w:numId w:val="16"/>
        </w:numPr>
        <w:suppressAutoHyphens/>
        <w:spacing w:after="0"/>
        <w:ind w:left="714" w:hanging="357"/>
        <w:jc w:val="left"/>
        <w:rPr>
          <w:rFonts w:cstheme="minorHAnsi"/>
          <w:sz w:val="24"/>
        </w:rPr>
      </w:pPr>
      <w:r w:rsidRPr="00660368">
        <w:rPr>
          <w:rFonts w:cstheme="minorHAnsi"/>
          <w:sz w:val="24"/>
        </w:rPr>
        <w:t xml:space="preserve">obszar </w:t>
      </w:r>
      <w:r w:rsidR="00B81BEC" w:rsidRPr="00660368">
        <w:rPr>
          <w:rFonts w:cstheme="minorHAnsi"/>
          <w:sz w:val="24"/>
        </w:rPr>
        <w:t>Usługi społeczne (CP4 EFS+) – 4 800 000 EUR</w:t>
      </w:r>
    </w:p>
    <w:p w:rsidR="00B81BEC" w:rsidRPr="00660368" w:rsidRDefault="00B81BEC" w:rsidP="00660368">
      <w:pPr>
        <w:numPr>
          <w:ilvl w:val="0"/>
          <w:numId w:val="16"/>
        </w:numPr>
        <w:suppressAutoHyphens/>
        <w:spacing w:after="120"/>
        <w:ind w:left="714" w:hanging="357"/>
        <w:jc w:val="left"/>
        <w:rPr>
          <w:rFonts w:cstheme="minorHAnsi"/>
          <w:sz w:val="24"/>
        </w:rPr>
      </w:pPr>
      <w:r w:rsidRPr="00660368">
        <w:rPr>
          <w:rFonts w:cstheme="minorHAnsi"/>
          <w:sz w:val="24"/>
        </w:rPr>
        <w:t>Pomoc techniczna EFS+</w:t>
      </w:r>
      <w:r w:rsidR="007C017C" w:rsidRPr="00660368">
        <w:rPr>
          <w:rFonts w:cstheme="minorHAnsi"/>
          <w:sz w:val="24"/>
        </w:rPr>
        <w:t xml:space="preserve"> </w:t>
      </w:r>
      <w:r w:rsidR="001F03F8" w:rsidRPr="00660368">
        <w:rPr>
          <w:rFonts w:cstheme="minorHAnsi"/>
          <w:sz w:val="24"/>
        </w:rPr>
        <w:t>–</w:t>
      </w:r>
      <w:r w:rsidRPr="00660368">
        <w:rPr>
          <w:rFonts w:cstheme="minorHAnsi"/>
          <w:sz w:val="24"/>
        </w:rPr>
        <w:t xml:space="preserve"> 427</w:t>
      </w:r>
      <w:r w:rsidR="000B0784" w:rsidRPr="00660368">
        <w:rPr>
          <w:rFonts w:cstheme="minorHAnsi"/>
          <w:sz w:val="24"/>
        </w:rPr>
        <w:t> </w:t>
      </w:r>
      <w:r w:rsidRPr="00660368">
        <w:rPr>
          <w:rFonts w:cstheme="minorHAnsi"/>
          <w:sz w:val="24"/>
        </w:rPr>
        <w:t>714</w:t>
      </w:r>
      <w:r w:rsidR="000B0784" w:rsidRPr="00660368">
        <w:rPr>
          <w:rFonts w:cstheme="minorHAnsi"/>
          <w:sz w:val="24"/>
        </w:rPr>
        <w:t xml:space="preserve"> EUR</w:t>
      </w:r>
      <w:r w:rsidR="001F03F8" w:rsidRPr="00660368">
        <w:rPr>
          <w:rFonts w:cstheme="minorHAnsi"/>
          <w:sz w:val="24"/>
        </w:rPr>
        <w:t>.</w:t>
      </w:r>
    </w:p>
    <w:p w:rsidR="003139A4" w:rsidRPr="00660368" w:rsidRDefault="00E7725E" w:rsidP="00660368">
      <w:pPr>
        <w:spacing w:after="120"/>
        <w:jc w:val="left"/>
        <w:rPr>
          <w:rFonts w:eastAsia="Calibri" w:cs="Times New Roman"/>
          <w:bCs/>
          <w:sz w:val="24"/>
        </w:rPr>
      </w:pPr>
      <w:r w:rsidRPr="00660368">
        <w:rPr>
          <w:sz w:val="24"/>
        </w:rPr>
        <w:t>W ramach p</w:t>
      </w:r>
      <w:r w:rsidR="00B81BEC" w:rsidRPr="00660368">
        <w:rPr>
          <w:sz w:val="24"/>
        </w:rPr>
        <w:t xml:space="preserve">rogramu </w:t>
      </w:r>
      <w:proofErr w:type="spellStart"/>
      <w:r w:rsidR="00571FC6" w:rsidRPr="00660368">
        <w:rPr>
          <w:sz w:val="24"/>
        </w:rPr>
        <w:t>FEnIKS</w:t>
      </w:r>
      <w:proofErr w:type="spellEnd"/>
      <w:r w:rsidR="00571FC6" w:rsidRPr="00660368">
        <w:rPr>
          <w:sz w:val="24"/>
        </w:rPr>
        <w:t xml:space="preserve"> 2021-2027</w:t>
      </w:r>
      <w:r w:rsidR="00FD2CA3" w:rsidRPr="00660368">
        <w:rPr>
          <w:sz w:val="24"/>
        </w:rPr>
        <w:t xml:space="preserve"> wskazano, że </w:t>
      </w:r>
      <w:r w:rsidR="003139A4" w:rsidRPr="00660368">
        <w:rPr>
          <w:sz w:val="24"/>
        </w:rPr>
        <w:t xml:space="preserve">dedykowana </w:t>
      </w:r>
      <w:r w:rsidR="00FD2CA3" w:rsidRPr="00660368">
        <w:rPr>
          <w:sz w:val="24"/>
        </w:rPr>
        <w:t xml:space="preserve">alokacja jest </w:t>
      </w:r>
      <w:r w:rsidR="00C41F2E" w:rsidRPr="00660368">
        <w:rPr>
          <w:sz w:val="24"/>
        </w:rPr>
        <w:t>przyznana</w:t>
      </w:r>
      <w:r w:rsidR="00FD2CA3" w:rsidRPr="00660368">
        <w:rPr>
          <w:sz w:val="24"/>
        </w:rPr>
        <w:t xml:space="preserve"> wyłącznie </w:t>
      </w:r>
      <w:r w:rsidR="003139A4" w:rsidRPr="00660368">
        <w:rPr>
          <w:sz w:val="24"/>
        </w:rPr>
        <w:t>w ramach CP2</w:t>
      </w:r>
      <w:r w:rsidR="00FD2CA3" w:rsidRPr="00660368">
        <w:rPr>
          <w:sz w:val="24"/>
        </w:rPr>
        <w:t xml:space="preserve">, </w:t>
      </w:r>
      <w:r w:rsidR="000B0784" w:rsidRPr="00660368">
        <w:rPr>
          <w:sz w:val="24"/>
        </w:rPr>
        <w:t xml:space="preserve">Priorytet III. </w:t>
      </w:r>
      <w:r w:rsidR="000B0784" w:rsidRPr="00660368">
        <w:rPr>
          <w:bCs/>
          <w:sz w:val="24"/>
        </w:rPr>
        <w:t>Transport miejski</w:t>
      </w:r>
      <w:r w:rsidR="000B0784" w:rsidRPr="00660368">
        <w:rPr>
          <w:sz w:val="24"/>
        </w:rPr>
        <w:t>.</w:t>
      </w:r>
      <w:r w:rsidR="000B0784" w:rsidRPr="00660368">
        <w:rPr>
          <w:rStyle w:val="Odwoanieprzypisudolnego"/>
          <w:sz w:val="24"/>
        </w:rPr>
        <w:footnoteReference w:id="121"/>
      </w:r>
    </w:p>
    <w:p w:rsidR="00204CD5" w:rsidRPr="00660368" w:rsidRDefault="00204CD5" w:rsidP="00660368">
      <w:pPr>
        <w:spacing w:after="120"/>
        <w:jc w:val="left"/>
        <w:rPr>
          <w:rFonts w:eastAsia="Calibri" w:cs="Times New Roman"/>
          <w:bCs/>
          <w:sz w:val="24"/>
        </w:rPr>
      </w:pPr>
      <w:r w:rsidRPr="00660368">
        <w:rPr>
          <w:rFonts w:eastAsia="Calibri" w:cs="Times New Roman"/>
          <w:bCs/>
          <w:sz w:val="24"/>
        </w:rPr>
        <w:t xml:space="preserve">Należy nadmienić, że </w:t>
      </w:r>
      <w:r w:rsidRPr="00660368">
        <w:rPr>
          <w:sz w:val="24"/>
        </w:rPr>
        <w:t>Dolny Śląsk jest w okresie programowania 2021-2027 klasyfikowany jako region w okresie przejściowym.  Przedkłada się to m.in. na maksymalnie 70% stopę dofinansowania projektów planowanych do realizacji w ramach Europejskiego Funduszu Rozwoju Regionalnego. Maksymalna stopa</w:t>
      </w:r>
      <w:r w:rsidR="00557E0E" w:rsidRPr="00660368">
        <w:rPr>
          <w:sz w:val="24"/>
        </w:rPr>
        <w:t xml:space="preserve"> </w:t>
      </w:r>
      <w:r w:rsidRPr="00660368">
        <w:rPr>
          <w:sz w:val="24"/>
        </w:rPr>
        <w:t>dofinansowania d</w:t>
      </w:r>
      <w:r w:rsidR="007C017C" w:rsidRPr="00660368">
        <w:rPr>
          <w:sz w:val="24"/>
        </w:rPr>
        <w:t xml:space="preserve">la Funduszu Spójności wynosi </w:t>
      </w:r>
      <w:r w:rsidRPr="00660368">
        <w:rPr>
          <w:sz w:val="24"/>
        </w:rPr>
        <w:t xml:space="preserve">85%. </w:t>
      </w:r>
    </w:p>
    <w:p w:rsidR="009A478A" w:rsidRPr="00A1431D" w:rsidRDefault="00047F34" w:rsidP="00A1431D">
      <w:pPr>
        <w:jc w:val="left"/>
        <w:rPr>
          <w:sz w:val="24"/>
        </w:rPr>
      </w:pPr>
      <w:bookmarkStart w:id="161" w:name="_Toc143673223"/>
      <w:r w:rsidRPr="00A1431D">
        <w:rPr>
          <w:color w:val="000000" w:themeColor="text1"/>
          <w:sz w:val="24"/>
        </w:rPr>
        <w:t xml:space="preserve">Szczegółowy </w:t>
      </w:r>
      <w:r w:rsidR="003139A4" w:rsidRPr="00A1431D">
        <w:rPr>
          <w:color w:val="000000" w:themeColor="text1"/>
          <w:sz w:val="24"/>
        </w:rPr>
        <w:t xml:space="preserve">plan </w:t>
      </w:r>
      <w:r w:rsidRPr="00A1431D">
        <w:rPr>
          <w:color w:val="000000" w:themeColor="text1"/>
          <w:sz w:val="24"/>
        </w:rPr>
        <w:t>podział</w:t>
      </w:r>
      <w:r w:rsidR="003139A4" w:rsidRPr="00A1431D">
        <w:rPr>
          <w:color w:val="000000" w:themeColor="text1"/>
          <w:sz w:val="24"/>
        </w:rPr>
        <w:t>u</w:t>
      </w:r>
      <w:r w:rsidRPr="00A1431D">
        <w:rPr>
          <w:color w:val="000000" w:themeColor="text1"/>
          <w:sz w:val="24"/>
        </w:rPr>
        <w:t xml:space="preserve"> wykorzystania przyznanych alokacji jest przedstawiony w</w:t>
      </w:r>
      <w:r w:rsidR="001D1207">
        <w:rPr>
          <w:color w:val="000000" w:themeColor="text1"/>
          <w:sz w:val="24"/>
        </w:rPr>
        <w:t> </w:t>
      </w:r>
      <w:r w:rsidRPr="00A1431D">
        <w:rPr>
          <w:color w:val="000000" w:themeColor="text1"/>
          <w:sz w:val="24"/>
        </w:rPr>
        <w:t xml:space="preserve">rozdziale IV.4 Plan finansowy </w:t>
      </w:r>
      <w:proofErr w:type="spellStart"/>
      <w:r w:rsidRPr="00A1431D">
        <w:rPr>
          <w:color w:val="000000" w:themeColor="text1"/>
          <w:sz w:val="24"/>
        </w:rPr>
        <w:t>ZIT.</w:t>
      </w:r>
      <w:bookmarkEnd w:id="161"/>
      <w:r w:rsidR="00045771" w:rsidRPr="00A1431D">
        <w:rPr>
          <w:sz w:val="24"/>
        </w:rPr>
        <w:t>Poniżej</w:t>
      </w:r>
      <w:proofErr w:type="spellEnd"/>
      <w:r w:rsidR="00045771" w:rsidRPr="00A1431D">
        <w:rPr>
          <w:sz w:val="24"/>
        </w:rPr>
        <w:t xml:space="preserve"> przedstawiono</w:t>
      </w:r>
      <w:r w:rsidR="00557E0E" w:rsidRPr="00A1431D">
        <w:rPr>
          <w:sz w:val="24"/>
        </w:rPr>
        <w:t xml:space="preserve"> tabelę</w:t>
      </w:r>
      <w:r w:rsidR="00FD2CA3" w:rsidRPr="00A1431D">
        <w:rPr>
          <w:sz w:val="24"/>
        </w:rPr>
        <w:t>, w której zaprezentowano</w:t>
      </w:r>
      <w:r w:rsidR="00557E0E" w:rsidRPr="00A1431D">
        <w:rPr>
          <w:sz w:val="24"/>
        </w:rPr>
        <w:t xml:space="preserve"> </w:t>
      </w:r>
      <w:r w:rsidR="00FD2CA3" w:rsidRPr="00A1431D">
        <w:rPr>
          <w:sz w:val="24"/>
        </w:rPr>
        <w:t xml:space="preserve">zidentyfikowane </w:t>
      </w:r>
      <w:r w:rsidR="00045771" w:rsidRPr="00A1431D">
        <w:rPr>
          <w:sz w:val="24"/>
        </w:rPr>
        <w:t>wiązki i projekty zintegrowane, w odniesieniu do schematu interwencji stra</w:t>
      </w:r>
      <w:r w:rsidR="00FD2CA3" w:rsidRPr="00A1431D">
        <w:rPr>
          <w:sz w:val="24"/>
        </w:rPr>
        <w:t>tegicznej niniejszego dokumentu oraz   celów</w:t>
      </w:r>
      <w:r w:rsidR="00557E0E" w:rsidRPr="00A1431D">
        <w:rPr>
          <w:sz w:val="24"/>
        </w:rPr>
        <w:t xml:space="preserve"> </w:t>
      </w:r>
      <w:r w:rsidR="00FD2CA3" w:rsidRPr="00A1431D">
        <w:rPr>
          <w:sz w:val="24"/>
        </w:rPr>
        <w:t xml:space="preserve">szczegółowych </w:t>
      </w:r>
      <w:r w:rsidR="00180095" w:rsidRPr="00A1431D">
        <w:rPr>
          <w:sz w:val="24"/>
        </w:rPr>
        <w:t>w programach FEDS</w:t>
      </w:r>
      <w:r w:rsidR="000F4B75" w:rsidRPr="00A1431D">
        <w:rPr>
          <w:sz w:val="24"/>
        </w:rPr>
        <w:t xml:space="preserve"> </w:t>
      </w:r>
      <w:r w:rsidR="00557E0E" w:rsidRPr="00A1431D">
        <w:rPr>
          <w:sz w:val="24"/>
        </w:rPr>
        <w:t>2021-2027</w:t>
      </w:r>
      <w:r w:rsidR="00180095" w:rsidRPr="00A1431D">
        <w:rPr>
          <w:sz w:val="24"/>
        </w:rPr>
        <w:t xml:space="preserve"> i </w:t>
      </w:r>
      <w:proofErr w:type="spellStart"/>
      <w:r w:rsidR="00571FC6" w:rsidRPr="00A1431D">
        <w:rPr>
          <w:sz w:val="24"/>
        </w:rPr>
        <w:t>FEnIKS</w:t>
      </w:r>
      <w:proofErr w:type="spellEnd"/>
      <w:r w:rsidR="00571FC6" w:rsidRPr="00A1431D">
        <w:rPr>
          <w:sz w:val="24"/>
        </w:rPr>
        <w:t xml:space="preserve"> 2021-2027</w:t>
      </w:r>
      <w:r w:rsidR="00180095" w:rsidRPr="00A1431D">
        <w:rPr>
          <w:sz w:val="24"/>
        </w:rPr>
        <w:t xml:space="preserve">. </w:t>
      </w:r>
    </w:p>
    <w:p w:rsidR="00B8051D" w:rsidRPr="004A6714" w:rsidRDefault="00B8051D" w:rsidP="004A6714">
      <w:pPr>
        <w:sectPr w:rsidR="00B8051D" w:rsidRPr="004A6714" w:rsidSect="00B61BA4">
          <w:footerReference w:type="even" r:id="rId73"/>
          <w:footerReference w:type="default" r:id="rId74"/>
          <w:footerReference w:type="first" r:id="rId75"/>
          <w:pgSz w:w="11906" w:h="16838"/>
          <w:pgMar w:top="1417" w:right="1417" w:bottom="1417" w:left="1417" w:header="708" w:footer="708" w:gutter="0"/>
          <w:cols w:space="708"/>
          <w:docGrid w:linePitch="360"/>
        </w:sectPr>
      </w:pPr>
    </w:p>
    <w:tbl>
      <w:tblPr>
        <w:tblStyle w:val="Tabela-Siatka1"/>
        <w:tblW w:w="211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Strategia ZIT WrOF 2021-2027  a FEDS 2021-2027"/>
        <w:tblDescription w:val="Strategia ZIT WrOF 2021-2027  a FEDS 2021-2027"/>
      </w:tblPr>
      <w:tblGrid>
        <w:gridCol w:w="13291"/>
        <w:gridCol w:w="7903"/>
      </w:tblGrid>
      <w:tr w:rsidR="00660368" w:rsidRPr="00A63BD9" w:rsidTr="00660368">
        <w:trPr>
          <w:trHeight w:val="680"/>
          <w:tblHeader/>
        </w:trPr>
        <w:tc>
          <w:tcPr>
            <w:tcW w:w="13291" w:type="dxa"/>
            <w:shd w:val="clear" w:color="auto" w:fill="B1D4E9"/>
            <w:vAlign w:val="center"/>
          </w:tcPr>
          <w:p w:rsidR="00660368" w:rsidRPr="00A63BD9" w:rsidRDefault="00660368" w:rsidP="00D33978">
            <w:pPr>
              <w:spacing w:line="240" w:lineRule="auto"/>
              <w:jc w:val="center"/>
              <w:rPr>
                <w:rFonts w:ascii="Calibri" w:eastAsia="Calibri" w:hAnsi="Calibri" w:cs="Calibri"/>
                <w:b/>
                <w:bCs/>
                <w:color w:val="276E8B"/>
                <w:sz w:val="32"/>
                <w:szCs w:val="32"/>
              </w:rPr>
            </w:pPr>
            <w:r w:rsidRPr="00A63BD9">
              <w:rPr>
                <w:rFonts w:ascii="Calibri" w:eastAsia="Calibri" w:hAnsi="Calibri" w:cs="Calibri"/>
                <w:b/>
                <w:bCs/>
                <w:color w:val="276E8B"/>
                <w:sz w:val="32"/>
                <w:szCs w:val="32"/>
              </w:rPr>
              <w:t xml:space="preserve">Strategia ZIT WrOF 2021-2027 </w:t>
            </w:r>
          </w:p>
        </w:tc>
        <w:tc>
          <w:tcPr>
            <w:tcW w:w="7903" w:type="dxa"/>
            <w:shd w:val="clear" w:color="auto" w:fill="D9D9D9"/>
            <w:vAlign w:val="center"/>
          </w:tcPr>
          <w:p w:rsidR="00660368" w:rsidRPr="00A63BD9" w:rsidRDefault="00660368" w:rsidP="00D33978">
            <w:pPr>
              <w:spacing w:line="240" w:lineRule="auto"/>
              <w:jc w:val="center"/>
              <w:rPr>
                <w:rFonts w:ascii="Calibri" w:eastAsia="Calibri" w:hAnsi="Calibri" w:cs="Calibri"/>
                <w:b/>
                <w:bCs/>
                <w:color w:val="276E8B"/>
                <w:sz w:val="32"/>
                <w:szCs w:val="32"/>
              </w:rPr>
            </w:pPr>
            <w:r w:rsidRPr="00A63BD9">
              <w:rPr>
                <w:rFonts w:ascii="Calibri" w:eastAsia="Calibri" w:hAnsi="Calibri" w:cs="Calibri"/>
                <w:b/>
                <w:bCs/>
                <w:color w:val="276E8B"/>
                <w:sz w:val="32"/>
                <w:szCs w:val="32"/>
              </w:rPr>
              <w:t>FEDS 2021-2027</w:t>
            </w:r>
          </w:p>
        </w:tc>
      </w:tr>
    </w:tbl>
    <w:p w:rsidR="00660368" w:rsidRPr="00EE5B09" w:rsidRDefault="00660368">
      <w:pPr>
        <w:rPr>
          <w:sz w:val="6"/>
        </w:rPr>
      </w:pPr>
    </w:p>
    <w:tbl>
      <w:tblPr>
        <w:tblStyle w:val="Tabela-Siatka1"/>
        <w:tblW w:w="211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Strategia ZIT WrOF 2021-2027  a FEDS 2021-2027"/>
        <w:tblDescription w:val="Poszczególne wiązki projekty zintegrowane i komplementarne, w odniesieniu do schematu interwencji strategicznej niniejszego dokumentu. Wskazano cele oraz kierunki działania wraz z przyporządkowaniem do nich projektów zintegrowanych"/>
      </w:tblPr>
      <w:tblGrid>
        <w:gridCol w:w="1761"/>
        <w:gridCol w:w="2088"/>
        <w:gridCol w:w="3699"/>
        <w:gridCol w:w="4308"/>
        <w:gridCol w:w="1435"/>
        <w:gridCol w:w="7903"/>
      </w:tblGrid>
      <w:tr w:rsidR="002E3461" w:rsidRPr="00A63BD9" w:rsidTr="00EE5B09">
        <w:trPr>
          <w:trHeight w:val="680"/>
          <w:tblHeader/>
        </w:trPr>
        <w:tc>
          <w:tcPr>
            <w:tcW w:w="1761" w:type="dxa"/>
            <w:shd w:val="clear" w:color="auto" w:fill="E8F2F8"/>
            <w:vAlign w:val="center"/>
          </w:tcPr>
          <w:p w:rsidR="002E3461" w:rsidRPr="00A63BD9" w:rsidRDefault="002E3461" w:rsidP="00D33978">
            <w:pPr>
              <w:spacing w:line="240" w:lineRule="auto"/>
              <w:jc w:val="center"/>
              <w:rPr>
                <w:rFonts w:ascii="Calibri" w:eastAsia="Calibri" w:hAnsi="Calibri" w:cs="Times New Roman"/>
                <w:b/>
                <w:bCs/>
                <w:sz w:val="20"/>
                <w:szCs w:val="20"/>
              </w:rPr>
            </w:pPr>
            <w:r w:rsidRPr="00A63BD9">
              <w:rPr>
                <w:rFonts w:ascii="Calibri" w:eastAsia="Calibri" w:hAnsi="Calibri" w:cs="Times New Roman"/>
                <w:b/>
                <w:bCs/>
                <w:sz w:val="20"/>
                <w:szCs w:val="20"/>
              </w:rPr>
              <w:t>Cel strategiczny</w:t>
            </w:r>
          </w:p>
        </w:tc>
        <w:tc>
          <w:tcPr>
            <w:tcW w:w="2088" w:type="dxa"/>
            <w:shd w:val="clear" w:color="auto" w:fill="E8F2F8"/>
            <w:vAlign w:val="center"/>
          </w:tcPr>
          <w:p w:rsidR="002E3461" w:rsidRPr="00A63BD9" w:rsidRDefault="002E3461" w:rsidP="00D33978">
            <w:pPr>
              <w:spacing w:line="240" w:lineRule="auto"/>
              <w:jc w:val="center"/>
              <w:rPr>
                <w:rFonts w:ascii="Calibri" w:eastAsia="Calibri" w:hAnsi="Calibri" w:cs="Times New Roman"/>
                <w:b/>
                <w:bCs/>
                <w:sz w:val="20"/>
                <w:szCs w:val="20"/>
              </w:rPr>
            </w:pPr>
            <w:r w:rsidRPr="00A63BD9">
              <w:rPr>
                <w:rFonts w:ascii="Calibri" w:eastAsia="Calibri" w:hAnsi="Calibri" w:cs="Times New Roman"/>
                <w:b/>
                <w:bCs/>
                <w:sz w:val="20"/>
                <w:szCs w:val="20"/>
              </w:rPr>
              <w:t xml:space="preserve">Priorytet </w:t>
            </w:r>
          </w:p>
        </w:tc>
        <w:tc>
          <w:tcPr>
            <w:tcW w:w="3699" w:type="dxa"/>
            <w:shd w:val="clear" w:color="auto" w:fill="E8F2F8"/>
            <w:vAlign w:val="center"/>
          </w:tcPr>
          <w:p w:rsidR="002E3461" w:rsidRPr="00A63BD9" w:rsidRDefault="002E3461" w:rsidP="00D33978">
            <w:pPr>
              <w:spacing w:line="240" w:lineRule="auto"/>
              <w:jc w:val="center"/>
              <w:rPr>
                <w:rFonts w:ascii="Calibri" w:eastAsia="Calibri" w:hAnsi="Calibri" w:cs="Times New Roman"/>
                <w:b/>
                <w:bCs/>
                <w:sz w:val="20"/>
                <w:szCs w:val="20"/>
              </w:rPr>
            </w:pPr>
            <w:r w:rsidRPr="00A63BD9">
              <w:rPr>
                <w:rFonts w:ascii="Calibri" w:eastAsia="Calibri" w:hAnsi="Calibri" w:cs="Times New Roman"/>
                <w:b/>
                <w:bCs/>
                <w:sz w:val="20"/>
                <w:szCs w:val="20"/>
              </w:rPr>
              <w:t>Kierunek działania</w:t>
            </w:r>
          </w:p>
        </w:tc>
        <w:tc>
          <w:tcPr>
            <w:tcW w:w="4308" w:type="dxa"/>
            <w:shd w:val="clear" w:color="auto" w:fill="E8F2F8"/>
            <w:vAlign w:val="center"/>
          </w:tcPr>
          <w:p w:rsidR="002E3461" w:rsidRPr="00A63BD9" w:rsidRDefault="002E3461" w:rsidP="00D33978">
            <w:pPr>
              <w:spacing w:line="240" w:lineRule="auto"/>
              <w:jc w:val="center"/>
              <w:rPr>
                <w:rFonts w:ascii="Calibri" w:eastAsia="Calibri" w:hAnsi="Calibri" w:cs="Arial"/>
                <w:b/>
                <w:bCs/>
                <w:sz w:val="20"/>
                <w:szCs w:val="20"/>
              </w:rPr>
            </w:pPr>
            <w:r w:rsidRPr="00A63BD9">
              <w:rPr>
                <w:rFonts w:ascii="Calibri" w:eastAsia="Calibri" w:hAnsi="Calibri" w:cs="Times New Roman"/>
                <w:b/>
                <w:bCs/>
                <w:sz w:val="20"/>
                <w:szCs w:val="20"/>
              </w:rPr>
              <w:t>Wiązka projektów/projekt zintegrowany</w:t>
            </w:r>
          </w:p>
        </w:tc>
        <w:tc>
          <w:tcPr>
            <w:tcW w:w="1435" w:type="dxa"/>
            <w:shd w:val="clear" w:color="auto" w:fill="E8F2F8"/>
            <w:vAlign w:val="center"/>
          </w:tcPr>
          <w:p w:rsidR="002E3461" w:rsidRPr="00A63BD9" w:rsidRDefault="00405DA1" w:rsidP="00D33978">
            <w:pPr>
              <w:spacing w:line="240" w:lineRule="auto"/>
              <w:jc w:val="center"/>
              <w:rPr>
                <w:rFonts w:ascii="Calibri" w:eastAsia="Calibri" w:hAnsi="Calibri" w:cs="Arial"/>
                <w:b/>
                <w:bCs/>
                <w:sz w:val="20"/>
                <w:szCs w:val="20"/>
              </w:rPr>
            </w:pPr>
            <w:r w:rsidRPr="00A63BD9">
              <w:rPr>
                <w:rFonts w:ascii="Calibri" w:eastAsia="Calibri" w:hAnsi="Calibri" w:cs="Times New Roman"/>
                <w:noProof/>
                <w:sz w:val="20"/>
                <w:szCs w:val="20"/>
                <w:lang w:eastAsia="pl-PL"/>
              </w:rPr>
              <w:drawing>
                <wp:inline distT="0" distB="0" distL="0" distR="0" wp14:anchorId="3285C716" wp14:editId="51335615">
                  <wp:extent cx="360000" cy="360000"/>
                  <wp:effectExtent l="0" t="0" r="2540" b="0"/>
                  <wp:docPr id="77" name="Obraz 48"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2E3461" w:rsidRPr="00A63BD9" w:rsidRDefault="002E3461" w:rsidP="00D33978">
            <w:pPr>
              <w:spacing w:line="240" w:lineRule="auto"/>
              <w:jc w:val="center"/>
              <w:rPr>
                <w:rFonts w:ascii="Calibri" w:eastAsia="Calibri" w:hAnsi="Calibri" w:cs="Times New Roman"/>
                <w:b/>
                <w:bCs/>
                <w:sz w:val="20"/>
                <w:szCs w:val="20"/>
                <w:highlight w:val="green"/>
              </w:rPr>
            </w:pPr>
            <w:r w:rsidRPr="00A63BD9">
              <w:rPr>
                <w:rFonts w:ascii="Calibri" w:eastAsia="Calibri" w:hAnsi="Calibri" w:cs="Arial"/>
                <w:b/>
                <w:bCs/>
                <w:sz w:val="20"/>
                <w:szCs w:val="20"/>
              </w:rPr>
              <w:t>Cel szczegółowy</w:t>
            </w:r>
          </w:p>
        </w:tc>
      </w:tr>
      <w:tr w:rsidR="002E3461" w:rsidRPr="00A63BD9" w:rsidTr="00660368">
        <w:trPr>
          <w:trHeight w:val="1134"/>
        </w:trPr>
        <w:tc>
          <w:tcPr>
            <w:tcW w:w="1761" w:type="dxa"/>
            <w:vAlign w:val="center"/>
          </w:tcPr>
          <w:p w:rsidR="007D07F9" w:rsidRPr="00A0225B" w:rsidRDefault="002E3461" w:rsidP="00D33978">
            <w:pPr>
              <w:spacing w:line="240" w:lineRule="auto"/>
              <w:jc w:val="center"/>
              <w:rPr>
                <w:rFonts w:eastAsia="Calibri" w:cstheme="minorHAnsi"/>
                <w:bCs/>
                <w:color w:val="000000" w:themeColor="text1"/>
                <w:sz w:val="18"/>
                <w:szCs w:val="18"/>
              </w:rPr>
            </w:pPr>
            <w:r w:rsidRPr="00A0225B">
              <w:rPr>
                <w:rFonts w:eastAsia="Calibri" w:cstheme="minorHAnsi"/>
                <w:color w:val="000000" w:themeColor="text1"/>
                <w:sz w:val="18"/>
                <w:szCs w:val="18"/>
              </w:rPr>
              <w:t>1. Poprawa jakości życia na terenie WrOF</w:t>
            </w:r>
          </w:p>
        </w:tc>
        <w:tc>
          <w:tcPr>
            <w:tcW w:w="2088" w:type="dxa"/>
            <w:vAlign w:val="center"/>
          </w:tcPr>
          <w:p w:rsidR="007D07F9" w:rsidRPr="00A0225B" w:rsidRDefault="00FF2290" w:rsidP="00D33978">
            <w:pPr>
              <w:spacing w:line="240" w:lineRule="auto"/>
              <w:jc w:val="center"/>
              <w:rPr>
                <w:rFonts w:eastAsia="Calibri" w:cstheme="minorHAnsi"/>
                <w:color w:val="000000" w:themeColor="text1"/>
                <w:sz w:val="18"/>
                <w:szCs w:val="18"/>
              </w:rPr>
            </w:pPr>
            <w:r w:rsidRPr="00A0225B">
              <w:rPr>
                <w:rFonts w:eastAsia="Calibri" w:cstheme="minorHAnsi"/>
                <w:color w:val="000000" w:themeColor="text1"/>
                <w:sz w:val="18"/>
                <w:szCs w:val="18"/>
              </w:rPr>
              <w:t>2. Zdrowie</w:t>
            </w:r>
          </w:p>
        </w:tc>
        <w:tc>
          <w:tcPr>
            <w:tcW w:w="3699" w:type="dxa"/>
            <w:vAlign w:val="center"/>
          </w:tcPr>
          <w:p w:rsidR="007D07F9" w:rsidRPr="00A0225B" w:rsidRDefault="00FF2290" w:rsidP="00D33978">
            <w:pPr>
              <w:spacing w:line="240" w:lineRule="auto"/>
              <w:jc w:val="center"/>
              <w:rPr>
                <w:rFonts w:eastAsia="Calibri" w:cstheme="minorHAnsi"/>
                <w:bCs/>
                <w:color w:val="000000" w:themeColor="text1"/>
                <w:sz w:val="18"/>
                <w:szCs w:val="18"/>
              </w:rPr>
            </w:pPr>
            <w:r w:rsidRPr="00A0225B">
              <w:rPr>
                <w:rFonts w:eastAsia="Calibri" w:cstheme="minorHAnsi"/>
                <w:bCs/>
                <w:color w:val="000000" w:themeColor="text1"/>
                <w:sz w:val="18"/>
                <w:szCs w:val="18"/>
              </w:rPr>
              <w:t xml:space="preserve">2.2 </w:t>
            </w:r>
            <w:r w:rsidRPr="00A0225B">
              <w:rPr>
                <w:rFonts w:eastAsia="Calibri" w:cstheme="minorHAnsi"/>
                <w:color w:val="000000" w:themeColor="text1"/>
                <w:sz w:val="18"/>
                <w:szCs w:val="18"/>
              </w:rPr>
              <w:t xml:space="preserve">Wspieranie poprawy jakości </w:t>
            </w:r>
            <w:r w:rsidR="00DB6E8E" w:rsidRPr="00A0225B">
              <w:rPr>
                <w:rFonts w:eastAsia="Calibri" w:cstheme="minorHAnsi"/>
                <w:color w:val="000000" w:themeColor="text1"/>
                <w:sz w:val="18"/>
                <w:szCs w:val="18"/>
              </w:rPr>
              <w:br/>
            </w:r>
            <w:r w:rsidRPr="00A0225B">
              <w:rPr>
                <w:rFonts w:eastAsia="Calibri" w:cstheme="minorHAnsi"/>
                <w:color w:val="000000" w:themeColor="text1"/>
                <w:sz w:val="18"/>
                <w:szCs w:val="18"/>
              </w:rPr>
              <w:t>i dostępności usług społecznych,</w:t>
            </w:r>
            <w:r w:rsidR="00DB6E8E" w:rsidRPr="00A0225B">
              <w:rPr>
                <w:rFonts w:eastAsia="Calibri" w:cstheme="minorHAnsi"/>
                <w:color w:val="000000" w:themeColor="text1"/>
                <w:sz w:val="18"/>
                <w:szCs w:val="18"/>
              </w:rPr>
              <w:br/>
            </w:r>
            <w:r w:rsidRPr="00A0225B">
              <w:rPr>
                <w:rFonts w:eastAsia="Calibri" w:cstheme="minorHAnsi"/>
                <w:color w:val="000000" w:themeColor="text1"/>
                <w:sz w:val="18"/>
                <w:szCs w:val="18"/>
              </w:rPr>
              <w:t xml:space="preserve"> w tym osób ze szczególnymi potrzebami oraz ograniczenie zjawiska wykluczenia społecznego</w:t>
            </w:r>
          </w:p>
        </w:tc>
        <w:tc>
          <w:tcPr>
            <w:tcW w:w="4308" w:type="dxa"/>
            <w:vAlign w:val="center"/>
          </w:tcPr>
          <w:p w:rsidR="007D07F9" w:rsidRPr="00A0225B" w:rsidRDefault="00FF2290" w:rsidP="00A1431D">
            <w:pPr>
              <w:spacing w:line="240" w:lineRule="auto"/>
              <w:jc w:val="center"/>
              <w:rPr>
                <w:color w:val="000000" w:themeColor="text1"/>
                <w:sz w:val="18"/>
                <w:szCs w:val="18"/>
              </w:rPr>
            </w:pPr>
            <w:r w:rsidRPr="00A0225B">
              <w:rPr>
                <w:rFonts w:eastAsia="Calibri" w:cstheme="minorHAnsi"/>
                <w:bCs/>
                <w:color w:val="000000" w:themeColor="text1"/>
                <w:sz w:val="18"/>
                <w:szCs w:val="18"/>
              </w:rPr>
              <w:t>Wiązka projektów 1: Rozwój usług społecznych</w:t>
            </w:r>
            <w:r w:rsidR="00A1431D">
              <w:rPr>
                <w:rFonts w:eastAsia="Calibri" w:cstheme="minorHAnsi"/>
                <w:bCs/>
                <w:color w:val="000000" w:themeColor="text1"/>
                <w:sz w:val="18"/>
                <w:szCs w:val="18"/>
              </w:rPr>
              <w:t xml:space="preserve"> </w:t>
            </w:r>
            <w:r w:rsidRPr="00A0225B">
              <w:rPr>
                <w:rFonts w:eastAsia="Calibri" w:cstheme="minorHAnsi"/>
                <w:bCs/>
                <w:color w:val="000000" w:themeColor="text1"/>
                <w:sz w:val="18"/>
                <w:szCs w:val="18"/>
              </w:rPr>
              <w:t>na terenie Wrocławskiego Obszaru Funkcjonalnego</w:t>
            </w:r>
          </w:p>
        </w:tc>
        <w:tc>
          <w:tcPr>
            <w:tcW w:w="1435" w:type="dxa"/>
            <w:shd w:val="clear" w:color="auto" w:fill="FFFFFF"/>
            <w:vAlign w:val="center"/>
          </w:tcPr>
          <w:p w:rsidR="007D07F9" w:rsidRPr="00A0225B" w:rsidRDefault="00405DA1" w:rsidP="00D33978">
            <w:pPr>
              <w:spacing w:line="240" w:lineRule="auto"/>
              <w:jc w:val="center"/>
              <w:rPr>
                <w:rFonts w:ascii="Calibri" w:eastAsia="Calibri" w:hAnsi="Calibri" w:cs="Times New Roman"/>
                <w:bCs/>
                <w:sz w:val="20"/>
                <w:szCs w:val="20"/>
              </w:rPr>
            </w:pPr>
            <w:r w:rsidRPr="00A0225B">
              <w:rPr>
                <w:rFonts w:ascii="Calibri" w:eastAsia="Calibri" w:hAnsi="Calibri" w:cs="Times New Roman"/>
                <w:noProof/>
                <w:sz w:val="20"/>
                <w:szCs w:val="20"/>
                <w:lang w:eastAsia="pl-PL"/>
              </w:rPr>
              <w:drawing>
                <wp:inline distT="0" distB="0" distL="0" distR="0" wp14:anchorId="397A3B39" wp14:editId="213EBA26">
                  <wp:extent cx="360000" cy="360000"/>
                  <wp:effectExtent l="0" t="0" r="2540" b="0"/>
                  <wp:docPr id="79" name="Obraz 56"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0225B" w:rsidRDefault="002E3461" w:rsidP="00D33978">
            <w:pPr>
              <w:spacing w:line="240" w:lineRule="auto"/>
              <w:jc w:val="center"/>
              <w:rPr>
                <w:sz w:val="18"/>
                <w:szCs w:val="18"/>
              </w:rPr>
            </w:pPr>
            <w:r w:rsidRPr="00A0225B">
              <w:rPr>
                <w:rFonts w:eastAsia="Calibri" w:cstheme="minorHAnsi"/>
                <w:bCs/>
                <w:sz w:val="18"/>
                <w:szCs w:val="18"/>
              </w:rPr>
              <w:t>ESO4.11. Zwiększanie równego i szybkiego dostępu do dobrej jakości, trwałych i przystępnych cenowo usług, w</w:t>
            </w:r>
            <w:r w:rsidR="00FF2290" w:rsidRPr="00A0225B">
              <w:rPr>
                <w:rFonts w:eastAsia="Calibri" w:cstheme="minorHAnsi"/>
                <w:bCs/>
                <w:sz w:val="18"/>
                <w:szCs w:val="18"/>
              </w:rPr>
              <w:t xml:space="preserve">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t>
            </w:r>
            <w:r w:rsidR="00A63BD9" w:rsidRPr="00A0225B">
              <w:rPr>
                <w:rFonts w:eastAsia="Calibri" w:cstheme="minorHAnsi"/>
                <w:bCs/>
                <w:sz w:val="18"/>
                <w:szCs w:val="18"/>
              </w:rPr>
              <w:br/>
            </w:r>
            <w:r w:rsidR="00FF2290" w:rsidRPr="00A0225B">
              <w:rPr>
                <w:rFonts w:eastAsia="Calibri" w:cstheme="minorHAnsi"/>
                <w:bCs/>
                <w:sz w:val="18"/>
                <w:szCs w:val="18"/>
              </w:rPr>
              <w:t>w tym dla osób z niepełnosprawnościami, skuteczności i odporności systemów ochrony zdrowia i usług opieki długoterminowej</w:t>
            </w:r>
          </w:p>
        </w:tc>
      </w:tr>
      <w:tr w:rsidR="002E3461" w:rsidRPr="00A63BD9" w:rsidTr="00660368">
        <w:trPr>
          <w:trHeight w:val="1134"/>
        </w:trPr>
        <w:tc>
          <w:tcPr>
            <w:tcW w:w="1761" w:type="dxa"/>
            <w:vAlign w:val="center"/>
          </w:tcPr>
          <w:p w:rsidR="007D07F9" w:rsidRPr="00A0225B" w:rsidRDefault="00660368" w:rsidP="00D33978">
            <w:pPr>
              <w:spacing w:line="240" w:lineRule="auto"/>
              <w:jc w:val="center"/>
              <w:rPr>
                <w:rFonts w:eastAsia="Calibri" w:cstheme="minorHAnsi"/>
                <w:bCs/>
                <w:sz w:val="18"/>
                <w:szCs w:val="18"/>
              </w:rPr>
            </w:pPr>
            <w:r w:rsidRPr="00A0225B">
              <w:rPr>
                <w:rFonts w:eastAsia="Calibri" w:cstheme="minorHAnsi"/>
                <w:color w:val="000000" w:themeColor="text1"/>
                <w:sz w:val="18"/>
                <w:szCs w:val="18"/>
              </w:rPr>
              <w:t>1. Poprawa jakości życia na terenie WrOF</w:t>
            </w:r>
          </w:p>
        </w:tc>
        <w:tc>
          <w:tcPr>
            <w:tcW w:w="2088" w:type="dxa"/>
            <w:vAlign w:val="center"/>
          </w:tcPr>
          <w:p w:rsidR="007D07F9" w:rsidRPr="00A0225B" w:rsidRDefault="00FF2290" w:rsidP="00D33978">
            <w:pPr>
              <w:spacing w:line="240" w:lineRule="auto"/>
              <w:jc w:val="center"/>
              <w:rPr>
                <w:rFonts w:eastAsia="Calibri" w:cstheme="minorHAnsi"/>
                <w:color w:val="000000" w:themeColor="text1"/>
                <w:sz w:val="18"/>
                <w:szCs w:val="18"/>
              </w:rPr>
            </w:pPr>
            <w:r w:rsidRPr="00A0225B">
              <w:rPr>
                <w:rFonts w:eastAsia="Calibri" w:cstheme="minorHAnsi"/>
                <w:color w:val="000000" w:themeColor="text1"/>
                <w:sz w:val="18"/>
                <w:szCs w:val="18"/>
              </w:rPr>
              <w:t>3. Edukacja</w:t>
            </w:r>
          </w:p>
        </w:tc>
        <w:tc>
          <w:tcPr>
            <w:tcW w:w="3699" w:type="dxa"/>
            <w:vAlign w:val="center"/>
          </w:tcPr>
          <w:p w:rsidR="007D07F9" w:rsidRPr="00A0225B" w:rsidRDefault="00FF2290" w:rsidP="00D33978">
            <w:pPr>
              <w:spacing w:line="240" w:lineRule="auto"/>
              <w:jc w:val="center"/>
              <w:rPr>
                <w:rFonts w:eastAsia="Calibri" w:cstheme="minorHAnsi"/>
                <w:bCs/>
                <w:color w:val="000000" w:themeColor="text1"/>
                <w:sz w:val="18"/>
                <w:szCs w:val="18"/>
              </w:rPr>
            </w:pPr>
            <w:r w:rsidRPr="00A0225B">
              <w:rPr>
                <w:rFonts w:eastAsia="Calibri" w:cstheme="minorHAnsi"/>
                <w:bCs/>
                <w:color w:val="000000" w:themeColor="text1"/>
                <w:sz w:val="18"/>
                <w:szCs w:val="18"/>
              </w:rPr>
              <w:t>3.1</w:t>
            </w:r>
            <w:r w:rsidRPr="00A0225B">
              <w:rPr>
                <w:rFonts w:eastAsia="Calibri" w:cstheme="minorHAnsi"/>
                <w:color w:val="000000" w:themeColor="text1"/>
                <w:sz w:val="18"/>
                <w:szCs w:val="18"/>
              </w:rPr>
              <w:t xml:space="preserve"> Wspieranie równego dostępu </w:t>
            </w:r>
            <w:r w:rsidR="00DB6E8E" w:rsidRPr="00A0225B">
              <w:rPr>
                <w:rFonts w:eastAsia="Calibri" w:cstheme="minorHAnsi"/>
                <w:color w:val="000000" w:themeColor="text1"/>
                <w:sz w:val="18"/>
                <w:szCs w:val="18"/>
              </w:rPr>
              <w:br/>
            </w:r>
            <w:r w:rsidRPr="00A0225B">
              <w:rPr>
                <w:rFonts w:eastAsia="Calibri" w:cstheme="minorHAnsi"/>
                <w:color w:val="000000" w:themeColor="text1"/>
                <w:sz w:val="18"/>
                <w:szCs w:val="18"/>
              </w:rPr>
              <w:t>do wysokiej jakości kształcenia i szkolenia</w:t>
            </w:r>
          </w:p>
        </w:tc>
        <w:tc>
          <w:tcPr>
            <w:tcW w:w="4308" w:type="dxa"/>
            <w:vAlign w:val="center"/>
          </w:tcPr>
          <w:p w:rsidR="007D07F9" w:rsidRPr="00A0225B" w:rsidRDefault="00FF2290" w:rsidP="00A1431D">
            <w:pPr>
              <w:spacing w:line="240" w:lineRule="auto"/>
              <w:jc w:val="center"/>
              <w:rPr>
                <w:rFonts w:eastAsia="Calibri" w:cstheme="minorHAnsi"/>
                <w:bCs/>
                <w:color w:val="000000" w:themeColor="text1"/>
                <w:sz w:val="18"/>
                <w:szCs w:val="18"/>
              </w:rPr>
            </w:pPr>
            <w:r w:rsidRPr="00A0225B">
              <w:rPr>
                <w:rFonts w:eastAsia="Calibri" w:cstheme="minorHAnsi"/>
                <w:bCs/>
                <w:color w:val="000000" w:themeColor="text1"/>
                <w:sz w:val="18"/>
                <w:szCs w:val="18"/>
              </w:rPr>
              <w:t>Wiązka projektów 2: Upowszechnienie dostępu do edukacji przedszkolnej oraz wsparcie kształcenia zawodowego na terenie Wrocławskiego Obszaru Funkcjonalnego</w:t>
            </w:r>
          </w:p>
        </w:tc>
        <w:tc>
          <w:tcPr>
            <w:tcW w:w="1435" w:type="dxa"/>
            <w:shd w:val="clear" w:color="auto" w:fill="FFFFFF"/>
            <w:vAlign w:val="center"/>
          </w:tcPr>
          <w:p w:rsidR="007D07F9" w:rsidRPr="00A0225B" w:rsidRDefault="00405DA1" w:rsidP="00D33978">
            <w:pPr>
              <w:spacing w:line="240" w:lineRule="auto"/>
              <w:jc w:val="center"/>
              <w:rPr>
                <w:rFonts w:ascii="Calibri" w:eastAsia="Calibri" w:hAnsi="Calibri" w:cs="Times New Roman"/>
                <w:bCs/>
                <w:sz w:val="20"/>
                <w:szCs w:val="20"/>
              </w:rPr>
            </w:pPr>
            <w:r w:rsidRPr="00A0225B">
              <w:rPr>
                <w:rFonts w:ascii="Calibri" w:eastAsia="Calibri" w:hAnsi="Calibri" w:cs="Times New Roman"/>
                <w:noProof/>
                <w:sz w:val="20"/>
                <w:szCs w:val="20"/>
                <w:lang w:eastAsia="pl-PL"/>
              </w:rPr>
              <w:drawing>
                <wp:inline distT="0" distB="0" distL="0" distR="0" wp14:anchorId="7E77FF5F" wp14:editId="5C8CC8DC">
                  <wp:extent cx="360000" cy="360000"/>
                  <wp:effectExtent l="0" t="0" r="2540" b="0"/>
                  <wp:docPr id="80" name="Obraz 57"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0225B" w:rsidRDefault="002E3461" w:rsidP="00D33978">
            <w:pPr>
              <w:spacing w:line="240" w:lineRule="auto"/>
              <w:jc w:val="center"/>
              <w:rPr>
                <w:rFonts w:eastAsia="Calibri" w:cstheme="minorHAnsi"/>
                <w:bCs/>
                <w:sz w:val="18"/>
                <w:szCs w:val="18"/>
              </w:rPr>
            </w:pPr>
            <w:r w:rsidRPr="00A0225B">
              <w:rPr>
                <w:rFonts w:eastAsia="Calibri" w:cstheme="minorHAnsi"/>
                <w:bCs/>
                <w:sz w:val="18"/>
                <w:szCs w:val="18"/>
              </w:rPr>
              <w:t>ESO4.6. Wspieranie równego dostępu do dobrej jakości, włączającego kształcenia i szkolenia oraz możliwości ich ukończenia, w szczególności w odniesieniu do grup w niekorzystnej sytuacji, od wczesnej edukacji i opieki nad dzieckiem przez ogóln</w:t>
            </w:r>
            <w:r w:rsidR="00FF2290" w:rsidRPr="00A0225B">
              <w:rPr>
                <w:rFonts w:eastAsia="Calibri" w:cstheme="minorHAnsi"/>
                <w:bCs/>
                <w:sz w:val="18"/>
                <w:szCs w:val="18"/>
              </w:rPr>
              <w:t xml:space="preserve">e i zawodowe kształcenie  i szkolenie, po szkolnictwo wyższe, a także kształcenie i uczenie się dorosłych, w tym ułatwianie mobilności edukacyjnej dla wszystkich </w:t>
            </w:r>
            <w:r w:rsidR="009B01F5">
              <w:rPr>
                <w:rFonts w:eastAsia="Calibri" w:cstheme="minorHAnsi"/>
                <w:bCs/>
                <w:sz w:val="18"/>
                <w:szCs w:val="18"/>
              </w:rPr>
              <w:br/>
            </w:r>
            <w:r w:rsidR="00FF2290" w:rsidRPr="00A0225B">
              <w:rPr>
                <w:rFonts w:eastAsia="Calibri" w:cstheme="minorHAnsi"/>
                <w:bCs/>
                <w:sz w:val="18"/>
                <w:szCs w:val="18"/>
              </w:rPr>
              <w:t>i dostępności dla osób  z niepełnosprawnościami</w:t>
            </w:r>
          </w:p>
        </w:tc>
      </w:tr>
      <w:tr w:rsidR="002E3461" w:rsidRPr="00A63BD9" w:rsidTr="00660368">
        <w:trPr>
          <w:trHeight w:val="1134"/>
        </w:trPr>
        <w:tc>
          <w:tcPr>
            <w:tcW w:w="1761" w:type="dxa"/>
            <w:vAlign w:val="center"/>
          </w:tcPr>
          <w:p w:rsidR="007D07F9" w:rsidRPr="00A63BD9" w:rsidRDefault="002E3461" w:rsidP="006B2B91">
            <w:pPr>
              <w:spacing w:line="240" w:lineRule="auto"/>
              <w:jc w:val="center"/>
              <w:rPr>
                <w:rFonts w:eastAsia="Calibri" w:cstheme="minorHAnsi"/>
                <w:bCs/>
                <w:sz w:val="18"/>
                <w:szCs w:val="18"/>
              </w:rPr>
            </w:pPr>
            <w:r w:rsidRPr="00A63BD9">
              <w:rPr>
                <w:rFonts w:eastAsia="Calibri" w:cstheme="minorHAnsi"/>
                <w:sz w:val="18"/>
                <w:szCs w:val="18"/>
              </w:rPr>
              <w:t xml:space="preserve">3. Ochrona środowiska naturalnego </w:t>
            </w:r>
            <w:r w:rsidR="006B2B91">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FF2290"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11. Gospodarka niskoemisyjna</w:t>
            </w:r>
          </w:p>
        </w:tc>
        <w:tc>
          <w:tcPr>
            <w:tcW w:w="3699"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color w:val="000000" w:themeColor="text1"/>
                <w:sz w:val="18"/>
                <w:szCs w:val="18"/>
              </w:rPr>
              <w:t xml:space="preserve">11.1 Wspieranie efektywności energetycznej </w:t>
            </w:r>
            <w:r w:rsidR="009B01F5">
              <w:rPr>
                <w:rFonts w:eastAsia="Calibri" w:cstheme="minorHAnsi"/>
                <w:color w:val="000000" w:themeColor="text1"/>
                <w:sz w:val="18"/>
                <w:szCs w:val="18"/>
              </w:rPr>
              <w:br/>
            </w:r>
            <w:r w:rsidRPr="00A63BD9">
              <w:rPr>
                <w:rFonts w:eastAsia="Calibri" w:cstheme="minorHAnsi"/>
                <w:color w:val="000000" w:themeColor="text1"/>
                <w:sz w:val="18"/>
                <w:szCs w:val="18"/>
              </w:rPr>
              <w:t>i redukcji emisji gazów cieplarnianych</w:t>
            </w:r>
          </w:p>
        </w:tc>
        <w:tc>
          <w:tcPr>
            <w:tcW w:w="4308"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3: Termomodernizacja budynków użyteczności publicznej we Wrocławskim Obszarze Funkcjonalnym</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200288C0" wp14:editId="1C44E5A6">
                  <wp:extent cx="360000" cy="360000"/>
                  <wp:effectExtent l="0" t="0" r="2540" b="0"/>
                  <wp:docPr id="81" name="Obraz 63"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rPr>
            </w:pPr>
            <w:r w:rsidRPr="00A63BD9">
              <w:rPr>
                <w:rFonts w:eastAsia="Calibri" w:cstheme="minorHAnsi"/>
                <w:bCs/>
                <w:sz w:val="18"/>
                <w:szCs w:val="18"/>
              </w:rPr>
              <w:t>RSO2.1. Wspieranie efektywności energetycznej i redukcji emisji gazów cieplarnianych</w:t>
            </w:r>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FF2290"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12. Ochrona zasobów środowiska i jego bioróżnorodności</w:t>
            </w:r>
          </w:p>
        </w:tc>
        <w:tc>
          <w:tcPr>
            <w:tcW w:w="3699"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12.1</w:t>
            </w:r>
            <w:r w:rsidRPr="00A63BD9">
              <w:rPr>
                <w:rFonts w:eastAsia="Calibri" w:cstheme="minorHAnsi"/>
                <w:color w:val="000000" w:themeColor="text1"/>
                <w:sz w:val="18"/>
                <w:szCs w:val="18"/>
              </w:rPr>
              <w:t xml:space="preserve"> Rozwijanie gospodarki wodno-ściekowej</w:t>
            </w:r>
          </w:p>
        </w:tc>
        <w:tc>
          <w:tcPr>
            <w:tcW w:w="4308"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4: Poprawa sytuacji gospodarki wodno-ściekowej w aglomeracjach od 10 tys. do 15 tys. RLM znajdujących się we Wrocławskim Obszarze Funkcjonalnym</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1A2AD81D" wp14:editId="78B19CF5">
                  <wp:extent cx="360000" cy="360000"/>
                  <wp:effectExtent l="0" t="0" r="2540" b="0"/>
                  <wp:docPr id="82" name="Obraz 290"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rPr>
            </w:pPr>
            <w:r w:rsidRPr="00A63BD9">
              <w:rPr>
                <w:rFonts w:eastAsia="Calibri" w:cstheme="minorHAnsi"/>
                <w:bCs/>
                <w:sz w:val="18"/>
                <w:szCs w:val="18"/>
              </w:rPr>
              <w:t xml:space="preserve">RSO2.5. Wspieranie dostępu do wody oraz zrównoważonej </w:t>
            </w:r>
            <w:r w:rsidR="00FF2290" w:rsidRPr="00A63BD9">
              <w:rPr>
                <w:rFonts w:eastAsia="Calibri" w:cstheme="minorHAnsi"/>
                <w:bCs/>
                <w:sz w:val="18"/>
                <w:szCs w:val="18"/>
              </w:rPr>
              <w:t>gospodarki wodnej</w:t>
            </w:r>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660368"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12. Ochrona zasobów środowiska i jego bioróżnorodności</w:t>
            </w:r>
          </w:p>
        </w:tc>
        <w:tc>
          <w:tcPr>
            <w:tcW w:w="3699" w:type="dxa"/>
            <w:vAlign w:val="center"/>
          </w:tcPr>
          <w:p w:rsidR="007D07F9" w:rsidRPr="00A63BD9" w:rsidRDefault="00660368"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12.1</w:t>
            </w:r>
            <w:r w:rsidRPr="00A63BD9">
              <w:rPr>
                <w:rFonts w:eastAsia="Calibri" w:cstheme="minorHAnsi"/>
                <w:color w:val="000000" w:themeColor="text1"/>
                <w:sz w:val="18"/>
                <w:szCs w:val="18"/>
              </w:rPr>
              <w:t xml:space="preserve"> Rozwijanie gospodarki wodno-ściekowej</w:t>
            </w:r>
          </w:p>
        </w:tc>
        <w:tc>
          <w:tcPr>
            <w:tcW w:w="4308" w:type="dxa"/>
            <w:vAlign w:val="center"/>
          </w:tcPr>
          <w:p w:rsidR="007D07F9" w:rsidRPr="00A63BD9" w:rsidRDefault="00FF2290" w:rsidP="00A1431D">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5: Poprawa sytuacji gospodarki wodno-ściekowej w aglomeracjach od 2 do poniżej</w:t>
            </w:r>
            <w:r w:rsidR="00A1431D">
              <w:rPr>
                <w:rFonts w:eastAsia="Calibri" w:cstheme="minorHAnsi"/>
                <w:bCs/>
                <w:color w:val="000000" w:themeColor="text1"/>
                <w:sz w:val="18"/>
                <w:szCs w:val="18"/>
              </w:rPr>
              <w:t xml:space="preserve"> </w:t>
            </w:r>
            <w:r w:rsidRPr="00A63BD9">
              <w:rPr>
                <w:rFonts w:eastAsia="Calibri" w:cstheme="minorHAnsi"/>
                <w:bCs/>
                <w:color w:val="000000" w:themeColor="text1"/>
                <w:sz w:val="18"/>
                <w:szCs w:val="18"/>
              </w:rPr>
              <w:t>10 tys. RLM znajdujących się we Wrocławskim Obszarze Funkcjonalnym</w:t>
            </w:r>
          </w:p>
        </w:tc>
        <w:tc>
          <w:tcPr>
            <w:tcW w:w="1435" w:type="dxa"/>
            <w:shd w:val="clear" w:color="auto" w:fill="FFFFFF"/>
            <w:vAlign w:val="center"/>
          </w:tcPr>
          <w:p w:rsidR="007D07F9" w:rsidRPr="00A63BD9" w:rsidRDefault="00EE5B09"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50DF6DB2" wp14:editId="268027E6">
                  <wp:extent cx="360000" cy="360000"/>
                  <wp:effectExtent l="0" t="0" r="2540" b="0"/>
                  <wp:docPr id="5" name="Obraz 290"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bCs/>
                <w:sz w:val="18"/>
                <w:szCs w:val="18"/>
              </w:rPr>
              <w:t>RSO2.5. Wspieranie dostępu do wody oraz zrównoważonej gospodarki wodnej</w:t>
            </w:r>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660368"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12. Ochrona zasobów środowiska i jego bioróżnorodności</w:t>
            </w:r>
          </w:p>
        </w:tc>
        <w:tc>
          <w:tcPr>
            <w:tcW w:w="3699"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 xml:space="preserve">12.2 Ochrona różnorodności biologicznej oraz </w:t>
            </w:r>
            <w:r w:rsidRPr="00A63BD9">
              <w:rPr>
                <w:rFonts w:eastAsia="Calibri" w:cstheme="minorHAnsi"/>
                <w:color w:val="000000" w:themeColor="text1"/>
                <w:sz w:val="18"/>
                <w:szCs w:val="18"/>
              </w:rPr>
              <w:t xml:space="preserve">adaptacja do zmian klimatu wraz </w:t>
            </w:r>
            <w:r w:rsidR="009B01F5">
              <w:rPr>
                <w:rFonts w:eastAsia="Calibri" w:cstheme="minorHAnsi"/>
                <w:color w:val="000000" w:themeColor="text1"/>
                <w:sz w:val="18"/>
                <w:szCs w:val="18"/>
              </w:rPr>
              <w:br/>
            </w:r>
            <w:r w:rsidRPr="00A63BD9">
              <w:rPr>
                <w:rFonts w:eastAsia="Calibri" w:cstheme="minorHAnsi"/>
                <w:color w:val="000000" w:themeColor="text1"/>
                <w:sz w:val="18"/>
                <w:szCs w:val="18"/>
              </w:rPr>
              <w:t>z zabezpieczeniem i zwiększeniem odporności na klęski żywiołowe</w:t>
            </w:r>
          </w:p>
        </w:tc>
        <w:tc>
          <w:tcPr>
            <w:tcW w:w="4308" w:type="dxa"/>
            <w:vAlign w:val="center"/>
          </w:tcPr>
          <w:p w:rsidR="007D07F9" w:rsidRPr="00A63BD9" w:rsidRDefault="00FF2290" w:rsidP="00A1431D">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w:t>
            </w:r>
            <w:r w:rsidR="00A1431D">
              <w:rPr>
                <w:rFonts w:eastAsia="Calibri" w:cstheme="minorHAnsi"/>
                <w:bCs/>
                <w:color w:val="000000" w:themeColor="text1"/>
                <w:sz w:val="18"/>
                <w:szCs w:val="18"/>
              </w:rPr>
              <w:t>tów 6: Rozwój terenów zielonych</w:t>
            </w:r>
            <w:r w:rsidRPr="00A63BD9">
              <w:rPr>
                <w:rFonts w:eastAsia="Calibri" w:cstheme="minorHAnsi"/>
                <w:bCs/>
                <w:color w:val="000000" w:themeColor="text1"/>
                <w:sz w:val="18"/>
                <w:szCs w:val="18"/>
              </w:rPr>
              <w:t xml:space="preserve"> i </w:t>
            </w:r>
            <w:r w:rsidRPr="00A63BD9">
              <w:rPr>
                <w:rFonts w:eastAsia="Calibri" w:cstheme="minorHAnsi"/>
                <w:color w:val="000000" w:themeColor="text1"/>
                <w:sz w:val="18"/>
                <w:szCs w:val="18"/>
              </w:rPr>
              <w:t>adaptacja do zmian klimatu</w:t>
            </w:r>
            <w:r w:rsidRPr="00A63BD9">
              <w:rPr>
                <w:rFonts w:eastAsia="Calibri" w:cstheme="minorHAnsi"/>
                <w:bCs/>
                <w:color w:val="000000" w:themeColor="text1"/>
                <w:sz w:val="18"/>
                <w:szCs w:val="18"/>
              </w:rPr>
              <w:t xml:space="preserve"> we Wrocławskim Obszarze Funkcjonalnym</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1D875B0E" wp14:editId="6CBCD9E9">
                  <wp:extent cx="360000" cy="360000"/>
                  <wp:effectExtent l="0" t="0" r="2540" b="0"/>
                  <wp:docPr id="83" name="Obraz 291"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rPr>
            </w:pPr>
            <w:r w:rsidRPr="00A63BD9">
              <w:rPr>
                <w:rFonts w:eastAsia="Calibri" w:cstheme="minorHAnsi"/>
                <w:bCs/>
                <w:sz w:val="18"/>
                <w:szCs w:val="18"/>
              </w:rPr>
              <w:t>RSO2.7. Wz</w:t>
            </w:r>
            <w:r w:rsidR="00FF2290" w:rsidRPr="00A63BD9">
              <w:rPr>
                <w:rFonts w:eastAsia="Calibri" w:cstheme="minorHAnsi"/>
                <w:bCs/>
                <w:sz w:val="18"/>
                <w:szCs w:val="18"/>
              </w:rPr>
              <w:t>macnianie ochrony i zachowania przyrody, różnorodności biologicznej oraz zielonej infrastruktury, w tym na obszarach miejskich, oraz ograniczanie wszelkich rodzajów zanieczyszczenia</w:t>
            </w:r>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color w:val="000000" w:themeColor="text1"/>
                <w:sz w:val="18"/>
                <w:szCs w:val="18"/>
              </w:rPr>
              <w:t>13. Zrównoważona mobilność</w:t>
            </w:r>
          </w:p>
        </w:tc>
        <w:tc>
          <w:tcPr>
            <w:tcW w:w="3699"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13.1 Zwiększenie konkurencyjności transportu zbiorowego i niskoemisyjnych form przemieszczania się</w:t>
            </w:r>
          </w:p>
        </w:tc>
        <w:tc>
          <w:tcPr>
            <w:tcW w:w="4308"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7: Budowa lub rozbudowa dróg, ścieżek, tras rowerowych oraz ciągów pieszo-rowerowych na terenie Wrocławskiego Obszaru Funkcjonalnego</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2400B7D5" wp14:editId="4A992757">
                  <wp:extent cx="360000" cy="360000"/>
                  <wp:effectExtent l="0" t="0" r="2540" b="0"/>
                  <wp:docPr id="84" name="Obraz 29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highlight w:val="yellow"/>
              </w:rPr>
            </w:pPr>
            <w:r w:rsidRPr="00A63BD9">
              <w:rPr>
                <w:rFonts w:eastAsia="Calibri" w:cstheme="minorHAnsi"/>
                <w:bCs/>
                <w:sz w:val="18"/>
                <w:szCs w:val="18"/>
              </w:rPr>
              <w:t xml:space="preserve">RSO2.8. Wspieranie zrównoważonej multimodalnej mobilności miejskiej jako elementu transformacji </w:t>
            </w:r>
            <w:r w:rsidR="009B01F5">
              <w:rPr>
                <w:rFonts w:eastAsia="Calibri" w:cstheme="minorHAnsi"/>
                <w:bCs/>
                <w:sz w:val="18"/>
                <w:szCs w:val="18"/>
              </w:rPr>
              <w:br/>
            </w:r>
            <w:r w:rsidRPr="00A63BD9">
              <w:rPr>
                <w:rFonts w:eastAsia="Calibri" w:cstheme="minorHAnsi"/>
                <w:bCs/>
                <w:sz w:val="18"/>
                <w:szCs w:val="18"/>
              </w:rPr>
              <w:t xml:space="preserve">w kierunku gospodarki </w:t>
            </w:r>
            <w:proofErr w:type="spellStart"/>
            <w:r w:rsidRPr="00A63BD9">
              <w:rPr>
                <w:rFonts w:eastAsia="Calibri" w:cstheme="minorHAnsi"/>
                <w:bCs/>
                <w:sz w:val="18"/>
                <w:szCs w:val="18"/>
              </w:rPr>
              <w:t>zeroemisyjnej</w:t>
            </w:r>
            <w:proofErr w:type="spellEnd"/>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660368"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13. Zrównoważona mobilność</w:t>
            </w:r>
          </w:p>
        </w:tc>
        <w:tc>
          <w:tcPr>
            <w:tcW w:w="3699" w:type="dxa"/>
            <w:vAlign w:val="center"/>
          </w:tcPr>
          <w:p w:rsidR="007D07F9" w:rsidRPr="00A63BD9" w:rsidRDefault="00660368"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13.1 Zwiększenie konkurencyjności transportu zbiorowego i niskoemisyjnych form przemieszczania się</w:t>
            </w:r>
          </w:p>
        </w:tc>
        <w:tc>
          <w:tcPr>
            <w:tcW w:w="4308"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8: Budowa infrastruktury rowerowej lub pieszo-rowerowej na terenie Wrocławskiego Obszaru Funkcjonalnego</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bCs/>
                <w:noProof/>
                <w:sz w:val="20"/>
                <w:szCs w:val="20"/>
                <w:lang w:eastAsia="pl-PL"/>
              </w:rPr>
              <w:drawing>
                <wp:inline distT="0" distB="0" distL="0" distR="0" wp14:anchorId="708720F3" wp14:editId="0B07FD25">
                  <wp:extent cx="359410" cy="359410"/>
                  <wp:effectExtent l="0" t="0" r="2540" b="0"/>
                  <wp:docPr id="85" name="Obraz 1"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highlight w:val="yellow"/>
              </w:rPr>
            </w:pPr>
            <w:r w:rsidRPr="00A63BD9">
              <w:rPr>
                <w:rFonts w:eastAsia="Calibri" w:cstheme="minorHAnsi"/>
                <w:bCs/>
                <w:sz w:val="18"/>
                <w:szCs w:val="18"/>
              </w:rPr>
              <w:t xml:space="preserve">RSO5.1. Wspieranie zintegrowanego i sprzyjającego włączeniu społecznemu rozwoju społecznego, gospodarczego i środowiskowego, kultury, dziedzictwa naturalnego, zrównoważonej turystyki </w:t>
            </w:r>
            <w:r w:rsidR="009B01F5">
              <w:rPr>
                <w:rFonts w:eastAsia="Calibri" w:cstheme="minorHAnsi"/>
                <w:bCs/>
                <w:sz w:val="18"/>
                <w:szCs w:val="18"/>
              </w:rPr>
              <w:br/>
            </w:r>
            <w:r w:rsidRPr="00A63BD9">
              <w:rPr>
                <w:rFonts w:eastAsia="Calibri" w:cstheme="minorHAnsi"/>
                <w:bCs/>
                <w:sz w:val="18"/>
                <w:szCs w:val="18"/>
              </w:rPr>
              <w:t>i bezpieczeństwa na obszarach miejskich</w:t>
            </w:r>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bCs/>
                <w:sz w:val="18"/>
                <w:szCs w:val="18"/>
              </w:rPr>
            </w:pPr>
            <w:bookmarkStart w:id="162" w:name="_Hlk128246979"/>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660368" w:rsidP="00D33978">
            <w:pPr>
              <w:spacing w:line="240" w:lineRule="auto"/>
              <w:jc w:val="center"/>
              <w:rPr>
                <w:rFonts w:eastAsia="Calibri" w:cstheme="minorHAnsi"/>
                <w:bCs/>
                <w:color w:val="000000" w:themeColor="text1"/>
                <w:sz w:val="18"/>
                <w:szCs w:val="18"/>
              </w:rPr>
            </w:pPr>
            <w:r w:rsidRPr="00A63BD9">
              <w:rPr>
                <w:rFonts w:eastAsia="Calibri" w:cstheme="minorHAnsi"/>
                <w:color w:val="000000" w:themeColor="text1"/>
                <w:sz w:val="18"/>
                <w:szCs w:val="18"/>
              </w:rPr>
              <w:t>13. Zrównoważona mobilność</w:t>
            </w:r>
          </w:p>
        </w:tc>
        <w:tc>
          <w:tcPr>
            <w:tcW w:w="3699" w:type="dxa"/>
            <w:vAlign w:val="center"/>
          </w:tcPr>
          <w:p w:rsidR="007D07F9" w:rsidRPr="00A63BD9" w:rsidRDefault="00FF22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 xml:space="preserve">13.2 </w:t>
            </w:r>
            <w:r w:rsidR="00B76684" w:rsidRPr="00A63BD9">
              <w:rPr>
                <w:rFonts w:eastAsia="Calibri" w:cstheme="minorHAnsi"/>
                <w:bCs/>
                <w:color w:val="000000" w:themeColor="text1"/>
                <w:sz w:val="18"/>
                <w:szCs w:val="18"/>
              </w:rPr>
              <w:t>Rozwój infrastruktury i działań wspierających osiągni</w:t>
            </w:r>
            <w:r w:rsidR="002B0FA7" w:rsidRPr="00A63BD9">
              <w:rPr>
                <w:rFonts w:eastAsia="Calibri" w:cstheme="minorHAnsi"/>
                <w:bCs/>
                <w:color w:val="000000" w:themeColor="text1"/>
                <w:sz w:val="18"/>
                <w:szCs w:val="18"/>
              </w:rPr>
              <w:t>ę</w:t>
            </w:r>
            <w:r w:rsidR="00B76684" w:rsidRPr="00A63BD9">
              <w:rPr>
                <w:rFonts w:eastAsia="Calibri" w:cstheme="minorHAnsi"/>
                <w:bCs/>
                <w:color w:val="000000" w:themeColor="text1"/>
                <w:sz w:val="18"/>
                <w:szCs w:val="18"/>
              </w:rPr>
              <w:t>cie zrównoważonej mobilności</w:t>
            </w:r>
          </w:p>
        </w:tc>
        <w:tc>
          <w:tcPr>
            <w:tcW w:w="4308" w:type="dxa"/>
            <w:vAlign w:val="center"/>
          </w:tcPr>
          <w:p w:rsidR="007D07F9" w:rsidRPr="00A63BD9" w:rsidRDefault="009B5190"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9: Budowa lub rozbudowa centrów, węzłów przesiadkowych, P&amp;R oraz B&amp;R na terenie Wrocławskiego Obszaru Funkcjonalnego</w:t>
            </w:r>
          </w:p>
        </w:tc>
        <w:tc>
          <w:tcPr>
            <w:tcW w:w="1435" w:type="dxa"/>
            <w:shd w:val="clear" w:color="auto" w:fill="FFFFFF"/>
            <w:vAlign w:val="center"/>
          </w:tcPr>
          <w:p w:rsidR="007D07F9" w:rsidRPr="00A63BD9" w:rsidRDefault="00405DA1"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noProof/>
                <w:sz w:val="20"/>
                <w:szCs w:val="20"/>
                <w:lang w:eastAsia="pl-PL"/>
              </w:rPr>
              <w:drawing>
                <wp:inline distT="0" distB="0" distL="0" distR="0" wp14:anchorId="4C873973" wp14:editId="7AB3D5C7">
                  <wp:extent cx="360000" cy="360000"/>
                  <wp:effectExtent l="0" t="0" r="2540" b="0"/>
                  <wp:docPr id="86" name="Obraz 293"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2E3461" w:rsidP="00D33978">
            <w:pPr>
              <w:spacing w:line="240" w:lineRule="auto"/>
              <w:jc w:val="center"/>
              <w:rPr>
                <w:rFonts w:eastAsia="Calibri" w:cstheme="minorHAnsi"/>
                <w:bCs/>
                <w:sz w:val="18"/>
                <w:szCs w:val="18"/>
                <w:highlight w:val="yellow"/>
              </w:rPr>
            </w:pPr>
            <w:r w:rsidRPr="00A63BD9">
              <w:rPr>
                <w:rFonts w:eastAsia="Calibri" w:cstheme="minorHAnsi"/>
                <w:bCs/>
                <w:sz w:val="18"/>
                <w:szCs w:val="18"/>
              </w:rPr>
              <w:t xml:space="preserve">RSO2.8. Wspieranie zrównoważonej multimodalnej mobilności miejskiej jako elementu transformacji </w:t>
            </w:r>
            <w:r w:rsidR="009B01F5">
              <w:rPr>
                <w:rFonts w:eastAsia="Calibri" w:cstheme="minorHAnsi"/>
                <w:bCs/>
                <w:sz w:val="18"/>
                <w:szCs w:val="18"/>
              </w:rPr>
              <w:br/>
            </w:r>
            <w:r w:rsidRPr="00A63BD9">
              <w:rPr>
                <w:rFonts w:eastAsia="Calibri" w:cstheme="minorHAnsi"/>
                <w:bCs/>
                <w:sz w:val="18"/>
                <w:szCs w:val="18"/>
              </w:rPr>
              <w:t xml:space="preserve">w kierunku gospodarki </w:t>
            </w:r>
            <w:proofErr w:type="spellStart"/>
            <w:r w:rsidRPr="00A63BD9">
              <w:rPr>
                <w:rFonts w:eastAsia="Calibri" w:cstheme="minorHAnsi"/>
                <w:bCs/>
                <w:sz w:val="18"/>
                <w:szCs w:val="18"/>
              </w:rPr>
              <w:t>zeroemisyjnej</w:t>
            </w:r>
            <w:proofErr w:type="spellEnd"/>
          </w:p>
        </w:tc>
      </w:tr>
      <w:tr w:rsidR="002E3461" w:rsidRPr="00A63BD9" w:rsidTr="00660368">
        <w:trPr>
          <w:trHeight w:val="1134"/>
        </w:trPr>
        <w:tc>
          <w:tcPr>
            <w:tcW w:w="1761" w:type="dxa"/>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sz w:val="18"/>
                <w:szCs w:val="18"/>
              </w:rPr>
              <w:t xml:space="preserve">3. Ochrona środowiska naturalnego </w:t>
            </w:r>
            <w:r>
              <w:rPr>
                <w:rFonts w:eastAsia="Calibri" w:cstheme="minorHAnsi"/>
                <w:sz w:val="18"/>
                <w:szCs w:val="18"/>
              </w:rPr>
              <w:br/>
            </w:r>
            <w:r w:rsidRPr="00A63BD9">
              <w:rPr>
                <w:rFonts w:eastAsia="Calibri" w:cstheme="minorHAnsi"/>
                <w:sz w:val="18"/>
                <w:szCs w:val="18"/>
              </w:rPr>
              <w:t>i adaptacja WrOF do zmian klimatu</w:t>
            </w:r>
          </w:p>
        </w:tc>
        <w:tc>
          <w:tcPr>
            <w:tcW w:w="2088" w:type="dxa"/>
            <w:vAlign w:val="center"/>
          </w:tcPr>
          <w:p w:rsidR="007D07F9" w:rsidRPr="00A63BD9" w:rsidRDefault="00660368" w:rsidP="00D33978">
            <w:pPr>
              <w:spacing w:line="240" w:lineRule="auto"/>
              <w:jc w:val="center"/>
              <w:rPr>
                <w:rFonts w:eastAsia="Calibri" w:cstheme="minorHAnsi"/>
                <w:bCs/>
                <w:color w:val="000000" w:themeColor="text1"/>
                <w:sz w:val="18"/>
                <w:szCs w:val="18"/>
              </w:rPr>
            </w:pPr>
            <w:r w:rsidRPr="00A63BD9">
              <w:rPr>
                <w:rFonts w:eastAsia="Calibri" w:cstheme="minorHAnsi"/>
                <w:color w:val="000000" w:themeColor="text1"/>
                <w:sz w:val="18"/>
                <w:szCs w:val="18"/>
              </w:rPr>
              <w:t>13. Zrównoważona mobilność</w:t>
            </w:r>
          </w:p>
        </w:tc>
        <w:tc>
          <w:tcPr>
            <w:tcW w:w="3699" w:type="dxa"/>
            <w:vAlign w:val="center"/>
          </w:tcPr>
          <w:p w:rsidR="007D07F9" w:rsidRPr="00A63BD9" w:rsidRDefault="00660368" w:rsidP="00D33978">
            <w:pPr>
              <w:spacing w:line="240" w:lineRule="auto"/>
              <w:jc w:val="center"/>
              <w:rPr>
                <w:rFonts w:eastAsia="Calibri" w:cs="Times New Roman"/>
                <w:color w:val="000000" w:themeColor="text1"/>
                <w:sz w:val="18"/>
                <w:szCs w:val="18"/>
              </w:rPr>
            </w:pPr>
            <w:r w:rsidRPr="00A63BD9">
              <w:rPr>
                <w:rFonts w:eastAsia="Calibri" w:cstheme="minorHAnsi"/>
                <w:bCs/>
                <w:color w:val="000000" w:themeColor="text1"/>
                <w:sz w:val="18"/>
                <w:szCs w:val="18"/>
              </w:rPr>
              <w:t>13.2 Rozwój infrastruktury i działań wspierających osiągnięcie zrównoważonej mobilności</w:t>
            </w:r>
          </w:p>
        </w:tc>
        <w:tc>
          <w:tcPr>
            <w:tcW w:w="4308" w:type="dxa"/>
            <w:vAlign w:val="center"/>
          </w:tcPr>
          <w:p w:rsidR="007D07F9" w:rsidRPr="00077588" w:rsidRDefault="002E3461" w:rsidP="00D33978">
            <w:pPr>
              <w:spacing w:line="240" w:lineRule="auto"/>
              <w:jc w:val="center"/>
              <w:rPr>
                <w:rFonts w:eastAsia="Calibri" w:cstheme="minorHAnsi"/>
                <w:bCs/>
                <w:strike/>
                <w:color w:val="000000" w:themeColor="text1"/>
                <w:sz w:val="18"/>
                <w:szCs w:val="18"/>
              </w:rPr>
            </w:pPr>
            <w:r w:rsidRPr="00053E2F">
              <w:rPr>
                <w:rFonts w:eastAsia="Calibri" w:cstheme="minorHAnsi"/>
                <w:bCs/>
                <w:color w:val="000000" w:themeColor="text1"/>
                <w:sz w:val="18"/>
                <w:szCs w:val="18"/>
              </w:rPr>
              <w:t>Projekt zintegrowany: Realizacja i aktualizacja Planu Zrównoważonej Mobilności dla Miejskiego Obszaru Funkcjonalnego Wrocławia</w:t>
            </w:r>
          </w:p>
        </w:tc>
        <w:tc>
          <w:tcPr>
            <w:tcW w:w="1435" w:type="dxa"/>
            <w:shd w:val="clear" w:color="auto" w:fill="FFFFFF"/>
            <w:vAlign w:val="center"/>
          </w:tcPr>
          <w:p w:rsidR="007D07F9" w:rsidRPr="00A63BD9" w:rsidRDefault="00EE5B09" w:rsidP="00D33978">
            <w:pPr>
              <w:spacing w:line="240" w:lineRule="auto"/>
              <w:jc w:val="center"/>
              <w:rPr>
                <w:rFonts w:ascii="Calibri" w:eastAsia="Calibri" w:hAnsi="Calibri" w:cs="Times New Roman"/>
                <w:noProof/>
                <w:sz w:val="20"/>
                <w:szCs w:val="20"/>
                <w:lang w:eastAsia="pl-PL"/>
              </w:rPr>
            </w:pPr>
            <w:r w:rsidRPr="00A63BD9">
              <w:rPr>
                <w:rFonts w:ascii="Calibri" w:eastAsia="Calibri" w:hAnsi="Calibri" w:cs="Times New Roman"/>
                <w:noProof/>
                <w:sz w:val="20"/>
                <w:szCs w:val="20"/>
                <w:lang w:eastAsia="pl-PL"/>
              </w:rPr>
              <w:drawing>
                <wp:inline distT="0" distB="0" distL="0" distR="0" wp14:anchorId="601D2DCD" wp14:editId="5A72EAB6">
                  <wp:extent cx="360000" cy="360000"/>
                  <wp:effectExtent l="0" t="0" r="2540" b="0"/>
                  <wp:docPr id="8" name="Obraz 293"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3" w:type="dxa"/>
            <w:shd w:val="clear" w:color="auto" w:fill="F2F2F2"/>
            <w:vAlign w:val="center"/>
          </w:tcPr>
          <w:p w:rsidR="007D07F9" w:rsidRPr="00A63BD9" w:rsidRDefault="00EE5B09" w:rsidP="00D33978">
            <w:pPr>
              <w:spacing w:line="240" w:lineRule="auto"/>
              <w:jc w:val="center"/>
              <w:rPr>
                <w:rFonts w:eastAsia="Calibri" w:cstheme="minorHAnsi"/>
                <w:bCs/>
                <w:sz w:val="18"/>
                <w:szCs w:val="18"/>
              </w:rPr>
            </w:pPr>
            <w:r w:rsidRPr="00A63BD9">
              <w:rPr>
                <w:rFonts w:eastAsia="Calibri" w:cstheme="minorHAnsi"/>
                <w:bCs/>
                <w:sz w:val="18"/>
                <w:szCs w:val="18"/>
              </w:rPr>
              <w:t xml:space="preserve">RSO2.8. Wspieranie zrównoważonej multimodalnej mobilności miejskiej jako elementu transformacji </w:t>
            </w:r>
            <w:r>
              <w:rPr>
                <w:rFonts w:eastAsia="Calibri" w:cstheme="minorHAnsi"/>
                <w:bCs/>
                <w:sz w:val="18"/>
                <w:szCs w:val="18"/>
              </w:rPr>
              <w:br/>
            </w:r>
            <w:r w:rsidRPr="00A63BD9">
              <w:rPr>
                <w:rFonts w:eastAsia="Calibri" w:cstheme="minorHAnsi"/>
                <w:bCs/>
                <w:sz w:val="18"/>
                <w:szCs w:val="18"/>
              </w:rPr>
              <w:t xml:space="preserve">w kierunku gospodarki </w:t>
            </w:r>
            <w:proofErr w:type="spellStart"/>
            <w:r w:rsidRPr="00A63BD9">
              <w:rPr>
                <w:rFonts w:eastAsia="Calibri" w:cstheme="minorHAnsi"/>
                <w:bCs/>
                <w:sz w:val="18"/>
                <w:szCs w:val="18"/>
              </w:rPr>
              <w:t>zeroemisyjnej</w:t>
            </w:r>
            <w:proofErr w:type="spellEnd"/>
          </w:p>
        </w:tc>
      </w:tr>
      <w:bookmarkEnd w:id="162"/>
      <w:tr w:rsidR="00EE5B09" w:rsidRPr="00A63BD9" w:rsidTr="00660368">
        <w:trPr>
          <w:trHeight w:val="1134"/>
        </w:trPr>
        <w:tc>
          <w:tcPr>
            <w:tcW w:w="1761" w:type="dxa"/>
            <w:vAlign w:val="center"/>
          </w:tcPr>
          <w:p w:rsidR="00EE5B09" w:rsidRPr="00A63BD9" w:rsidRDefault="00EE5B09" w:rsidP="00D33978">
            <w:pPr>
              <w:spacing w:line="240" w:lineRule="auto"/>
              <w:jc w:val="center"/>
              <w:rPr>
                <w:rFonts w:eastAsia="Calibri" w:cstheme="minorHAnsi"/>
                <w:sz w:val="18"/>
                <w:szCs w:val="18"/>
              </w:rPr>
            </w:pPr>
            <w:r w:rsidRPr="00A63BD9">
              <w:rPr>
                <w:rFonts w:eastAsia="Calibri" w:cstheme="minorHAnsi"/>
                <w:sz w:val="18"/>
                <w:szCs w:val="18"/>
              </w:rPr>
              <w:t>4. Integracja i rozwój terytorialny WrOF</w:t>
            </w:r>
          </w:p>
        </w:tc>
        <w:tc>
          <w:tcPr>
            <w:tcW w:w="2088" w:type="dxa"/>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14. Przestrzeń publiczna</w:t>
            </w:r>
          </w:p>
        </w:tc>
        <w:tc>
          <w:tcPr>
            <w:tcW w:w="3699" w:type="dxa"/>
            <w:vAlign w:val="center"/>
          </w:tcPr>
          <w:p w:rsidR="00EE5B09" w:rsidRPr="00A63BD9" w:rsidRDefault="00EE5B09" w:rsidP="00D33978">
            <w:pPr>
              <w:spacing w:line="240" w:lineRule="auto"/>
              <w:jc w:val="center"/>
              <w:rPr>
                <w:rFonts w:eastAsia="Calibri" w:cstheme="minorHAnsi"/>
                <w:bCs/>
                <w:color w:val="000000" w:themeColor="text1"/>
                <w:sz w:val="18"/>
                <w:szCs w:val="18"/>
              </w:rPr>
            </w:pPr>
            <w:r w:rsidRPr="00A63BD9">
              <w:rPr>
                <w:rFonts w:eastAsia="Calibri" w:cstheme="minorHAnsi"/>
                <w:color w:val="000000" w:themeColor="text1"/>
                <w:sz w:val="18"/>
                <w:szCs w:val="18"/>
              </w:rPr>
              <w:t xml:space="preserve">14.1 Utworzenie i odnowa przestrzeni publicznych, w tym wnętrz podwórzowych, terenów zielonych, parków, skwerów i przestrzeni rekreacyjnych </w:t>
            </w:r>
          </w:p>
        </w:tc>
        <w:tc>
          <w:tcPr>
            <w:tcW w:w="4308" w:type="dxa"/>
            <w:vAlign w:val="center"/>
          </w:tcPr>
          <w:p w:rsidR="00EE5B09" w:rsidRPr="00A63BD9" w:rsidRDefault="00EE5B09" w:rsidP="006B2B91">
            <w:pPr>
              <w:spacing w:line="240" w:lineRule="auto"/>
              <w:jc w:val="center"/>
              <w:rPr>
                <w:rFonts w:eastAsia="Calibri" w:cstheme="minorHAnsi"/>
                <w:bCs/>
                <w:color w:val="000000" w:themeColor="text1"/>
                <w:sz w:val="18"/>
                <w:szCs w:val="18"/>
              </w:rPr>
            </w:pPr>
            <w:r>
              <w:rPr>
                <w:rFonts w:eastAsia="Calibri" w:cstheme="minorHAnsi"/>
                <w:bCs/>
                <w:color w:val="000000" w:themeColor="text1"/>
                <w:sz w:val="18"/>
                <w:szCs w:val="18"/>
              </w:rPr>
              <w:t xml:space="preserve">Wiązka projektów </w:t>
            </w:r>
            <w:r w:rsidRPr="00A63BD9">
              <w:rPr>
                <w:rFonts w:eastAsia="Calibri" w:cstheme="minorHAnsi"/>
                <w:bCs/>
                <w:color w:val="000000" w:themeColor="text1"/>
                <w:sz w:val="18"/>
                <w:szCs w:val="18"/>
              </w:rPr>
              <w:t>10: Fizyczna odnowa</w:t>
            </w:r>
            <w:r>
              <w:rPr>
                <w:rFonts w:eastAsia="Calibri" w:cstheme="minorHAnsi"/>
                <w:bCs/>
                <w:color w:val="000000" w:themeColor="text1"/>
                <w:sz w:val="18"/>
                <w:szCs w:val="18"/>
              </w:rPr>
              <w:br/>
            </w:r>
            <w:r w:rsidRPr="00A63BD9">
              <w:rPr>
                <w:rFonts w:eastAsia="Calibri" w:cstheme="minorHAnsi"/>
                <w:bCs/>
                <w:color w:val="000000" w:themeColor="text1"/>
                <w:sz w:val="18"/>
                <w:szCs w:val="18"/>
              </w:rPr>
              <w:t>i bezpieczeństwo przestrzeni publicznej</w:t>
            </w:r>
            <w:r>
              <w:rPr>
                <w:rFonts w:eastAsia="Calibri" w:cstheme="minorHAnsi"/>
                <w:bCs/>
                <w:color w:val="000000" w:themeColor="text1"/>
                <w:sz w:val="18"/>
                <w:szCs w:val="18"/>
              </w:rPr>
              <w:br/>
            </w:r>
            <w:r w:rsidRPr="00A63BD9">
              <w:rPr>
                <w:rFonts w:eastAsia="Calibri" w:cstheme="minorHAnsi"/>
                <w:bCs/>
                <w:color w:val="000000" w:themeColor="text1"/>
                <w:sz w:val="18"/>
                <w:szCs w:val="18"/>
              </w:rPr>
              <w:t xml:space="preserve"> we Wrocławskim Obszarze Funkcjonalnym,</w:t>
            </w:r>
            <w:r>
              <w:rPr>
                <w:rFonts w:eastAsia="Calibri" w:cstheme="minorHAnsi"/>
                <w:bCs/>
                <w:color w:val="000000" w:themeColor="text1"/>
                <w:sz w:val="18"/>
                <w:szCs w:val="18"/>
              </w:rPr>
              <w:br/>
            </w:r>
            <w:r w:rsidRPr="00A63BD9">
              <w:rPr>
                <w:rFonts w:eastAsia="Calibri" w:cstheme="minorHAnsi"/>
                <w:bCs/>
                <w:color w:val="000000" w:themeColor="text1"/>
                <w:sz w:val="18"/>
                <w:szCs w:val="18"/>
              </w:rPr>
              <w:t>w tym sprzyjająca aktywności fizycznej</w:t>
            </w:r>
          </w:p>
        </w:tc>
        <w:tc>
          <w:tcPr>
            <w:tcW w:w="1435" w:type="dxa"/>
            <w:shd w:val="clear" w:color="auto" w:fill="FFFFFF"/>
            <w:vAlign w:val="center"/>
          </w:tcPr>
          <w:p w:rsidR="00EE5B09" w:rsidRPr="00A63BD9" w:rsidRDefault="00EE5B09" w:rsidP="00D33978">
            <w:pPr>
              <w:spacing w:line="240" w:lineRule="auto"/>
              <w:jc w:val="center"/>
              <w:rPr>
                <w:rFonts w:ascii="Calibri" w:eastAsia="Calibri" w:hAnsi="Calibri" w:cs="Times New Roman"/>
                <w:bCs/>
                <w:sz w:val="20"/>
                <w:szCs w:val="20"/>
              </w:rPr>
            </w:pPr>
            <w:r w:rsidRPr="00A63BD9">
              <w:rPr>
                <w:rFonts w:ascii="Calibri" w:eastAsia="Calibri" w:hAnsi="Calibri" w:cs="Times New Roman"/>
                <w:bCs/>
                <w:noProof/>
                <w:sz w:val="20"/>
                <w:szCs w:val="20"/>
                <w:lang w:eastAsia="pl-PL"/>
              </w:rPr>
              <w:drawing>
                <wp:inline distT="0" distB="0" distL="0" distR="0" wp14:anchorId="05A32EC6" wp14:editId="60460F8F">
                  <wp:extent cx="359410" cy="359410"/>
                  <wp:effectExtent l="0" t="0" r="2540" b="0"/>
                  <wp:docPr id="4" name="Obraz 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903" w:type="dxa"/>
            <w:shd w:val="clear" w:color="auto" w:fill="F2F2F2"/>
            <w:vAlign w:val="center"/>
          </w:tcPr>
          <w:p w:rsidR="00EE5B09" w:rsidRPr="00642550" w:rsidRDefault="00EE5B09" w:rsidP="00D33978">
            <w:pPr>
              <w:spacing w:line="240" w:lineRule="auto"/>
              <w:jc w:val="center"/>
              <w:rPr>
                <w:rFonts w:eastAsia="Calibri" w:cstheme="minorHAnsi"/>
                <w:bCs/>
                <w:sz w:val="18"/>
                <w:szCs w:val="18"/>
              </w:rPr>
            </w:pPr>
            <w:r w:rsidRPr="00642550">
              <w:rPr>
                <w:rFonts w:eastAsia="Calibri" w:cstheme="minorHAnsi"/>
                <w:bCs/>
                <w:sz w:val="18"/>
                <w:szCs w:val="18"/>
              </w:rPr>
              <w:t>RSO5.1. Wspieranie zintegrowanego i sprzyjającego włączeniu społecznemu rozwoju społecznego, gospodarczego i środowiskowego, kultury, dziedzictwa naturalnego, zrównoważonej turystyki i bezpieczeństwa na obszarach miejskich</w:t>
            </w:r>
          </w:p>
        </w:tc>
      </w:tr>
      <w:tr w:rsidR="00EE5B09" w:rsidRPr="00A63BD9" w:rsidTr="00660368">
        <w:trPr>
          <w:trHeight w:val="1134"/>
        </w:trPr>
        <w:tc>
          <w:tcPr>
            <w:tcW w:w="1761" w:type="dxa"/>
            <w:vAlign w:val="center"/>
          </w:tcPr>
          <w:p w:rsidR="00EE5B09" w:rsidRPr="00A63BD9" w:rsidRDefault="00EE5B09" w:rsidP="00D33978">
            <w:pPr>
              <w:spacing w:line="240" w:lineRule="auto"/>
              <w:jc w:val="center"/>
              <w:rPr>
                <w:rFonts w:eastAsia="Calibri" w:cstheme="minorHAnsi"/>
                <w:sz w:val="18"/>
                <w:szCs w:val="18"/>
              </w:rPr>
            </w:pPr>
            <w:r w:rsidRPr="00A63BD9">
              <w:rPr>
                <w:rFonts w:eastAsia="Calibri" w:cstheme="minorHAnsi"/>
                <w:sz w:val="18"/>
                <w:szCs w:val="18"/>
              </w:rPr>
              <w:t>4. Integracja i rozwój terytorialny WrOF</w:t>
            </w:r>
          </w:p>
        </w:tc>
        <w:tc>
          <w:tcPr>
            <w:tcW w:w="2088" w:type="dxa"/>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14. Przestrzeń publiczna</w:t>
            </w:r>
          </w:p>
        </w:tc>
        <w:tc>
          <w:tcPr>
            <w:tcW w:w="3699" w:type="dxa"/>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14.2</w:t>
            </w:r>
            <w:r w:rsidRPr="00A63BD9">
              <w:rPr>
                <w:rFonts w:eastAsia="Calibri" w:cstheme="minorHAnsi"/>
                <w:bCs/>
                <w:color w:val="000000" w:themeColor="text1"/>
                <w:sz w:val="18"/>
                <w:szCs w:val="18"/>
              </w:rPr>
              <w:t xml:space="preserve"> Infrastruktura aktywizacji i integracji społecznej mająca na celu poprawę kondycji psychofizycznej mieszkańców</w:t>
            </w:r>
          </w:p>
        </w:tc>
        <w:tc>
          <w:tcPr>
            <w:tcW w:w="4308" w:type="dxa"/>
            <w:vAlign w:val="center"/>
          </w:tcPr>
          <w:p w:rsidR="00EE5B09" w:rsidRPr="00A63BD9" w:rsidRDefault="00EE5B09"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11: Rozwój infrastruktury aktywizacji i integracji społecznej mający na celu poprawę kondycji psychofizycznej mieszkańców we Wrocławskim Obszarze Funkcjonalnym, ze szczególnym uwzględnieniem kultury</w:t>
            </w:r>
          </w:p>
        </w:tc>
        <w:tc>
          <w:tcPr>
            <w:tcW w:w="1435" w:type="dxa"/>
            <w:shd w:val="clear" w:color="auto" w:fill="FFFFFF"/>
            <w:vAlign w:val="center"/>
          </w:tcPr>
          <w:p w:rsidR="00EE5B09" w:rsidRPr="00A63BD9" w:rsidRDefault="00EE5B09" w:rsidP="00D33978">
            <w:pPr>
              <w:spacing w:line="240" w:lineRule="auto"/>
              <w:jc w:val="center"/>
              <w:rPr>
                <w:rFonts w:ascii="Calibri" w:eastAsia="Calibri" w:hAnsi="Calibri" w:cs="Times New Roman"/>
                <w:bCs/>
                <w:noProof/>
                <w:sz w:val="20"/>
                <w:szCs w:val="20"/>
              </w:rPr>
            </w:pPr>
            <w:r w:rsidRPr="00A63BD9">
              <w:rPr>
                <w:rFonts w:ascii="Calibri" w:eastAsia="Calibri" w:hAnsi="Calibri" w:cs="Times New Roman"/>
                <w:bCs/>
                <w:noProof/>
                <w:sz w:val="20"/>
                <w:szCs w:val="20"/>
                <w:lang w:eastAsia="pl-PL"/>
              </w:rPr>
              <w:drawing>
                <wp:inline distT="0" distB="0" distL="0" distR="0" wp14:anchorId="7ACFD28A" wp14:editId="11CCE010">
                  <wp:extent cx="359410" cy="359410"/>
                  <wp:effectExtent l="0" t="0" r="2540" b="0"/>
                  <wp:docPr id="9" name="Obraz 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903" w:type="dxa"/>
            <w:shd w:val="clear" w:color="auto" w:fill="F2F2F2"/>
            <w:vAlign w:val="center"/>
          </w:tcPr>
          <w:p w:rsidR="00EE5B09" w:rsidRPr="008C5B25" w:rsidRDefault="00EE5B09" w:rsidP="00D33978">
            <w:pPr>
              <w:spacing w:line="240" w:lineRule="auto"/>
              <w:jc w:val="center"/>
              <w:rPr>
                <w:rFonts w:eastAsia="Calibri" w:cstheme="minorHAnsi"/>
                <w:bCs/>
                <w:sz w:val="20"/>
                <w:szCs w:val="20"/>
                <w:highlight w:val="yellow"/>
              </w:rPr>
            </w:pPr>
            <w:r w:rsidRPr="00642550">
              <w:rPr>
                <w:rFonts w:eastAsia="Calibri" w:cstheme="minorHAnsi"/>
                <w:bCs/>
                <w:sz w:val="18"/>
                <w:szCs w:val="18"/>
              </w:rPr>
              <w:t>RSO5.1. Wspieranie zintegrowanego i sprzyjającego włączeniu społecznemu rozwoju społecznego, gospodarczego i środowiskowego, kultury, dziedzictwa naturalnego, zrównoważonej turystyki i bezpieczeństwa na obszarach miejskich</w:t>
            </w:r>
          </w:p>
        </w:tc>
      </w:tr>
      <w:tr w:rsidR="00EE5B09" w:rsidRPr="00A63BD9" w:rsidTr="00660368">
        <w:trPr>
          <w:trHeight w:val="1134"/>
        </w:trPr>
        <w:tc>
          <w:tcPr>
            <w:tcW w:w="1761" w:type="dxa"/>
            <w:vAlign w:val="center"/>
          </w:tcPr>
          <w:p w:rsidR="00EE5B09" w:rsidRPr="00A63BD9" w:rsidRDefault="00EE5B09" w:rsidP="00D33978">
            <w:pPr>
              <w:spacing w:line="240" w:lineRule="auto"/>
              <w:jc w:val="center"/>
              <w:rPr>
                <w:rFonts w:eastAsia="Calibri" w:cstheme="minorHAnsi"/>
                <w:sz w:val="18"/>
                <w:szCs w:val="18"/>
              </w:rPr>
            </w:pPr>
            <w:r w:rsidRPr="00A63BD9">
              <w:rPr>
                <w:rFonts w:eastAsia="Calibri" w:cstheme="minorHAnsi"/>
                <w:sz w:val="18"/>
                <w:szCs w:val="18"/>
              </w:rPr>
              <w:t>4. Integracja i rozwój terytorialny WrOF</w:t>
            </w:r>
          </w:p>
        </w:tc>
        <w:tc>
          <w:tcPr>
            <w:tcW w:w="2088" w:type="dxa"/>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14. Przestrzeń publiczna</w:t>
            </w:r>
          </w:p>
        </w:tc>
        <w:tc>
          <w:tcPr>
            <w:tcW w:w="3699" w:type="dxa"/>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14.3</w:t>
            </w:r>
            <w:r w:rsidRPr="00A63BD9">
              <w:rPr>
                <w:rFonts w:eastAsia="Calibri" w:cstheme="minorHAnsi"/>
                <w:bCs/>
                <w:color w:val="000000" w:themeColor="text1"/>
                <w:sz w:val="18"/>
                <w:szCs w:val="18"/>
              </w:rPr>
              <w:t xml:space="preserve"> Poprawa dostępności usług publicznych</w:t>
            </w:r>
          </w:p>
        </w:tc>
        <w:tc>
          <w:tcPr>
            <w:tcW w:w="4308" w:type="dxa"/>
            <w:vAlign w:val="center"/>
          </w:tcPr>
          <w:p w:rsidR="00EE5B09" w:rsidRPr="00A63BD9" w:rsidRDefault="00EE5B09" w:rsidP="006B2B91">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Wiązka projektów 12: Poprawa dostępności usług publicznych, w szczególności poprzez budowę lub rozbudowę infrastruktury społecznej i edukacyjnej</w:t>
            </w:r>
          </w:p>
        </w:tc>
        <w:tc>
          <w:tcPr>
            <w:tcW w:w="1435" w:type="dxa"/>
            <w:shd w:val="clear" w:color="auto" w:fill="FFFFFF"/>
            <w:vAlign w:val="center"/>
          </w:tcPr>
          <w:p w:rsidR="00EE5B09" w:rsidRPr="00A63BD9" w:rsidRDefault="00EE5B09" w:rsidP="00D33978">
            <w:pPr>
              <w:spacing w:line="240" w:lineRule="auto"/>
              <w:jc w:val="center"/>
              <w:rPr>
                <w:rFonts w:ascii="Calibri" w:eastAsia="Calibri" w:hAnsi="Calibri" w:cs="Times New Roman"/>
                <w:bCs/>
                <w:noProof/>
                <w:sz w:val="20"/>
                <w:szCs w:val="20"/>
              </w:rPr>
            </w:pPr>
            <w:r w:rsidRPr="00A63BD9">
              <w:rPr>
                <w:rFonts w:ascii="Calibri" w:eastAsia="Calibri" w:hAnsi="Calibri" w:cs="Times New Roman"/>
                <w:bCs/>
                <w:noProof/>
                <w:sz w:val="20"/>
                <w:szCs w:val="20"/>
                <w:lang w:eastAsia="pl-PL"/>
              </w:rPr>
              <w:drawing>
                <wp:inline distT="0" distB="0" distL="0" distR="0" wp14:anchorId="7BBC76E3" wp14:editId="0829E1B2">
                  <wp:extent cx="359410" cy="359410"/>
                  <wp:effectExtent l="0" t="0" r="2540" b="0"/>
                  <wp:docPr id="11" name="Obraz 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903" w:type="dxa"/>
            <w:shd w:val="clear" w:color="auto" w:fill="F2F2F2"/>
            <w:vAlign w:val="center"/>
          </w:tcPr>
          <w:p w:rsidR="00EE5B09" w:rsidRPr="008C5B25" w:rsidRDefault="00EE5B09" w:rsidP="00D33978">
            <w:pPr>
              <w:spacing w:line="240" w:lineRule="auto"/>
              <w:jc w:val="center"/>
              <w:rPr>
                <w:rFonts w:eastAsia="Calibri" w:cstheme="minorHAnsi"/>
                <w:bCs/>
                <w:sz w:val="20"/>
                <w:szCs w:val="20"/>
                <w:highlight w:val="yellow"/>
              </w:rPr>
            </w:pPr>
            <w:r w:rsidRPr="00642550">
              <w:rPr>
                <w:rFonts w:eastAsia="Calibri" w:cstheme="minorHAnsi"/>
                <w:bCs/>
                <w:sz w:val="18"/>
                <w:szCs w:val="18"/>
              </w:rPr>
              <w:t>RSO5.1. Wspieranie zintegrowanego i sprzyjającego włączeniu społecznemu rozwoju społecznego, gospodarczego i środowiskowego, kultury, dziedzictwa naturalnego, zrównoważonej turystyki i bezpieczeństwa na obszarach miejskich</w:t>
            </w:r>
          </w:p>
        </w:tc>
      </w:tr>
      <w:tr w:rsidR="00EE5B09" w:rsidRPr="00A63BD9" w:rsidTr="00EE5B09">
        <w:trPr>
          <w:trHeight w:val="1318"/>
        </w:trPr>
        <w:tc>
          <w:tcPr>
            <w:tcW w:w="1761" w:type="dxa"/>
            <w:tcBorders>
              <w:bottom w:val="single" w:sz="4" w:space="0" w:color="000000" w:themeColor="text1"/>
            </w:tcBorders>
            <w:vAlign w:val="center"/>
          </w:tcPr>
          <w:p w:rsidR="00EE5B09" w:rsidRPr="00A63BD9" w:rsidRDefault="00EE5B09" w:rsidP="00EE5B09">
            <w:pPr>
              <w:spacing w:line="240" w:lineRule="auto"/>
              <w:jc w:val="center"/>
              <w:rPr>
                <w:rFonts w:eastAsia="Calibri" w:cstheme="minorHAnsi"/>
                <w:sz w:val="18"/>
                <w:szCs w:val="18"/>
              </w:rPr>
            </w:pPr>
            <w:r w:rsidRPr="00A63BD9">
              <w:rPr>
                <w:rFonts w:eastAsia="Calibri" w:cstheme="minorHAnsi"/>
                <w:sz w:val="18"/>
                <w:szCs w:val="18"/>
              </w:rPr>
              <w:t>4. Integracja i rozwój terytorialny WrOF</w:t>
            </w:r>
          </w:p>
        </w:tc>
        <w:tc>
          <w:tcPr>
            <w:tcW w:w="2088" w:type="dxa"/>
            <w:tcBorders>
              <w:bottom w:val="single" w:sz="4" w:space="0" w:color="000000" w:themeColor="text1"/>
            </w:tcBorders>
            <w:vAlign w:val="center"/>
          </w:tcPr>
          <w:p w:rsidR="00EE5B09" w:rsidRPr="00A63BD9" w:rsidRDefault="00EE5B09" w:rsidP="00D33978">
            <w:pPr>
              <w:spacing w:line="240" w:lineRule="auto"/>
              <w:jc w:val="center"/>
              <w:rPr>
                <w:rFonts w:eastAsia="Calibri" w:cstheme="minorHAnsi"/>
                <w:color w:val="000000" w:themeColor="text1"/>
                <w:sz w:val="18"/>
                <w:szCs w:val="18"/>
              </w:rPr>
            </w:pPr>
            <w:r w:rsidRPr="00A63BD9">
              <w:rPr>
                <w:rFonts w:eastAsia="Calibri" w:cstheme="minorHAnsi"/>
                <w:color w:val="000000" w:themeColor="text1"/>
                <w:sz w:val="18"/>
                <w:szCs w:val="18"/>
              </w:rPr>
              <w:t>15. Zintegrowane zarządzanie obszarem</w:t>
            </w:r>
          </w:p>
        </w:tc>
        <w:tc>
          <w:tcPr>
            <w:tcW w:w="3699" w:type="dxa"/>
            <w:tcBorders>
              <w:bottom w:val="single" w:sz="4" w:space="0" w:color="000000" w:themeColor="text1"/>
            </w:tcBorders>
            <w:vAlign w:val="center"/>
          </w:tcPr>
          <w:p w:rsidR="00EE5B09" w:rsidRPr="00A63BD9" w:rsidRDefault="00EE5B09" w:rsidP="00D33978">
            <w:pPr>
              <w:spacing w:line="240" w:lineRule="auto"/>
              <w:jc w:val="center"/>
              <w:rPr>
                <w:rFonts w:eastAsia="Calibri" w:cstheme="minorHAnsi"/>
                <w:bCs/>
                <w:color w:val="000000" w:themeColor="text1"/>
                <w:sz w:val="18"/>
                <w:szCs w:val="18"/>
              </w:rPr>
            </w:pPr>
            <w:r w:rsidRPr="00A63BD9">
              <w:rPr>
                <w:rFonts w:eastAsia="Calibri" w:cstheme="minorHAnsi"/>
                <w:bCs/>
                <w:color w:val="000000" w:themeColor="text1"/>
                <w:sz w:val="18"/>
                <w:szCs w:val="18"/>
              </w:rPr>
              <w:t>15.1</w:t>
            </w:r>
            <w:r w:rsidRPr="00A63BD9">
              <w:rPr>
                <w:rFonts w:eastAsia="Calibri" w:cstheme="minorHAnsi"/>
                <w:color w:val="000000" w:themeColor="text1"/>
                <w:sz w:val="18"/>
                <w:szCs w:val="18"/>
              </w:rPr>
              <w:t xml:space="preserve"> Wdrażanie instrumentu Zintegrowanych Inwestycji Terytorialnych </w:t>
            </w:r>
          </w:p>
        </w:tc>
        <w:tc>
          <w:tcPr>
            <w:tcW w:w="4308" w:type="dxa"/>
            <w:tcBorders>
              <w:bottom w:val="single" w:sz="4" w:space="0" w:color="000000" w:themeColor="text1"/>
            </w:tcBorders>
            <w:vAlign w:val="center"/>
          </w:tcPr>
          <w:p w:rsidR="00EE5B09" w:rsidRPr="00642550" w:rsidRDefault="00EE5B09" w:rsidP="00642550">
            <w:pPr>
              <w:spacing w:line="240" w:lineRule="auto"/>
              <w:jc w:val="center"/>
              <w:rPr>
                <w:rFonts w:eastAsia="Calibri" w:cstheme="minorHAnsi"/>
                <w:bCs/>
                <w:color w:val="000000" w:themeColor="text1"/>
                <w:sz w:val="18"/>
                <w:szCs w:val="18"/>
                <w:highlight w:val="yellow"/>
              </w:rPr>
            </w:pPr>
            <w:r w:rsidRPr="00642550">
              <w:rPr>
                <w:rFonts w:eastAsia="Calibri" w:cstheme="minorHAnsi"/>
                <w:bCs/>
                <w:color w:val="000000" w:themeColor="text1"/>
                <w:sz w:val="18"/>
                <w:szCs w:val="18"/>
              </w:rPr>
              <w:t xml:space="preserve">Wiązka projektów 13 : Przygotowanie i monitorowanie strategii ZIT kreowanie polityki rozwoju obszaru </w:t>
            </w:r>
          </w:p>
        </w:tc>
        <w:tc>
          <w:tcPr>
            <w:tcW w:w="1435" w:type="dxa"/>
            <w:tcBorders>
              <w:bottom w:val="single" w:sz="4" w:space="0" w:color="000000" w:themeColor="text1"/>
            </w:tcBorders>
            <w:shd w:val="clear" w:color="auto" w:fill="FFFFFF"/>
            <w:vAlign w:val="center"/>
          </w:tcPr>
          <w:p w:rsidR="00EE5B09" w:rsidRPr="00A63BD9" w:rsidRDefault="00EE5B09" w:rsidP="00EE5B09">
            <w:pPr>
              <w:spacing w:line="240" w:lineRule="auto"/>
              <w:jc w:val="center"/>
              <w:rPr>
                <w:rFonts w:ascii="Calibri" w:eastAsia="Calibri" w:hAnsi="Calibri" w:cs="Times New Roman"/>
                <w:b/>
                <w:bCs/>
                <w:sz w:val="20"/>
                <w:szCs w:val="20"/>
              </w:rPr>
            </w:pPr>
            <w:r w:rsidRPr="00A63BD9">
              <w:rPr>
                <w:rFonts w:ascii="Calibri" w:eastAsia="Calibri" w:hAnsi="Calibri" w:cs="Times New Roman"/>
                <w:bCs/>
                <w:noProof/>
                <w:sz w:val="20"/>
                <w:szCs w:val="20"/>
                <w:lang w:eastAsia="pl-PL"/>
              </w:rPr>
              <w:drawing>
                <wp:inline distT="0" distB="0" distL="0" distR="0" wp14:anchorId="49C42DA0" wp14:editId="0617234D">
                  <wp:extent cx="359410" cy="359410"/>
                  <wp:effectExtent l="0" t="0" r="2540" b="0"/>
                  <wp:docPr id="15" name="Obraz 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inline>
              </w:drawing>
            </w:r>
          </w:p>
        </w:tc>
        <w:tc>
          <w:tcPr>
            <w:tcW w:w="7903" w:type="dxa"/>
            <w:tcBorders>
              <w:bottom w:val="single" w:sz="4" w:space="0" w:color="000000" w:themeColor="text1"/>
            </w:tcBorders>
            <w:shd w:val="clear" w:color="auto" w:fill="F2F2F2"/>
          </w:tcPr>
          <w:p w:rsidR="00EE5B09" w:rsidRPr="008C5B25" w:rsidRDefault="00EE5B09" w:rsidP="00D33978">
            <w:pPr>
              <w:spacing w:line="240" w:lineRule="auto"/>
              <w:jc w:val="center"/>
              <w:rPr>
                <w:rFonts w:ascii="Calibri" w:eastAsia="Calibri" w:hAnsi="Calibri" w:cs="Times New Roman"/>
                <w:b/>
                <w:bCs/>
                <w:sz w:val="20"/>
                <w:szCs w:val="20"/>
                <w:highlight w:val="yellow"/>
              </w:rPr>
            </w:pPr>
            <w:r w:rsidRPr="00642550">
              <w:rPr>
                <w:rFonts w:eastAsia="Calibri" w:cstheme="minorHAnsi"/>
                <w:bCs/>
                <w:sz w:val="18"/>
                <w:szCs w:val="18"/>
              </w:rPr>
              <w:t>RSO5.1. Wspieranie zintegrowanego i sprzyjającego włączeniu społecznemu rozwoju społecznego, gospodarczego i środowiskowego, kultury, dziedzictwa naturalnego, zrównoważonej turystyki i bezpieczeństwa na obszarach miejskich</w:t>
            </w:r>
            <w:r>
              <w:rPr>
                <w:rFonts w:eastAsia="Calibri" w:cstheme="minorHAnsi"/>
                <w:bCs/>
                <w:sz w:val="18"/>
                <w:szCs w:val="18"/>
              </w:rPr>
              <w:t xml:space="preserve"> </w:t>
            </w:r>
            <w:r>
              <w:rPr>
                <w:rFonts w:eastAsia="Calibri" w:cstheme="minorHAnsi"/>
                <w:bCs/>
                <w:sz w:val="18"/>
                <w:szCs w:val="18"/>
              </w:rPr>
              <w:br/>
              <w:t>oraz</w:t>
            </w:r>
          </w:p>
          <w:p w:rsidR="00EE5B09" w:rsidRPr="008C5B25" w:rsidRDefault="00EE5B09" w:rsidP="00D33978">
            <w:pPr>
              <w:spacing w:line="240" w:lineRule="auto"/>
              <w:jc w:val="center"/>
              <w:rPr>
                <w:rFonts w:ascii="Calibri" w:eastAsia="Calibri" w:hAnsi="Calibri" w:cs="Times New Roman"/>
                <w:b/>
                <w:bCs/>
                <w:sz w:val="20"/>
                <w:szCs w:val="20"/>
                <w:highlight w:val="yellow"/>
              </w:rPr>
            </w:pPr>
            <w:r w:rsidRPr="00642550">
              <w:rPr>
                <w:rFonts w:ascii="Calibri" w:eastAsia="Calibri" w:hAnsi="Calibri" w:cs="Times New Roman"/>
                <w:bCs/>
                <w:sz w:val="18"/>
                <w:szCs w:val="18"/>
              </w:rPr>
              <w:t>2.2.1. Priorytet pomocy technicznej na podstawie art. 36 ust. 4 rozporządzenia w sprawie wspólnych przepisów: 11. Pomoc Techniczna EFS+</w:t>
            </w:r>
          </w:p>
        </w:tc>
      </w:tr>
    </w:tbl>
    <w:p w:rsidR="002E3461" w:rsidRDefault="002E3461" w:rsidP="00C16BD5"/>
    <w:tbl>
      <w:tblPr>
        <w:tblStyle w:val="Tabela-Siatka"/>
        <w:tblW w:w="211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Strategia ZIT WrOF 2021-2027 a FEnIKS 2021-2027"/>
        <w:tblDescription w:val="Strategia ZIT WrOF 2021-2027 a FEnIKS 2021-2027"/>
      </w:tblPr>
      <w:tblGrid>
        <w:gridCol w:w="13292"/>
        <w:gridCol w:w="7902"/>
      </w:tblGrid>
      <w:tr w:rsidR="00E71A8E" w:rsidRPr="00BD0CA1" w:rsidTr="00EE5B09">
        <w:trPr>
          <w:trHeight w:val="680"/>
          <w:tblHeader/>
        </w:trPr>
        <w:tc>
          <w:tcPr>
            <w:tcW w:w="13292" w:type="dxa"/>
            <w:shd w:val="clear" w:color="auto" w:fill="B1D4E9"/>
            <w:vAlign w:val="center"/>
          </w:tcPr>
          <w:p w:rsidR="00E71A8E" w:rsidRPr="00BD0CA1" w:rsidRDefault="00E71A8E" w:rsidP="00D33978">
            <w:pPr>
              <w:spacing w:line="240" w:lineRule="auto"/>
              <w:jc w:val="center"/>
              <w:rPr>
                <w:rFonts w:ascii="Calibri" w:eastAsia="Calibri" w:hAnsi="Calibri" w:cs="Times New Roman"/>
                <w:b/>
                <w:bCs/>
                <w:sz w:val="28"/>
                <w:szCs w:val="24"/>
              </w:rPr>
            </w:pPr>
            <w:r w:rsidRPr="00BD0CA1">
              <w:rPr>
                <w:rFonts w:ascii="Calibri" w:eastAsia="Calibri" w:hAnsi="Calibri" w:cs="Calibri"/>
                <w:b/>
                <w:bCs/>
                <w:color w:val="276E8B"/>
                <w:sz w:val="28"/>
              </w:rPr>
              <w:t>Strategia ZIT WrOF 2021-2027</w:t>
            </w:r>
          </w:p>
        </w:tc>
        <w:tc>
          <w:tcPr>
            <w:tcW w:w="7902" w:type="dxa"/>
            <w:shd w:val="clear" w:color="auto" w:fill="D9D9D9" w:themeFill="background1" w:themeFillShade="D9"/>
            <w:vAlign w:val="center"/>
          </w:tcPr>
          <w:p w:rsidR="00E71A8E" w:rsidRPr="00BA1B64" w:rsidRDefault="00571FC6" w:rsidP="00364D77">
            <w:pPr>
              <w:spacing w:line="240" w:lineRule="auto"/>
              <w:jc w:val="center"/>
              <w:rPr>
                <w:rFonts w:ascii="Calibri" w:eastAsia="Calibri" w:hAnsi="Calibri" w:cs="Calibri"/>
                <w:b/>
                <w:bCs/>
                <w:color w:val="276E8B"/>
                <w:sz w:val="28"/>
              </w:rPr>
            </w:pPr>
            <w:proofErr w:type="spellStart"/>
            <w:r>
              <w:rPr>
                <w:rFonts w:ascii="Calibri" w:eastAsia="Calibri" w:hAnsi="Calibri" w:cs="Calibri"/>
                <w:b/>
                <w:bCs/>
                <w:color w:val="276E8B"/>
                <w:sz w:val="28"/>
              </w:rPr>
              <w:t>FEnIKS</w:t>
            </w:r>
            <w:proofErr w:type="spellEnd"/>
            <w:r>
              <w:rPr>
                <w:rFonts w:ascii="Calibri" w:eastAsia="Calibri" w:hAnsi="Calibri" w:cs="Calibri"/>
                <w:b/>
                <w:bCs/>
                <w:color w:val="276E8B"/>
                <w:sz w:val="28"/>
              </w:rPr>
              <w:t xml:space="preserve"> 2021-2027</w:t>
            </w:r>
          </w:p>
        </w:tc>
      </w:tr>
    </w:tbl>
    <w:p w:rsidR="00EE5B09" w:rsidRPr="00F162E5" w:rsidRDefault="00EE5B09">
      <w:pPr>
        <w:rPr>
          <w:sz w:val="6"/>
        </w:rPr>
      </w:pPr>
    </w:p>
    <w:tbl>
      <w:tblPr>
        <w:tblStyle w:val="Tabela-Siatka"/>
        <w:tblW w:w="211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Strategia ZIT WrOF 2021-2027 a FEnIKS 2021-2027"/>
        <w:tblDescription w:val="Poszczególne wiązki projekty zintegrowane i komplementarne, w odniesieniu do schematu interwencji strategicznej niniejszego dokumentu. Wskazano cele oraz kierunki działania wraz z przyporządkowaniem do nich projektów zintegrowanych"/>
      </w:tblPr>
      <w:tblGrid>
        <w:gridCol w:w="1818"/>
        <w:gridCol w:w="2031"/>
        <w:gridCol w:w="3768"/>
        <w:gridCol w:w="4398"/>
        <w:gridCol w:w="1277"/>
        <w:gridCol w:w="7902"/>
      </w:tblGrid>
      <w:tr w:rsidR="00E71A8E" w:rsidRPr="00BD0CA1" w:rsidTr="00F162E5">
        <w:trPr>
          <w:trHeight w:val="680"/>
          <w:tblHeader/>
        </w:trPr>
        <w:tc>
          <w:tcPr>
            <w:tcW w:w="1818" w:type="dxa"/>
            <w:shd w:val="clear" w:color="auto" w:fill="E8F2F8"/>
            <w:vAlign w:val="center"/>
          </w:tcPr>
          <w:p w:rsidR="00E71A8E" w:rsidRPr="00BD0CA1" w:rsidRDefault="00E71A8E" w:rsidP="00D33978">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Cel strategiczny</w:t>
            </w:r>
          </w:p>
        </w:tc>
        <w:tc>
          <w:tcPr>
            <w:tcW w:w="2031" w:type="dxa"/>
            <w:shd w:val="clear" w:color="auto" w:fill="E8F2F8"/>
            <w:vAlign w:val="center"/>
          </w:tcPr>
          <w:p w:rsidR="00E71A8E" w:rsidRPr="00BD0CA1" w:rsidRDefault="00E71A8E" w:rsidP="00D33978">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 xml:space="preserve">Priorytet </w:t>
            </w:r>
          </w:p>
        </w:tc>
        <w:tc>
          <w:tcPr>
            <w:tcW w:w="3768" w:type="dxa"/>
            <w:shd w:val="clear" w:color="auto" w:fill="E8F2F8"/>
            <w:vAlign w:val="center"/>
          </w:tcPr>
          <w:p w:rsidR="00E71A8E" w:rsidRPr="00BD0CA1" w:rsidRDefault="00E71A8E" w:rsidP="00D33978">
            <w:pPr>
              <w:spacing w:line="240" w:lineRule="auto"/>
              <w:jc w:val="center"/>
              <w:rPr>
                <w:rFonts w:ascii="Calibri" w:eastAsia="Calibri" w:hAnsi="Calibri" w:cs="Times New Roman"/>
                <w:b/>
                <w:bCs/>
                <w:sz w:val="20"/>
                <w:szCs w:val="20"/>
              </w:rPr>
            </w:pPr>
            <w:r w:rsidRPr="00BD0CA1">
              <w:rPr>
                <w:rFonts w:ascii="Calibri" w:eastAsia="Calibri" w:hAnsi="Calibri" w:cs="Times New Roman"/>
                <w:b/>
                <w:bCs/>
                <w:sz w:val="20"/>
                <w:szCs w:val="20"/>
              </w:rPr>
              <w:t>Kierunek działania</w:t>
            </w:r>
          </w:p>
        </w:tc>
        <w:tc>
          <w:tcPr>
            <w:tcW w:w="4398" w:type="dxa"/>
            <w:shd w:val="clear" w:color="auto" w:fill="E8F2F8"/>
            <w:vAlign w:val="center"/>
          </w:tcPr>
          <w:p w:rsidR="00E71A8E" w:rsidRPr="00BD0CA1" w:rsidRDefault="00E71A8E" w:rsidP="00291486">
            <w:pPr>
              <w:spacing w:line="240" w:lineRule="auto"/>
              <w:jc w:val="center"/>
              <w:rPr>
                <w:rFonts w:ascii="Calibri" w:eastAsia="Calibri" w:hAnsi="Calibri" w:cs="Arial"/>
                <w:b/>
                <w:bCs/>
                <w:sz w:val="20"/>
                <w:szCs w:val="20"/>
              </w:rPr>
            </w:pPr>
            <w:r w:rsidRPr="00BD0CA1">
              <w:rPr>
                <w:rFonts w:ascii="Calibri" w:eastAsia="Calibri" w:hAnsi="Calibri" w:cs="Times New Roman"/>
                <w:b/>
                <w:bCs/>
                <w:sz w:val="20"/>
                <w:szCs w:val="20"/>
              </w:rPr>
              <w:t>Wiązka projektów</w:t>
            </w:r>
          </w:p>
        </w:tc>
        <w:tc>
          <w:tcPr>
            <w:tcW w:w="1277" w:type="dxa"/>
            <w:shd w:val="clear" w:color="auto" w:fill="E8F2F8"/>
            <w:vAlign w:val="center"/>
          </w:tcPr>
          <w:p w:rsidR="00E71A8E" w:rsidRPr="00BD0CA1" w:rsidRDefault="00405DA1" w:rsidP="00D33978">
            <w:pPr>
              <w:spacing w:line="240" w:lineRule="auto"/>
              <w:jc w:val="center"/>
              <w:rPr>
                <w:rFonts w:ascii="Calibri" w:eastAsia="Calibri" w:hAnsi="Calibri" w:cs="Arial"/>
                <w:b/>
                <w:bCs/>
                <w:sz w:val="20"/>
                <w:szCs w:val="20"/>
              </w:rPr>
            </w:pPr>
            <w:r w:rsidRPr="00D74575">
              <w:rPr>
                <w:rFonts w:ascii="Calibri" w:eastAsia="Calibri" w:hAnsi="Calibri" w:cs="Times New Roman"/>
                <w:noProof/>
                <w:lang w:eastAsia="pl-PL"/>
              </w:rPr>
              <w:drawing>
                <wp:inline distT="0" distB="0" distL="0" distR="0" wp14:anchorId="40B20216" wp14:editId="0806D9EA">
                  <wp:extent cx="360000" cy="360000"/>
                  <wp:effectExtent l="0" t="0" r="2540" b="0"/>
                  <wp:docPr id="88" name="Obraz 31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2" w:type="dxa"/>
            <w:shd w:val="clear" w:color="auto" w:fill="F2F2F2" w:themeFill="background1" w:themeFillShade="F2"/>
            <w:vAlign w:val="center"/>
          </w:tcPr>
          <w:p w:rsidR="00E71A8E" w:rsidRPr="00BA1B64" w:rsidRDefault="00E71A8E" w:rsidP="00D33978">
            <w:pPr>
              <w:spacing w:line="240" w:lineRule="auto"/>
              <w:jc w:val="center"/>
              <w:rPr>
                <w:rFonts w:ascii="Calibri" w:eastAsia="Calibri" w:hAnsi="Calibri" w:cs="Arial"/>
                <w:b/>
                <w:bCs/>
                <w:sz w:val="20"/>
                <w:szCs w:val="20"/>
              </w:rPr>
            </w:pPr>
            <w:r w:rsidRPr="00BD0CA1">
              <w:rPr>
                <w:rFonts w:ascii="Calibri" w:eastAsia="Calibri" w:hAnsi="Calibri" w:cs="Arial"/>
                <w:b/>
                <w:bCs/>
                <w:sz w:val="20"/>
                <w:szCs w:val="20"/>
              </w:rPr>
              <w:t>Cel szczegółowy</w:t>
            </w:r>
          </w:p>
        </w:tc>
      </w:tr>
      <w:tr w:rsidR="0063782F" w:rsidRPr="00BD0CA1" w:rsidTr="00EE5B09">
        <w:trPr>
          <w:trHeight w:val="1325"/>
        </w:trPr>
        <w:tc>
          <w:tcPr>
            <w:tcW w:w="1818" w:type="dxa"/>
            <w:vAlign w:val="center"/>
          </w:tcPr>
          <w:p w:rsidR="0063782F" w:rsidRPr="00362096" w:rsidRDefault="0063782F" w:rsidP="00DA3F24">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3. Ochrona środowiska naturalnego </w:t>
            </w:r>
            <w:r>
              <w:rPr>
                <w:rFonts w:eastAsia="Calibri" w:cs="Times New Roman"/>
                <w:bCs/>
                <w:color w:val="000000" w:themeColor="text1"/>
                <w:sz w:val="20"/>
                <w:szCs w:val="20"/>
              </w:rPr>
              <w:br/>
            </w:r>
            <w:r w:rsidRPr="00362096">
              <w:rPr>
                <w:rFonts w:eastAsia="Calibri" w:cs="Times New Roman"/>
                <w:bCs/>
                <w:color w:val="000000" w:themeColor="text1"/>
                <w:sz w:val="20"/>
                <w:szCs w:val="20"/>
              </w:rPr>
              <w:t>i adaptacja WrOF do zmian klimatu</w:t>
            </w:r>
          </w:p>
        </w:tc>
        <w:tc>
          <w:tcPr>
            <w:tcW w:w="2031" w:type="dxa"/>
            <w:vAlign w:val="center"/>
          </w:tcPr>
          <w:p w:rsidR="0063782F" w:rsidRPr="00362096" w:rsidRDefault="0063782F" w:rsidP="00D33978">
            <w:pPr>
              <w:spacing w:line="240" w:lineRule="auto"/>
              <w:jc w:val="center"/>
              <w:rPr>
                <w:rFonts w:eastAsia="Calibri" w:cs="Times New Roman"/>
                <w:color w:val="000000" w:themeColor="text1"/>
                <w:sz w:val="20"/>
                <w:szCs w:val="20"/>
              </w:rPr>
            </w:pPr>
            <w:r w:rsidRPr="00362096">
              <w:rPr>
                <w:rFonts w:eastAsia="Calibri" w:cs="Times New Roman"/>
                <w:color w:val="000000" w:themeColor="text1"/>
                <w:sz w:val="20"/>
                <w:szCs w:val="20"/>
              </w:rPr>
              <w:t>13. Zrównoważona mobilność</w:t>
            </w:r>
          </w:p>
        </w:tc>
        <w:tc>
          <w:tcPr>
            <w:tcW w:w="3768" w:type="dxa"/>
            <w:vAlign w:val="center"/>
          </w:tcPr>
          <w:p w:rsidR="0063782F" w:rsidRPr="00362096" w:rsidRDefault="0063782F" w:rsidP="00D33978">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13.1 </w:t>
            </w:r>
            <w:r w:rsidRPr="00362096">
              <w:rPr>
                <w:rFonts w:eastAsia="Calibri" w:cs="Times New Roman"/>
                <w:color w:val="000000" w:themeColor="text1"/>
                <w:sz w:val="20"/>
                <w:szCs w:val="20"/>
              </w:rPr>
              <w:t>Zwiększenie konkurencyjności transportu zbiorowego i niskoemisyjnych form przemieszczania się</w:t>
            </w:r>
          </w:p>
        </w:tc>
        <w:tc>
          <w:tcPr>
            <w:tcW w:w="4398" w:type="dxa"/>
            <w:vAlign w:val="center"/>
          </w:tcPr>
          <w:p w:rsidR="0063782F" w:rsidRDefault="0063782F" w:rsidP="00DA3F24">
            <w:pPr>
              <w:spacing w:line="240" w:lineRule="auto"/>
              <w:jc w:val="center"/>
              <w:rPr>
                <w:rFonts w:ascii="Calibri" w:eastAsia="Calibri" w:hAnsi="Calibri" w:cs="Times New Roman"/>
                <w:color w:val="000000" w:themeColor="text1"/>
                <w:sz w:val="18"/>
                <w:szCs w:val="18"/>
              </w:rPr>
            </w:pPr>
            <w:r>
              <w:rPr>
                <w:rFonts w:ascii="Calibri" w:eastAsia="Calibri" w:hAnsi="Calibri" w:cs="Times New Roman"/>
                <w:bCs/>
                <w:color w:val="000000" w:themeColor="text1"/>
                <w:sz w:val="18"/>
                <w:szCs w:val="18"/>
              </w:rPr>
              <w:t xml:space="preserve">Wiązka projektów 1: Poprawa jakości powietrza </w:t>
            </w:r>
            <w:r>
              <w:rPr>
                <w:rFonts w:ascii="Calibri" w:eastAsia="Calibri" w:hAnsi="Calibri" w:cs="Times New Roman"/>
                <w:bCs/>
                <w:color w:val="000000" w:themeColor="text1"/>
                <w:sz w:val="18"/>
                <w:szCs w:val="18"/>
              </w:rPr>
              <w:br/>
              <w:t xml:space="preserve">we Wrocławskim Obszarze Funkcjonalnym </w:t>
            </w:r>
            <w:r>
              <w:rPr>
                <w:rFonts w:ascii="Calibri" w:eastAsia="Calibri" w:hAnsi="Calibri" w:cs="Times New Roman"/>
                <w:bCs/>
                <w:color w:val="000000" w:themeColor="text1"/>
                <w:sz w:val="18"/>
                <w:szCs w:val="18"/>
              </w:rPr>
              <w:br/>
              <w:t>poprzez zakup taboru szynowego i autobusowego</w:t>
            </w:r>
          </w:p>
        </w:tc>
        <w:tc>
          <w:tcPr>
            <w:tcW w:w="1277" w:type="dxa"/>
            <w:shd w:val="clear" w:color="auto" w:fill="FFFFFF"/>
            <w:vAlign w:val="center"/>
          </w:tcPr>
          <w:p w:rsidR="0063782F" w:rsidRPr="00BD0CA1" w:rsidRDefault="007555B2" w:rsidP="00D33978">
            <w:pPr>
              <w:spacing w:line="240" w:lineRule="auto"/>
              <w:jc w:val="center"/>
              <w:rPr>
                <w:rFonts w:ascii="Calibri" w:eastAsia="Calibri" w:hAnsi="Calibri" w:cs="Times New Roman"/>
                <w:bCs/>
                <w:sz w:val="20"/>
                <w:szCs w:val="20"/>
              </w:rPr>
            </w:pPr>
            <w:r w:rsidRPr="00D74575">
              <w:rPr>
                <w:rFonts w:ascii="Calibri" w:eastAsia="Calibri" w:hAnsi="Calibri" w:cs="Times New Roman"/>
                <w:noProof/>
                <w:lang w:eastAsia="pl-PL"/>
              </w:rPr>
              <w:drawing>
                <wp:inline distT="0" distB="0" distL="0" distR="0" wp14:anchorId="09E2AA45" wp14:editId="57AADEC0">
                  <wp:extent cx="360000" cy="360000"/>
                  <wp:effectExtent l="0" t="0" r="2540" b="0"/>
                  <wp:docPr id="16" name="Obraz 31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2" w:type="dxa"/>
            <w:shd w:val="clear" w:color="auto" w:fill="F2F2F2" w:themeFill="background1" w:themeFillShade="F2"/>
            <w:vAlign w:val="center"/>
          </w:tcPr>
          <w:p w:rsidR="0063782F" w:rsidRDefault="0063782F" w:rsidP="00D33978">
            <w:pPr>
              <w:spacing w:line="240" w:lineRule="auto"/>
              <w:jc w:val="center"/>
              <w:rPr>
                <w:rFonts w:ascii="Calibri" w:eastAsia="Calibri" w:hAnsi="Calibri" w:cs="Times New Roman"/>
                <w:sz w:val="20"/>
                <w:szCs w:val="20"/>
              </w:rPr>
            </w:pPr>
            <w:r w:rsidRPr="00E71A8E">
              <w:rPr>
                <w:rFonts w:ascii="Calibri" w:eastAsia="Calibri" w:hAnsi="Calibri" w:cs="Times New Roman"/>
                <w:bCs/>
                <w:sz w:val="20"/>
                <w:szCs w:val="20"/>
              </w:rPr>
              <w:t xml:space="preserve">2.8 Wspieranie zrównoważonej multimodalnej mobilności miejskiej jako elementu transformacji w kierunku gospodarki </w:t>
            </w:r>
            <w:proofErr w:type="spellStart"/>
            <w:r w:rsidRPr="00E71A8E">
              <w:rPr>
                <w:rFonts w:ascii="Calibri" w:eastAsia="Calibri" w:hAnsi="Calibri" w:cs="Times New Roman"/>
                <w:bCs/>
                <w:sz w:val="20"/>
                <w:szCs w:val="20"/>
              </w:rPr>
              <w:t>zeroemisyjnej</w:t>
            </w:r>
            <w:proofErr w:type="spellEnd"/>
          </w:p>
        </w:tc>
      </w:tr>
      <w:tr w:rsidR="0063782F" w:rsidRPr="00BD0CA1" w:rsidTr="00F162E5">
        <w:trPr>
          <w:trHeight w:val="520"/>
        </w:trPr>
        <w:tc>
          <w:tcPr>
            <w:tcW w:w="1818"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3. Ochrona środowiska naturalnego </w:t>
            </w:r>
            <w:r>
              <w:rPr>
                <w:rFonts w:eastAsia="Calibri" w:cs="Times New Roman"/>
                <w:bCs/>
                <w:color w:val="000000" w:themeColor="text1"/>
                <w:sz w:val="20"/>
                <w:szCs w:val="20"/>
              </w:rPr>
              <w:br/>
            </w:r>
            <w:r w:rsidRPr="00362096">
              <w:rPr>
                <w:rFonts w:eastAsia="Calibri" w:cs="Times New Roman"/>
                <w:bCs/>
                <w:color w:val="000000" w:themeColor="text1"/>
                <w:sz w:val="20"/>
                <w:szCs w:val="20"/>
              </w:rPr>
              <w:t>i adaptacja WrOF do zmian klimatu</w:t>
            </w:r>
          </w:p>
        </w:tc>
        <w:tc>
          <w:tcPr>
            <w:tcW w:w="2031"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color w:val="000000" w:themeColor="text1"/>
                <w:sz w:val="20"/>
                <w:szCs w:val="20"/>
              </w:rPr>
              <w:t>13. Zrównoważona mobilność</w:t>
            </w:r>
          </w:p>
        </w:tc>
        <w:tc>
          <w:tcPr>
            <w:tcW w:w="3768" w:type="dxa"/>
            <w:vAlign w:val="center"/>
          </w:tcPr>
          <w:p w:rsidR="0063782F" w:rsidRPr="00362096" w:rsidRDefault="007555B2" w:rsidP="00D33978">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13.1 </w:t>
            </w:r>
            <w:r w:rsidRPr="00362096">
              <w:rPr>
                <w:rFonts w:eastAsia="Calibri" w:cs="Times New Roman"/>
                <w:color w:val="000000" w:themeColor="text1"/>
                <w:sz w:val="20"/>
                <w:szCs w:val="20"/>
              </w:rPr>
              <w:t>Zwiększenie konkurencyjności transportu zbiorowego i niskoemisyjnych form przemieszczania się</w:t>
            </w:r>
          </w:p>
        </w:tc>
        <w:tc>
          <w:tcPr>
            <w:tcW w:w="4398" w:type="dxa"/>
            <w:vAlign w:val="center"/>
          </w:tcPr>
          <w:p w:rsidR="0063782F" w:rsidRPr="00B263C2" w:rsidRDefault="0063782F" w:rsidP="00DA3F24">
            <w:pPr>
              <w:spacing w:line="240" w:lineRule="auto"/>
              <w:jc w:val="center"/>
              <w:rPr>
                <w:rFonts w:ascii="Calibri" w:eastAsia="Calibri" w:hAnsi="Calibri" w:cs="Times New Roman"/>
                <w:sz w:val="18"/>
                <w:szCs w:val="18"/>
              </w:rPr>
            </w:pPr>
            <w:r w:rsidRPr="00B263C2">
              <w:rPr>
                <w:rFonts w:ascii="Calibri" w:eastAsia="Calibri" w:hAnsi="Calibri" w:cs="Times New Roman"/>
                <w:bCs/>
                <w:sz w:val="18"/>
                <w:szCs w:val="18"/>
              </w:rPr>
              <w:t xml:space="preserve">Wiązka projektów 3: Rozwój zrównoważonego systemu transportowego na terenie Wrocławskiego Obszaru Funkcjonalnego poprzez budowę, rozbudowę </w:t>
            </w:r>
            <w:r w:rsidR="009B01F5">
              <w:rPr>
                <w:rFonts w:ascii="Calibri" w:eastAsia="Calibri" w:hAnsi="Calibri" w:cs="Times New Roman"/>
                <w:bCs/>
                <w:sz w:val="18"/>
                <w:szCs w:val="18"/>
              </w:rPr>
              <w:br/>
            </w:r>
            <w:r w:rsidRPr="00B263C2">
              <w:rPr>
                <w:rFonts w:ascii="Calibri" w:eastAsia="Calibri" w:hAnsi="Calibri" w:cs="Times New Roman"/>
                <w:bCs/>
                <w:sz w:val="18"/>
                <w:szCs w:val="18"/>
              </w:rPr>
              <w:t xml:space="preserve">i przebudowę infrastruktury </w:t>
            </w:r>
            <w:r w:rsidR="008C5B25">
              <w:rPr>
                <w:rFonts w:ascii="Calibri" w:eastAsia="Calibri" w:hAnsi="Calibri" w:cs="Times New Roman"/>
                <w:bCs/>
                <w:sz w:val="18"/>
                <w:szCs w:val="18"/>
              </w:rPr>
              <w:t xml:space="preserve">transportowej </w:t>
            </w:r>
            <w:r w:rsidRPr="00B263C2">
              <w:rPr>
                <w:rFonts w:ascii="Calibri" w:eastAsia="Calibri" w:hAnsi="Calibri" w:cs="Times New Roman"/>
                <w:bCs/>
                <w:sz w:val="18"/>
                <w:szCs w:val="18"/>
              </w:rPr>
              <w:t>oraz rozwój zintegrowanego systemu zarządzania ruchem ITS</w:t>
            </w:r>
          </w:p>
        </w:tc>
        <w:tc>
          <w:tcPr>
            <w:tcW w:w="1277" w:type="dxa"/>
            <w:shd w:val="clear" w:color="auto" w:fill="FFFFFF"/>
            <w:vAlign w:val="center"/>
          </w:tcPr>
          <w:p w:rsidR="0063782F" w:rsidRPr="00BD0CA1" w:rsidRDefault="007555B2" w:rsidP="00F162E5">
            <w:pPr>
              <w:spacing w:line="240" w:lineRule="auto"/>
              <w:jc w:val="center"/>
              <w:rPr>
                <w:rFonts w:ascii="Calibri" w:eastAsia="Calibri" w:hAnsi="Calibri" w:cs="Times New Roman"/>
              </w:rPr>
            </w:pPr>
            <w:r w:rsidRPr="00D74575">
              <w:rPr>
                <w:rFonts w:ascii="Calibri" w:eastAsia="Calibri" w:hAnsi="Calibri" w:cs="Times New Roman"/>
                <w:noProof/>
                <w:lang w:eastAsia="pl-PL"/>
              </w:rPr>
              <w:drawing>
                <wp:inline distT="0" distB="0" distL="0" distR="0" wp14:anchorId="513042BE" wp14:editId="437D4871">
                  <wp:extent cx="360000" cy="360000"/>
                  <wp:effectExtent l="0" t="0" r="2540" b="0"/>
                  <wp:docPr id="17" name="Obraz 31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2" w:type="dxa"/>
            <w:shd w:val="clear" w:color="auto" w:fill="F2F2F2" w:themeFill="background1" w:themeFillShade="F2"/>
            <w:vAlign w:val="center"/>
          </w:tcPr>
          <w:p w:rsidR="0063782F" w:rsidRPr="00BD0CA1" w:rsidRDefault="007555B2" w:rsidP="00D33978">
            <w:pPr>
              <w:spacing w:line="240" w:lineRule="auto"/>
              <w:jc w:val="center"/>
              <w:rPr>
                <w:rFonts w:ascii="Calibri" w:eastAsia="Calibri" w:hAnsi="Calibri" w:cs="Times New Roman"/>
              </w:rPr>
            </w:pPr>
            <w:r w:rsidRPr="00E71A8E">
              <w:rPr>
                <w:rFonts w:ascii="Calibri" w:eastAsia="Calibri" w:hAnsi="Calibri" w:cs="Times New Roman"/>
                <w:bCs/>
                <w:sz w:val="20"/>
                <w:szCs w:val="20"/>
              </w:rPr>
              <w:t xml:space="preserve">2.8 Wspieranie zrównoważonej multimodalnej mobilności miejskiej jako elementu transformacji w kierunku gospodarki </w:t>
            </w:r>
            <w:proofErr w:type="spellStart"/>
            <w:r w:rsidRPr="00E71A8E">
              <w:rPr>
                <w:rFonts w:ascii="Calibri" w:eastAsia="Calibri" w:hAnsi="Calibri" w:cs="Times New Roman"/>
                <w:bCs/>
                <w:sz w:val="20"/>
                <w:szCs w:val="20"/>
              </w:rPr>
              <w:t>zeroemisyjnej</w:t>
            </w:r>
            <w:proofErr w:type="spellEnd"/>
          </w:p>
        </w:tc>
      </w:tr>
      <w:tr w:rsidR="0063782F" w:rsidRPr="00BD0CA1" w:rsidTr="00F162E5">
        <w:trPr>
          <w:trHeight w:val="519"/>
        </w:trPr>
        <w:tc>
          <w:tcPr>
            <w:tcW w:w="1818"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3. Ochrona środowiska naturalnego </w:t>
            </w:r>
            <w:r>
              <w:rPr>
                <w:rFonts w:eastAsia="Calibri" w:cs="Times New Roman"/>
                <w:bCs/>
                <w:color w:val="000000" w:themeColor="text1"/>
                <w:sz w:val="20"/>
                <w:szCs w:val="20"/>
              </w:rPr>
              <w:br/>
            </w:r>
            <w:r w:rsidRPr="00362096">
              <w:rPr>
                <w:rFonts w:eastAsia="Calibri" w:cs="Times New Roman"/>
                <w:bCs/>
                <w:color w:val="000000" w:themeColor="text1"/>
                <w:sz w:val="20"/>
                <w:szCs w:val="20"/>
              </w:rPr>
              <w:t>i adaptacja WrOF do zmian klimatu</w:t>
            </w:r>
          </w:p>
        </w:tc>
        <w:tc>
          <w:tcPr>
            <w:tcW w:w="2031"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color w:val="000000" w:themeColor="text1"/>
                <w:sz w:val="20"/>
                <w:szCs w:val="20"/>
              </w:rPr>
              <w:t>13. Zrównoważona mobilność</w:t>
            </w:r>
          </w:p>
        </w:tc>
        <w:tc>
          <w:tcPr>
            <w:tcW w:w="3768" w:type="dxa"/>
            <w:vAlign w:val="center"/>
          </w:tcPr>
          <w:p w:rsidR="0063782F" w:rsidRPr="00362096" w:rsidRDefault="0063782F" w:rsidP="00D33978">
            <w:pPr>
              <w:spacing w:line="240" w:lineRule="auto"/>
              <w:jc w:val="center"/>
              <w:rPr>
                <w:rFonts w:eastAsia="Calibri" w:cs="Times New Roman"/>
                <w:color w:val="000000" w:themeColor="text1"/>
                <w:sz w:val="20"/>
                <w:szCs w:val="20"/>
              </w:rPr>
            </w:pPr>
            <w:r w:rsidRPr="00ED63D5">
              <w:rPr>
                <w:rFonts w:eastAsia="Calibri" w:cstheme="minorHAnsi"/>
                <w:bCs/>
                <w:color w:val="000000" w:themeColor="text1"/>
                <w:sz w:val="20"/>
                <w:szCs w:val="20"/>
              </w:rPr>
              <w:t>13.2 Rozwój infrastruktury i działań wspierających osiągnięcie zrównoważonej mobilności</w:t>
            </w:r>
          </w:p>
        </w:tc>
        <w:tc>
          <w:tcPr>
            <w:tcW w:w="4398" w:type="dxa"/>
            <w:vAlign w:val="center"/>
          </w:tcPr>
          <w:p w:rsidR="0063782F" w:rsidRPr="00B263C2" w:rsidRDefault="007555B2" w:rsidP="00DA3F24">
            <w:pPr>
              <w:spacing w:line="240" w:lineRule="auto"/>
              <w:jc w:val="center"/>
              <w:rPr>
                <w:rFonts w:ascii="Calibri" w:eastAsia="Calibri" w:hAnsi="Calibri" w:cs="Times New Roman"/>
                <w:bCs/>
                <w:sz w:val="18"/>
                <w:szCs w:val="18"/>
              </w:rPr>
            </w:pPr>
            <w:r w:rsidRPr="00B263C2">
              <w:rPr>
                <w:rFonts w:ascii="Calibri" w:eastAsia="Calibri" w:hAnsi="Calibri" w:cs="Times New Roman"/>
                <w:bCs/>
                <w:sz w:val="18"/>
                <w:szCs w:val="18"/>
              </w:rPr>
              <w:t xml:space="preserve">Wiązka projektów 3: Rozwój zrównoważonego systemu transportowego na terenie Wrocławskiego Obszaru Funkcjonalnego poprzez budowę, rozbudowę </w:t>
            </w:r>
            <w:r>
              <w:rPr>
                <w:rFonts w:ascii="Calibri" w:eastAsia="Calibri" w:hAnsi="Calibri" w:cs="Times New Roman"/>
                <w:bCs/>
                <w:sz w:val="18"/>
                <w:szCs w:val="18"/>
              </w:rPr>
              <w:br/>
            </w:r>
            <w:r w:rsidRPr="00B263C2">
              <w:rPr>
                <w:rFonts w:ascii="Calibri" w:eastAsia="Calibri" w:hAnsi="Calibri" w:cs="Times New Roman"/>
                <w:bCs/>
                <w:sz w:val="18"/>
                <w:szCs w:val="18"/>
              </w:rPr>
              <w:t xml:space="preserve">i przebudowę infrastruktury </w:t>
            </w:r>
            <w:r>
              <w:rPr>
                <w:rFonts w:ascii="Calibri" w:eastAsia="Calibri" w:hAnsi="Calibri" w:cs="Times New Roman"/>
                <w:bCs/>
                <w:sz w:val="18"/>
                <w:szCs w:val="18"/>
              </w:rPr>
              <w:t xml:space="preserve">transportowej </w:t>
            </w:r>
            <w:r w:rsidRPr="00B263C2">
              <w:rPr>
                <w:rFonts w:ascii="Calibri" w:eastAsia="Calibri" w:hAnsi="Calibri" w:cs="Times New Roman"/>
                <w:bCs/>
                <w:sz w:val="18"/>
                <w:szCs w:val="18"/>
              </w:rPr>
              <w:t>oraz rozwój zintegrowanego systemu zarządzania ruchem ITS</w:t>
            </w:r>
          </w:p>
        </w:tc>
        <w:tc>
          <w:tcPr>
            <w:tcW w:w="1277" w:type="dxa"/>
            <w:shd w:val="clear" w:color="auto" w:fill="FFFFFF"/>
            <w:vAlign w:val="center"/>
          </w:tcPr>
          <w:p w:rsidR="0063782F" w:rsidRPr="00BD0CA1" w:rsidRDefault="007555B2" w:rsidP="00F162E5">
            <w:pPr>
              <w:spacing w:line="240" w:lineRule="auto"/>
              <w:jc w:val="center"/>
              <w:rPr>
                <w:rFonts w:ascii="Calibri" w:eastAsia="Calibri" w:hAnsi="Calibri" w:cs="Times New Roman"/>
              </w:rPr>
            </w:pPr>
            <w:r w:rsidRPr="00D74575">
              <w:rPr>
                <w:rFonts w:ascii="Calibri" w:eastAsia="Calibri" w:hAnsi="Calibri" w:cs="Times New Roman"/>
                <w:noProof/>
                <w:lang w:eastAsia="pl-PL"/>
              </w:rPr>
              <w:drawing>
                <wp:inline distT="0" distB="0" distL="0" distR="0" wp14:anchorId="3850F397" wp14:editId="149DA7D9">
                  <wp:extent cx="360000" cy="360000"/>
                  <wp:effectExtent l="0" t="0" r="2540" b="0"/>
                  <wp:docPr id="18" name="Obraz 31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2" w:type="dxa"/>
            <w:shd w:val="clear" w:color="auto" w:fill="F2F2F2" w:themeFill="background1" w:themeFillShade="F2"/>
            <w:vAlign w:val="center"/>
          </w:tcPr>
          <w:p w:rsidR="0063782F" w:rsidRPr="00BD0CA1" w:rsidRDefault="007555B2" w:rsidP="00D33978">
            <w:pPr>
              <w:spacing w:line="240" w:lineRule="auto"/>
              <w:jc w:val="center"/>
              <w:rPr>
                <w:rFonts w:ascii="Calibri" w:eastAsia="Calibri" w:hAnsi="Calibri" w:cs="Times New Roman"/>
              </w:rPr>
            </w:pPr>
            <w:r w:rsidRPr="00E71A8E">
              <w:rPr>
                <w:rFonts w:ascii="Calibri" w:eastAsia="Calibri" w:hAnsi="Calibri" w:cs="Times New Roman"/>
                <w:bCs/>
                <w:sz w:val="20"/>
                <w:szCs w:val="20"/>
              </w:rPr>
              <w:t xml:space="preserve">2.8 Wspieranie zrównoważonej multimodalnej mobilności miejskiej jako elementu transformacji w kierunku gospodarki </w:t>
            </w:r>
            <w:proofErr w:type="spellStart"/>
            <w:r w:rsidRPr="00E71A8E">
              <w:rPr>
                <w:rFonts w:ascii="Calibri" w:eastAsia="Calibri" w:hAnsi="Calibri" w:cs="Times New Roman"/>
                <w:bCs/>
                <w:sz w:val="20"/>
                <w:szCs w:val="20"/>
              </w:rPr>
              <w:t>zeroemisyjnej</w:t>
            </w:r>
            <w:proofErr w:type="spellEnd"/>
          </w:p>
        </w:tc>
      </w:tr>
      <w:tr w:rsidR="0063782F" w:rsidRPr="00BD0CA1" w:rsidTr="00F162E5">
        <w:trPr>
          <w:trHeight w:val="984"/>
        </w:trPr>
        <w:tc>
          <w:tcPr>
            <w:tcW w:w="1818"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bCs/>
                <w:color w:val="000000" w:themeColor="text1"/>
                <w:sz w:val="20"/>
                <w:szCs w:val="20"/>
              </w:rPr>
              <w:t xml:space="preserve">3. Ochrona środowiska naturalnego </w:t>
            </w:r>
            <w:r>
              <w:rPr>
                <w:rFonts w:eastAsia="Calibri" w:cs="Times New Roman"/>
                <w:bCs/>
                <w:color w:val="000000" w:themeColor="text1"/>
                <w:sz w:val="20"/>
                <w:szCs w:val="20"/>
              </w:rPr>
              <w:br/>
            </w:r>
            <w:r w:rsidRPr="00362096">
              <w:rPr>
                <w:rFonts w:eastAsia="Calibri" w:cs="Times New Roman"/>
                <w:bCs/>
                <w:color w:val="000000" w:themeColor="text1"/>
                <w:sz w:val="20"/>
                <w:szCs w:val="20"/>
              </w:rPr>
              <w:t>i adaptacja WrOF do zmian klimatu</w:t>
            </w:r>
          </w:p>
        </w:tc>
        <w:tc>
          <w:tcPr>
            <w:tcW w:w="2031" w:type="dxa"/>
            <w:vAlign w:val="center"/>
          </w:tcPr>
          <w:p w:rsidR="0063782F" w:rsidRPr="00362096" w:rsidRDefault="00A1431D" w:rsidP="00D33978">
            <w:pPr>
              <w:spacing w:line="240" w:lineRule="auto"/>
              <w:jc w:val="center"/>
              <w:rPr>
                <w:rFonts w:eastAsia="Calibri" w:cs="Times New Roman"/>
                <w:color w:val="000000" w:themeColor="text1"/>
                <w:sz w:val="20"/>
                <w:szCs w:val="20"/>
              </w:rPr>
            </w:pPr>
            <w:r w:rsidRPr="00362096">
              <w:rPr>
                <w:rFonts w:eastAsia="Calibri" w:cs="Times New Roman"/>
                <w:color w:val="000000" w:themeColor="text1"/>
                <w:sz w:val="20"/>
                <w:szCs w:val="20"/>
              </w:rPr>
              <w:t>13. Zrównoważona mobilność</w:t>
            </w:r>
          </w:p>
        </w:tc>
        <w:tc>
          <w:tcPr>
            <w:tcW w:w="3768" w:type="dxa"/>
            <w:vAlign w:val="center"/>
          </w:tcPr>
          <w:p w:rsidR="0063782F" w:rsidRPr="00362096" w:rsidRDefault="007555B2" w:rsidP="00D33978">
            <w:pPr>
              <w:spacing w:line="240" w:lineRule="auto"/>
              <w:jc w:val="center"/>
              <w:rPr>
                <w:rFonts w:eastAsia="Calibri" w:cs="Times New Roman"/>
                <w:color w:val="000000" w:themeColor="text1"/>
                <w:sz w:val="20"/>
                <w:szCs w:val="20"/>
              </w:rPr>
            </w:pPr>
            <w:r w:rsidRPr="00ED63D5">
              <w:rPr>
                <w:rFonts w:eastAsia="Calibri" w:cstheme="minorHAnsi"/>
                <w:bCs/>
                <w:color w:val="000000" w:themeColor="text1"/>
                <w:sz w:val="20"/>
                <w:szCs w:val="20"/>
              </w:rPr>
              <w:t>13.2 Rozwój infrastruktury i działań wspierających osiągnięcie zrównoważonej mobilności</w:t>
            </w:r>
          </w:p>
        </w:tc>
        <w:tc>
          <w:tcPr>
            <w:tcW w:w="4398" w:type="dxa"/>
            <w:vAlign w:val="center"/>
          </w:tcPr>
          <w:p w:rsidR="0063782F" w:rsidRPr="00B263C2" w:rsidRDefault="0063782F" w:rsidP="00D33978">
            <w:pPr>
              <w:spacing w:line="240" w:lineRule="auto"/>
              <w:jc w:val="center"/>
              <w:rPr>
                <w:rFonts w:ascii="Calibri" w:eastAsia="Calibri" w:hAnsi="Calibri" w:cs="Times New Roman"/>
                <w:sz w:val="18"/>
                <w:szCs w:val="18"/>
              </w:rPr>
            </w:pPr>
            <w:r w:rsidRPr="00B263C2">
              <w:rPr>
                <w:rFonts w:ascii="Calibri" w:eastAsia="Calibri" w:hAnsi="Calibri" w:cs="Times New Roman"/>
                <w:bCs/>
                <w:sz w:val="18"/>
                <w:szCs w:val="18"/>
              </w:rPr>
              <w:t xml:space="preserve">Wiązka projektów 2: Rozwój zrównoważonego systemu transportowego na terenie Wrocławskiego Obszaru Funkcjonalnego poprzez budowę węzłów przesiadkowych </w:t>
            </w:r>
          </w:p>
        </w:tc>
        <w:tc>
          <w:tcPr>
            <w:tcW w:w="1277" w:type="dxa"/>
            <w:shd w:val="clear" w:color="auto" w:fill="FFFFFF"/>
            <w:vAlign w:val="center"/>
          </w:tcPr>
          <w:p w:rsidR="0063782F" w:rsidRPr="00BD0CA1" w:rsidRDefault="007555B2" w:rsidP="00F162E5">
            <w:pPr>
              <w:spacing w:line="240" w:lineRule="auto"/>
              <w:jc w:val="center"/>
              <w:rPr>
                <w:rFonts w:ascii="Calibri" w:eastAsia="Calibri" w:hAnsi="Calibri" w:cs="Times New Roman"/>
              </w:rPr>
            </w:pPr>
            <w:r w:rsidRPr="00D74575">
              <w:rPr>
                <w:rFonts w:ascii="Calibri" w:eastAsia="Calibri" w:hAnsi="Calibri" w:cs="Times New Roman"/>
                <w:noProof/>
                <w:lang w:eastAsia="pl-PL"/>
              </w:rPr>
              <w:drawing>
                <wp:inline distT="0" distB="0" distL="0" distR="0" wp14:anchorId="7F3CE7F3" wp14:editId="5E9B575A">
                  <wp:extent cx="360000" cy="360000"/>
                  <wp:effectExtent l="0" t="0" r="2540" b="0"/>
                  <wp:docPr id="19" name="Obraz 31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7902" w:type="dxa"/>
            <w:shd w:val="clear" w:color="auto" w:fill="F2F2F2" w:themeFill="background1" w:themeFillShade="F2"/>
            <w:vAlign w:val="center"/>
          </w:tcPr>
          <w:p w:rsidR="0063782F" w:rsidRPr="00BD0CA1" w:rsidRDefault="007555B2" w:rsidP="00D33978">
            <w:pPr>
              <w:spacing w:line="240" w:lineRule="auto"/>
              <w:jc w:val="center"/>
              <w:rPr>
                <w:rFonts w:ascii="Calibri" w:eastAsia="Calibri" w:hAnsi="Calibri" w:cs="Times New Roman"/>
              </w:rPr>
            </w:pPr>
            <w:r w:rsidRPr="00E71A8E">
              <w:rPr>
                <w:rFonts w:ascii="Calibri" w:eastAsia="Calibri" w:hAnsi="Calibri" w:cs="Times New Roman"/>
                <w:bCs/>
                <w:sz w:val="20"/>
                <w:szCs w:val="20"/>
              </w:rPr>
              <w:t xml:space="preserve">2.8 Wspieranie zrównoważonej multimodalnej mobilności miejskiej jako elementu transformacji w kierunku gospodarki </w:t>
            </w:r>
            <w:proofErr w:type="spellStart"/>
            <w:r w:rsidRPr="00E71A8E">
              <w:rPr>
                <w:rFonts w:ascii="Calibri" w:eastAsia="Calibri" w:hAnsi="Calibri" w:cs="Times New Roman"/>
                <w:bCs/>
                <w:sz w:val="20"/>
                <w:szCs w:val="20"/>
              </w:rPr>
              <w:t>zeroemisyjnej</w:t>
            </w:r>
            <w:proofErr w:type="spellEnd"/>
          </w:p>
        </w:tc>
      </w:tr>
    </w:tbl>
    <w:p w:rsidR="00B60F2B" w:rsidRDefault="00B60F2B" w:rsidP="00C16BD5"/>
    <w:p w:rsidR="00B60F2B" w:rsidRDefault="00B60F2B" w:rsidP="00C16BD5"/>
    <w:p w:rsidR="00B60F2B" w:rsidRPr="00C16BD5" w:rsidRDefault="00B60F2B" w:rsidP="00C16BD5">
      <w:pPr>
        <w:sectPr w:rsidR="00B60F2B" w:rsidRPr="00C16BD5" w:rsidSect="004C138F">
          <w:pgSz w:w="23814" w:h="16840" w:orient="landscape" w:code="8"/>
          <w:pgMar w:top="1418" w:right="1418" w:bottom="1418" w:left="1418" w:header="709" w:footer="709" w:gutter="0"/>
          <w:cols w:space="708"/>
          <w:docGrid w:linePitch="360"/>
        </w:sectPr>
      </w:pPr>
    </w:p>
    <w:p w:rsidR="00F50E28" w:rsidRPr="00D33978" w:rsidRDefault="00F50E28" w:rsidP="00C06FDF">
      <w:pPr>
        <w:pStyle w:val="Nagwek2"/>
        <w:jc w:val="left"/>
      </w:pPr>
      <w:bookmarkStart w:id="163" w:name="_Toc143673224"/>
      <w:r w:rsidRPr="00D33978">
        <w:t>IV.2</w:t>
      </w:r>
      <w:r w:rsidR="00C4411F">
        <w:t xml:space="preserve"> </w:t>
      </w:r>
      <w:r w:rsidRPr="00D33978">
        <w:t>Opis zintegrowanego podejścia służącego zaspokojeniu zidentyfikowanych potrzeb rozwojowych i wykorzystaniu potencjału obszaru</w:t>
      </w:r>
      <w:bookmarkEnd w:id="163"/>
    </w:p>
    <w:p w:rsidR="00A131D9" w:rsidRPr="00F162E5" w:rsidRDefault="0038264C" w:rsidP="00F162E5">
      <w:pPr>
        <w:jc w:val="left"/>
        <w:rPr>
          <w:sz w:val="24"/>
        </w:rPr>
      </w:pPr>
      <w:r w:rsidRPr="00F162E5">
        <w:rPr>
          <w:sz w:val="24"/>
        </w:rPr>
        <w:t>W niniejszym rozdziale pr</w:t>
      </w:r>
      <w:r w:rsidR="005E4539" w:rsidRPr="00F162E5">
        <w:rPr>
          <w:sz w:val="24"/>
        </w:rPr>
        <w:t xml:space="preserve">zedstawiono uzasadnienia dla poszczególnych wiązek projektów, które </w:t>
      </w:r>
      <w:r w:rsidRPr="00F162E5">
        <w:rPr>
          <w:sz w:val="24"/>
        </w:rPr>
        <w:t>przewidzian</w:t>
      </w:r>
      <w:r w:rsidR="005E4539" w:rsidRPr="00F162E5">
        <w:rPr>
          <w:sz w:val="24"/>
        </w:rPr>
        <w:t xml:space="preserve">e </w:t>
      </w:r>
      <w:r w:rsidR="00192669" w:rsidRPr="00F162E5">
        <w:rPr>
          <w:sz w:val="24"/>
        </w:rPr>
        <w:t xml:space="preserve">są </w:t>
      </w:r>
      <w:r w:rsidRPr="00F162E5">
        <w:rPr>
          <w:sz w:val="24"/>
        </w:rPr>
        <w:t xml:space="preserve">do realizacji w ramach Strategii ZIT WrOF 2021-2027. </w:t>
      </w:r>
      <w:r w:rsidR="008E329D" w:rsidRPr="00F162E5">
        <w:rPr>
          <w:sz w:val="24"/>
        </w:rPr>
        <w:t xml:space="preserve">Przedstawiono projekty, które realizowane będą w ramach każdej ze zidentyfikowanych wiązek w ramach FEDS 2021-2027 oraz </w:t>
      </w:r>
      <w:proofErr w:type="spellStart"/>
      <w:r w:rsidR="00571FC6" w:rsidRPr="00F162E5">
        <w:rPr>
          <w:sz w:val="24"/>
        </w:rPr>
        <w:t>FEnIKS</w:t>
      </w:r>
      <w:proofErr w:type="spellEnd"/>
      <w:r w:rsidR="00571FC6" w:rsidRPr="00F162E5">
        <w:rPr>
          <w:sz w:val="24"/>
        </w:rPr>
        <w:t xml:space="preserve"> 2021-2027</w:t>
      </w:r>
      <w:r w:rsidR="00A131D9" w:rsidRPr="00F162E5">
        <w:rPr>
          <w:sz w:val="24"/>
        </w:rPr>
        <w:t>.</w:t>
      </w:r>
    </w:p>
    <w:p w:rsidR="00901F62" w:rsidRPr="00F162E5" w:rsidRDefault="00D62D3C" w:rsidP="00F162E5">
      <w:pPr>
        <w:spacing w:after="0"/>
        <w:jc w:val="left"/>
        <w:rPr>
          <w:sz w:val="24"/>
        </w:rPr>
      </w:pPr>
      <w:r w:rsidRPr="00F162E5">
        <w:rPr>
          <w:sz w:val="24"/>
        </w:rPr>
        <w:t xml:space="preserve">Wiązki projektów spełniają </w:t>
      </w:r>
      <w:r w:rsidR="008E0897" w:rsidRPr="00F162E5">
        <w:rPr>
          <w:sz w:val="24"/>
        </w:rPr>
        <w:t xml:space="preserve">zasady </w:t>
      </w:r>
      <w:r w:rsidRPr="00F162E5">
        <w:rPr>
          <w:sz w:val="24"/>
        </w:rPr>
        <w:t>zawart</w:t>
      </w:r>
      <w:r w:rsidR="008E0897" w:rsidRPr="00F162E5">
        <w:rPr>
          <w:sz w:val="24"/>
        </w:rPr>
        <w:t>e</w:t>
      </w:r>
      <w:r w:rsidR="009B01F5" w:rsidRPr="00F162E5">
        <w:rPr>
          <w:sz w:val="24"/>
        </w:rPr>
        <w:t xml:space="preserve"> </w:t>
      </w:r>
      <w:r w:rsidRPr="00F162E5">
        <w:rPr>
          <w:sz w:val="24"/>
        </w:rPr>
        <w:t>w</w:t>
      </w:r>
      <w:r w:rsidR="009B01F5" w:rsidRPr="00F162E5">
        <w:rPr>
          <w:sz w:val="24"/>
        </w:rPr>
        <w:t xml:space="preserve"> </w:t>
      </w:r>
      <w:r w:rsidR="00901F62" w:rsidRPr="00F162E5">
        <w:rPr>
          <w:i/>
          <w:iCs/>
          <w:sz w:val="24"/>
        </w:rPr>
        <w:t>Zasada</w:t>
      </w:r>
      <w:r w:rsidRPr="00F162E5">
        <w:rPr>
          <w:i/>
          <w:iCs/>
          <w:sz w:val="24"/>
        </w:rPr>
        <w:t>ch</w:t>
      </w:r>
      <w:r w:rsidR="00901F62" w:rsidRPr="00F162E5">
        <w:rPr>
          <w:i/>
          <w:iCs/>
          <w:sz w:val="24"/>
        </w:rPr>
        <w:t xml:space="preserve"> realizacj</w:t>
      </w:r>
      <w:r w:rsidR="00063259" w:rsidRPr="00F162E5">
        <w:rPr>
          <w:i/>
          <w:iCs/>
          <w:sz w:val="24"/>
        </w:rPr>
        <w:t>i instrumentów terytorialnych w </w:t>
      </w:r>
      <w:r w:rsidR="00901F62" w:rsidRPr="00F162E5">
        <w:rPr>
          <w:i/>
          <w:iCs/>
          <w:sz w:val="24"/>
        </w:rPr>
        <w:t>Polsce w perspektywie finansowej na lata 2021-2027</w:t>
      </w:r>
      <w:r w:rsidR="004A2E6F" w:rsidRPr="00F162E5">
        <w:rPr>
          <w:sz w:val="24"/>
        </w:rPr>
        <w:t>, gdzie wskazano,</w:t>
      </w:r>
      <w:r w:rsidR="004A2E6F" w:rsidRPr="00F162E5">
        <w:rPr>
          <w:rFonts w:cs="Calibri-Bold"/>
          <w:b/>
          <w:bCs/>
          <w:sz w:val="24"/>
        </w:rPr>
        <w:t xml:space="preserve"> że </w:t>
      </w:r>
      <w:r w:rsidR="004A2E6F" w:rsidRPr="00F162E5">
        <w:rPr>
          <w:b/>
          <w:bCs/>
          <w:sz w:val="24"/>
        </w:rPr>
        <w:t xml:space="preserve">projekt zintegrowany </w:t>
      </w:r>
      <w:r w:rsidR="004A2E6F" w:rsidRPr="00F162E5">
        <w:rPr>
          <w:sz w:val="24"/>
        </w:rPr>
        <w:t>to projekt, który wpisuje się w cele rozwoju obszaru funkcjonalnego objętego instrumentem i jest ukierunkowany na rozwiązywanie wspólnych problemów rozwojowych – oznacza</w:t>
      </w:r>
      <w:r w:rsidR="007C017C" w:rsidRPr="00F162E5">
        <w:rPr>
          <w:sz w:val="24"/>
        </w:rPr>
        <w:t xml:space="preserve"> to, że projekt ten ma wpływ na </w:t>
      </w:r>
      <w:r w:rsidR="004A2E6F" w:rsidRPr="00F162E5">
        <w:rPr>
          <w:sz w:val="24"/>
        </w:rPr>
        <w:t>więcej niż 1 gminę w MOF oraz jego realizacja jest uzasadniona zarówno</w:t>
      </w:r>
      <w:r w:rsidR="009B01F5" w:rsidRPr="00F162E5">
        <w:rPr>
          <w:sz w:val="24"/>
        </w:rPr>
        <w:t xml:space="preserve"> w części diagnostycznej, jak i </w:t>
      </w:r>
      <w:r w:rsidR="004A2E6F" w:rsidRPr="00F162E5">
        <w:rPr>
          <w:sz w:val="24"/>
        </w:rPr>
        <w:t>w części kierunkowej strategii. Projekt zintegrowany powinie</w:t>
      </w:r>
      <w:r w:rsidR="007C017C" w:rsidRPr="00F162E5">
        <w:rPr>
          <w:sz w:val="24"/>
        </w:rPr>
        <w:t>n spełniać przynajmniej jeden z </w:t>
      </w:r>
      <w:r w:rsidR="004A2E6F" w:rsidRPr="00F162E5">
        <w:rPr>
          <w:sz w:val="24"/>
        </w:rPr>
        <w:t>dwóch warunków:</w:t>
      </w:r>
    </w:p>
    <w:p w:rsidR="00901F62" w:rsidRPr="00F162E5" w:rsidRDefault="00901F62" w:rsidP="00F162E5">
      <w:pPr>
        <w:pStyle w:val="Akapitzlist"/>
        <w:numPr>
          <w:ilvl w:val="0"/>
          <w:numId w:val="46"/>
        </w:numPr>
        <w:spacing w:after="200"/>
        <w:jc w:val="left"/>
        <w:rPr>
          <w:sz w:val="24"/>
        </w:rPr>
      </w:pPr>
      <w:r w:rsidRPr="00F162E5">
        <w:rPr>
          <w:sz w:val="24"/>
        </w:rPr>
        <w:t xml:space="preserve">jest </w:t>
      </w:r>
      <w:r w:rsidRPr="00F162E5">
        <w:rPr>
          <w:b/>
          <w:bCs/>
          <w:sz w:val="24"/>
        </w:rPr>
        <w:t xml:space="preserve">projektem partnerskim </w:t>
      </w:r>
      <w:r w:rsidRPr="00F162E5">
        <w:rPr>
          <w:sz w:val="24"/>
        </w:rPr>
        <w:t xml:space="preserve">w rozumieniu art. 39 ustawy o zasadach realizacji zadań finansowanych ze środków europejskich w perspektywie finansowej 2021-2027; </w:t>
      </w:r>
    </w:p>
    <w:p w:rsidR="00901F62" w:rsidRPr="00F162E5" w:rsidRDefault="00901F62" w:rsidP="00F162E5">
      <w:pPr>
        <w:pStyle w:val="Akapitzlist"/>
        <w:numPr>
          <w:ilvl w:val="0"/>
          <w:numId w:val="46"/>
        </w:numPr>
        <w:spacing w:after="0"/>
        <w:ind w:left="714" w:hanging="357"/>
        <w:jc w:val="left"/>
        <w:rPr>
          <w:sz w:val="24"/>
        </w:rPr>
      </w:pPr>
      <w:r w:rsidRPr="00F162E5">
        <w:rPr>
          <w:sz w:val="24"/>
        </w:rPr>
        <w:t xml:space="preserve">deklarowany jest </w:t>
      </w:r>
      <w:r w:rsidRPr="00F162E5">
        <w:rPr>
          <w:b/>
          <w:bCs/>
          <w:sz w:val="24"/>
        </w:rPr>
        <w:t xml:space="preserve">wspólny efekt, rezultat lub produkt końcowy projektu, </w:t>
      </w:r>
      <w:r w:rsidRPr="00F162E5">
        <w:rPr>
          <w:sz w:val="24"/>
        </w:rPr>
        <w:t>tj. wspólne wykorzystanie stworzonej w jego ramach infrastruktury w przypadku projektów „twardych”, lub objęcie wsparciem w przypadku projektów „miękkich”, mieszkańców co najmniej 2 gmin OF</w:t>
      </w:r>
      <w:r w:rsidR="004A2E6F" w:rsidRPr="00F162E5">
        <w:rPr>
          <w:sz w:val="24"/>
        </w:rPr>
        <w:t>;</w:t>
      </w:r>
    </w:p>
    <w:p w:rsidR="008E0897" w:rsidRPr="00F162E5" w:rsidRDefault="003F2FD2" w:rsidP="00F162E5">
      <w:pPr>
        <w:spacing w:after="0"/>
        <w:jc w:val="left"/>
        <w:rPr>
          <w:sz w:val="24"/>
        </w:rPr>
      </w:pPr>
      <w:r w:rsidRPr="00F162E5">
        <w:rPr>
          <w:sz w:val="24"/>
        </w:rPr>
        <w:t>i/</w:t>
      </w:r>
      <w:r w:rsidR="004A2E6F" w:rsidRPr="00F162E5">
        <w:rPr>
          <w:sz w:val="24"/>
        </w:rPr>
        <w:t>lub</w:t>
      </w:r>
      <w:r w:rsidR="00A12A6E" w:rsidRPr="00F162E5">
        <w:rPr>
          <w:sz w:val="24"/>
        </w:rPr>
        <w:t xml:space="preserve"> dodatkowo</w:t>
      </w:r>
      <w:r w:rsidR="00630FDC" w:rsidRPr="00F162E5">
        <w:rPr>
          <w:sz w:val="24"/>
        </w:rPr>
        <w:t xml:space="preserve"> definicję</w:t>
      </w:r>
      <w:r w:rsidR="008E0897" w:rsidRPr="00F162E5">
        <w:rPr>
          <w:sz w:val="24"/>
        </w:rPr>
        <w:t xml:space="preserve"> wskazaną w  </w:t>
      </w:r>
      <w:r w:rsidR="008E0897" w:rsidRPr="00F162E5">
        <w:rPr>
          <w:i/>
          <w:iCs/>
          <w:sz w:val="24"/>
        </w:rPr>
        <w:t>Porozumieniu Terytorialnym  w sprawie określenia zasad realizacji projektów strategicznych w ramach instrumentu terytorialnego Zintegrowane Inwestycje Terytorialne  Wrocławskiego  Obszaru Funkcjonalnego</w:t>
      </w:r>
      <w:r w:rsidR="00630FDC" w:rsidRPr="00F162E5">
        <w:rPr>
          <w:i/>
          <w:iCs/>
          <w:sz w:val="24"/>
        </w:rPr>
        <w:t xml:space="preserve">, </w:t>
      </w:r>
      <w:r w:rsidR="008E0897" w:rsidRPr="00F162E5">
        <w:rPr>
          <w:rFonts w:cs="Tahoma"/>
          <w:sz w:val="24"/>
        </w:rPr>
        <w:t>gdzie określono, że projekt strategiczny wpisuje się w wiązkę projektów.</w:t>
      </w:r>
      <w:r w:rsidR="008E0897" w:rsidRPr="00F162E5">
        <w:rPr>
          <w:sz w:val="24"/>
        </w:rPr>
        <w:t xml:space="preserve"> Przez wiązkę projektów rozumiana jest grupa projektów powiązanych ze sobą merytorycznie lub funkcjonalnie w sposób na tyle bezpośredni i istotny, że ich planowanie, wdrażanie lub późniejsza eksploatacja wymaga skoordynowania. Wiązka to grupa projektów</w:t>
      </w:r>
      <w:r w:rsidR="005F5A2C" w:rsidRPr="00F162E5">
        <w:rPr>
          <w:sz w:val="24"/>
        </w:rPr>
        <w:t>,</w:t>
      </w:r>
      <w:r w:rsidR="009B01F5" w:rsidRPr="00F162E5">
        <w:rPr>
          <w:sz w:val="24"/>
        </w:rPr>
        <w:t xml:space="preserve"> które spełniają co </w:t>
      </w:r>
      <w:r w:rsidR="008E0897" w:rsidRPr="00F162E5">
        <w:rPr>
          <w:sz w:val="24"/>
        </w:rPr>
        <w:t xml:space="preserve">najmniej jeden z trzech warunków: </w:t>
      </w:r>
    </w:p>
    <w:p w:rsidR="008E0897" w:rsidRPr="00F162E5" w:rsidRDefault="008E0897" w:rsidP="00F162E5">
      <w:pPr>
        <w:pStyle w:val="Default"/>
        <w:numPr>
          <w:ilvl w:val="0"/>
          <w:numId w:val="69"/>
        </w:numPr>
        <w:spacing w:after="59" w:line="360" w:lineRule="auto"/>
        <w:rPr>
          <w:rFonts w:asciiTheme="minorHAnsi" w:hAnsiTheme="minorHAnsi"/>
          <w:color w:val="auto"/>
          <w:szCs w:val="22"/>
        </w:rPr>
      </w:pPr>
      <w:r w:rsidRPr="00F162E5">
        <w:rPr>
          <w:rFonts w:asciiTheme="minorHAnsi" w:hAnsiTheme="minorHAnsi"/>
          <w:color w:val="auto"/>
          <w:szCs w:val="22"/>
        </w:rPr>
        <w:t xml:space="preserve">Na etapie przygotowania muszą być opracowywane równolegle i w sposób skoordynowany, z uwzględnieniem merytorycznej spójności między nimi lub synchroniczności późniejszego wdrażania; </w:t>
      </w:r>
    </w:p>
    <w:p w:rsidR="008E0897" w:rsidRPr="00F162E5" w:rsidRDefault="008E0897" w:rsidP="00F162E5">
      <w:pPr>
        <w:pStyle w:val="Default"/>
        <w:numPr>
          <w:ilvl w:val="0"/>
          <w:numId w:val="69"/>
        </w:numPr>
        <w:spacing w:after="59" w:line="360" w:lineRule="auto"/>
        <w:rPr>
          <w:rFonts w:asciiTheme="minorHAnsi" w:hAnsiTheme="minorHAnsi"/>
          <w:color w:val="auto"/>
          <w:szCs w:val="22"/>
        </w:rPr>
      </w:pPr>
      <w:r w:rsidRPr="00F162E5">
        <w:rPr>
          <w:rFonts w:asciiTheme="minorHAnsi" w:hAnsiTheme="minorHAnsi"/>
          <w:color w:val="auto"/>
          <w:szCs w:val="22"/>
        </w:rPr>
        <w:t xml:space="preserve">Na etapie realizacji wymagają wdrażania skoordynowanego z uwagi na ścisłe powiązanie merytoryczne lub funkcjonalne; </w:t>
      </w:r>
    </w:p>
    <w:p w:rsidR="008E0897" w:rsidRPr="00F162E5" w:rsidRDefault="008E0897" w:rsidP="00F162E5">
      <w:pPr>
        <w:pStyle w:val="Default"/>
        <w:numPr>
          <w:ilvl w:val="0"/>
          <w:numId w:val="69"/>
        </w:numPr>
        <w:spacing w:line="360" w:lineRule="auto"/>
        <w:rPr>
          <w:rFonts w:asciiTheme="minorHAnsi" w:hAnsiTheme="minorHAnsi"/>
          <w:color w:val="auto"/>
          <w:szCs w:val="22"/>
        </w:rPr>
      </w:pPr>
      <w:r w:rsidRPr="00F162E5">
        <w:rPr>
          <w:rFonts w:asciiTheme="minorHAnsi" w:hAnsiTheme="minorHAnsi"/>
          <w:color w:val="auto"/>
          <w:szCs w:val="22"/>
        </w:rPr>
        <w:t xml:space="preserve">Na etapie eksploatacji wymagają skoordynowanego zarządzania. </w:t>
      </w:r>
    </w:p>
    <w:p w:rsidR="008E0897" w:rsidRPr="00F162E5" w:rsidRDefault="008E0897" w:rsidP="00F162E5">
      <w:pPr>
        <w:pStyle w:val="Tekstprzypisudolnego"/>
        <w:spacing w:line="360" w:lineRule="auto"/>
        <w:jc w:val="left"/>
        <w:rPr>
          <w:rFonts w:cs="Calibri"/>
          <w:sz w:val="24"/>
          <w:szCs w:val="22"/>
        </w:rPr>
      </w:pPr>
      <w:r w:rsidRPr="00F162E5">
        <w:rPr>
          <w:rFonts w:cs="Calibri"/>
          <w:sz w:val="24"/>
          <w:szCs w:val="22"/>
        </w:rPr>
        <w:t>Projekty w ramach danej wiązki powinny więc wykazy</w:t>
      </w:r>
      <w:r w:rsidR="00320A03">
        <w:rPr>
          <w:rFonts w:cs="Calibri"/>
          <w:sz w:val="24"/>
          <w:szCs w:val="22"/>
        </w:rPr>
        <w:t>wać wzajemną komplementarność i </w:t>
      </w:r>
      <w:r w:rsidRPr="00F162E5">
        <w:rPr>
          <w:rFonts w:cs="Calibri"/>
          <w:sz w:val="24"/>
          <w:szCs w:val="22"/>
        </w:rPr>
        <w:t>synergię. Projekt strategiczny wpisujący się w wiązkę projektów, spełniającą jeden z wyżej wskazanych  war</w:t>
      </w:r>
      <w:r w:rsidR="00CE69ED" w:rsidRPr="00F162E5">
        <w:rPr>
          <w:rFonts w:cs="Calibri"/>
          <w:sz w:val="24"/>
          <w:szCs w:val="22"/>
        </w:rPr>
        <w:t>unków, również rozumiany jest</w:t>
      </w:r>
      <w:r w:rsidRPr="00F162E5">
        <w:rPr>
          <w:rFonts w:cs="Calibri"/>
          <w:sz w:val="24"/>
          <w:szCs w:val="22"/>
        </w:rPr>
        <w:t xml:space="preserve"> jako projekt zintegrowany.</w:t>
      </w:r>
    </w:p>
    <w:p w:rsidR="00045771" w:rsidRPr="00F162E5" w:rsidRDefault="00045771" w:rsidP="00F162E5">
      <w:pPr>
        <w:spacing w:after="0"/>
        <w:jc w:val="left"/>
        <w:rPr>
          <w:sz w:val="24"/>
        </w:rPr>
      </w:pPr>
      <w:r w:rsidRPr="00F162E5">
        <w:rPr>
          <w:sz w:val="24"/>
        </w:rPr>
        <w:t>Zarówno wiązki projektów</w:t>
      </w:r>
      <w:r w:rsidR="009B01F5" w:rsidRPr="00F162E5">
        <w:rPr>
          <w:sz w:val="24"/>
        </w:rPr>
        <w:t>,</w:t>
      </w:r>
      <w:r w:rsidRPr="00F162E5">
        <w:rPr>
          <w:sz w:val="24"/>
        </w:rPr>
        <w:t xml:space="preserve"> jak i projekty zintegrow</w:t>
      </w:r>
      <w:r w:rsidR="001D1207">
        <w:rPr>
          <w:sz w:val="24"/>
        </w:rPr>
        <w:t>ane realizują jeden lub kilka z </w:t>
      </w:r>
      <w:r w:rsidRPr="00F162E5">
        <w:rPr>
          <w:sz w:val="24"/>
        </w:rPr>
        <w:t xml:space="preserve">następujących priorytetów: </w:t>
      </w:r>
    </w:p>
    <w:p w:rsidR="00045771" w:rsidRPr="00F162E5" w:rsidRDefault="00045771" w:rsidP="00F162E5">
      <w:pPr>
        <w:pStyle w:val="Akapitzlist"/>
        <w:numPr>
          <w:ilvl w:val="0"/>
          <w:numId w:val="45"/>
        </w:numPr>
        <w:spacing w:after="0"/>
        <w:jc w:val="left"/>
        <w:rPr>
          <w:sz w:val="24"/>
        </w:rPr>
      </w:pPr>
      <w:r w:rsidRPr="00F162E5">
        <w:rPr>
          <w:sz w:val="24"/>
        </w:rPr>
        <w:t xml:space="preserve">wspierać rozwój gospodarczy; </w:t>
      </w:r>
    </w:p>
    <w:p w:rsidR="00045771" w:rsidRPr="00F162E5" w:rsidRDefault="00045771" w:rsidP="00F162E5">
      <w:pPr>
        <w:pStyle w:val="Akapitzlist"/>
        <w:numPr>
          <w:ilvl w:val="0"/>
          <w:numId w:val="45"/>
        </w:numPr>
        <w:spacing w:after="0"/>
        <w:jc w:val="left"/>
        <w:rPr>
          <w:sz w:val="24"/>
        </w:rPr>
      </w:pPr>
      <w:r w:rsidRPr="00F162E5">
        <w:rPr>
          <w:sz w:val="24"/>
        </w:rPr>
        <w:t xml:space="preserve">dążyć do neutralności klimatycznej; </w:t>
      </w:r>
    </w:p>
    <w:p w:rsidR="00045771" w:rsidRPr="00F162E5" w:rsidRDefault="00045771" w:rsidP="00F162E5">
      <w:pPr>
        <w:pStyle w:val="Akapitzlist"/>
        <w:numPr>
          <w:ilvl w:val="0"/>
          <w:numId w:val="45"/>
        </w:numPr>
        <w:spacing w:after="0"/>
        <w:jc w:val="left"/>
        <w:rPr>
          <w:sz w:val="24"/>
        </w:rPr>
      </w:pPr>
      <w:r w:rsidRPr="00F162E5">
        <w:rPr>
          <w:sz w:val="24"/>
        </w:rPr>
        <w:t xml:space="preserve">wpływać na zwiększenie dostępności do usług publicznych; </w:t>
      </w:r>
    </w:p>
    <w:p w:rsidR="00045771" w:rsidRPr="00F162E5" w:rsidRDefault="00045771" w:rsidP="00F162E5">
      <w:pPr>
        <w:pStyle w:val="Akapitzlist"/>
        <w:numPr>
          <w:ilvl w:val="0"/>
          <w:numId w:val="45"/>
        </w:numPr>
        <w:spacing w:after="0"/>
        <w:jc w:val="left"/>
        <w:rPr>
          <w:sz w:val="24"/>
        </w:rPr>
      </w:pPr>
      <w:r w:rsidRPr="00F162E5">
        <w:rPr>
          <w:sz w:val="24"/>
        </w:rPr>
        <w:t xml:space="preserve">realnie przekładać się na poprawę jakości życia mieszkańców; </w:t>
      </w:r>
    </w:p>
    <w:p w:rsidR="00045771" w:rsidRPr="00F162E5" w:rsidRDefault="00045771" w:rsidP="00F162E5">
      <w:pPr>
        <w:pStyle w:val="Akapitzlist"/>
        <w:numPr>
          <w:ilvl w:val="0"/>
          <w:numId w:val="45"/>
        </w:numPr>
        <w:spacing w:after="0"/>
        <w:jc w:val="left"/>
        <w:rPr>
          <w:sz w:val="24"/>
        </w:rPr>
      </w:pPr>
      <w:r w:rsidRPr="00F162E5">
        <w:rPr>
          <w:sz w:val="24"/>
        </w:rPr>
        <w:t>opierać się na inteligentnym zarządzaniu.</w:t>
      </w:r>
    </w:p>
    <w:p w:rsidR="004C65B6" w:rsidRPr="002F3FDC" w:rsidRDefault="0052559B" w:rsidP="00F162E5">
      <w:pPr>
        <w:pStyle w:val="Nagwek3"/>
      </w:pPr>
      <w:bookmarkStart w:id="164" w:name="_Toc143673225"/>
      <w:r w:rsidRPr="002F3FDC">
        <w:t xml:space="preserve">IV.2.1 </w:t>
      </w:r>
      <w:r w:rsidR="004C65B6" w:rsidRPr="002F3FDC">
        <w:t>Wiązki projektów FEDS 2021-2027</w:t>
      </w:r>
      <w:bookmarkEnd w:id="164"/>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  "/>
        <w:tblDescription w:val="Rozwój usług społecznych na terenie Wrocławskiego Obszaru Funkcjonalnego"/>
      </w:tblPr>
      <w:tblGrid>
        <w:gridCol w:w="1541"/>
        <w:gridCol w:w="7531"/>
      </w:tblGrid>
      <w:tr w:rsidR="00F162E5" w:rsidRPr="00F162E5" w:rsidTr="00121D0C">
        <w:trPr>
          <w:trHeight w:val="794"/>
          <w:tblHeader/>
          <w:jc w:val="center"/>
        </w:trPr>
        <w:tc>
          <w:tcPr>
            <w:tcW w:w="1535" w:type="dxa"/>
            <w:shd w:val="clear" w:color="auto" w:fill="D9D9D9" w:themeFill="background1" w:themeFillShade="D9"/>
            <w:vAlign w:val="center"/>
          </w:tcPr>
          <w:p w:rsidR="00F162E5" w:rsidRPr="00F162E5" w:rsidRDefault="00F162E5" w:rsidP="00F162E5">
            <w:pPr>
              <w:spacing w:line="240" w:lineRule="auto"/>
              <w:jc w:val="left"/>
              <w:rPr>
                <w:b/>
                <w:sz w:val="24"/>
                <w:szCs w:val="24"/>
                <w:highlight w:val="yellow"/>
              </w:rPr>
            </w:pPr>
            <w:r w:rsidRPr="00F162E5">
              <w:rPr>
                <w:b/>
                <w:sz w:val="24"/>
                <w:szCs w:val="24"/>
              </w:rPr>
              <w:t xml:space="preserve">Wiązka projektów 1 </w:t>
            </w:r>
          </w:p>
        </w:tc>
        <w:tc>
          <w:tcPr>
            <w:tcW w:w="7504" w:type="dxa"/>
            <w:shd w:val="clear" w:color="auto" w:fill="D9D9D9" w:themeFill="background1" w:themeFillShade="D9"/>
            <w:vAlign w:val="center"/>
          </w:tcPr>
          <w:p w:rsidR="00F162E5" w:rsidRPr="00F162E5" w:rsidRDefault="00F162E5" w:rsidP="00F162E5">
            <w:pPr>
              <w:spacing w:line="240" w:lineRule="auto"/>
              <w:jc w:val="left"/>
              <w:rPr>
                <w:b/>
                <w:sz w:val="24"/>
                <w:szCs w:val="24"/>
                <w:highlight w:val="yellow"/>
              </w:rPr>
            </w:pPr>
            <w:r w:rsidRPr="00F162E5">
              <w:rPr>
                <w:b/>
                <w:sz w:val="24"/>
                <w:szCs w:val="24"/>
              </w:rPr>
              <w:t>Rozwój usług społecznych na terenie Wrocławskiego Obszaru Funkcjonalnego</w:t>
            </w:r>
          </w:p>
        </w:tc>
      </w:tr>
      <w:tr w:rsidR="006F3009" w:rsidRPr="00F162E5" w:rsidTr="00121D0C">
        <w:trPr>
          <w:jc w:val="center"/>
        </w:trPr>
        <w:tc>
          <w:tcPr>
            <w:tcW w:w="1535" w:type="dxa"/>
            <w:shd w:val="clear" w:color="auto" w:fill="F2F2F2" w:themeFill="background1" w:themeFillShade="F2"/>
            <w:vAlign w:val="center"/>
          </w:tcPr>
          <w:p w:rsidR="006F3009" w:rsidRPr="00F162E5" w:rsidRDefault="006F3009" w:rsidP="00F162E5">
            <w:pPr>
              <w:spacing w:line="240" w:lineRule="auto"/>
              <w:jc w:val="left"/>
              <w:rPr>
                <w:sz w:val="24"/>
                <w:szCs w:val="24"/>
              </w:rPr>
            </w:pPr>
            <w:r w:rsidRPr="00F162E5">
              <w:rPr>
                <w:sz w:val="24"/>
                <w:szCs w:val="24"/>
              </w:rPr>
              <w:t>Projekty w wiązce</w:t>
            </w:r>
          </w:p>
        </w:tc>
        <w:tc>
          <w:tcPr>
            <w:tcW w:w="7504" w:type="dxa"/>
          </w:tcPr>
          <w:p w:rsidR="006F3009" w:rsidRPr="00F162E5" w:rsidRDefault="006F3009" w:rsidP="00F162E5">
            <w:pPr>
              <w:spacing w:line="240" w:lineRule="auto"/>
              <w:jc w:val="left"/>
              <w:rPr>
                <w:b/>
                <w:sz w:val="24"/>
                <w:szCs w:val="24"/>
              </w:rPr>
            </w:pPr>
            <w:r w:rsidRPr="00F162E5">
              <w:rPr>
                <w:b/>
                <w:sz w:val="24"/>
                <w:szCs w:val="24"/>
              </w:rPr>
              <w:t>Projekty podstawowe:</w:t>
            </w:r>
          </w:p>
          <w:p w:rsidR="0022359E" w:rsidRPr="00F162E5" w:rsidRDefault="0022359E" w:rsidP="00F162E5">
            <w:pPr>
              <w:pStyle w:val="Akapitzlist"/>
              <w:numPr>
                <w:ilvl w:val="0"/>
                <w:numId w:val="11"/>
              </w:numPr>
              <w:spacing w:line="240" w:lineRule="auto"/>
              <w:jc w:val="left"/>
              <w:rPr>
                <w:sz w:val="24"/>
                <w:szCs w:val="24"/>
              </w:rPr>
            </w:pPr>
            <w:r w:rsidRPr="00F162E5">
              <w:rPr>
                <w:sz w:val="24"/>
                <w:szCs w:val="24"/>
              </w:rPr>
              <w:t xml:space="preserve">Razem łatwiej. Wrocławski asystent osobisty osoby z niepełnosprawnością </w:t>
            </w:r>
          </w:p>
          <w:p w:rsidR="0022359E" w:rsidRPr="00F162E5" w:rsidRDefault="0022359E" w:rsidP="00F162E5">
            <w:pPr>
              <w:pStyle w:val="Akapitzlist"/>
              <w:numPr>
                <w:ilvl w:val="0"/>
                <w:numId w:val="11"/>
              </w:numPr>
              <w:spacing w:line="240" w:lineRule="auto"/>
              <w:jc w:val="left"/>
              <w:rPr>
                <w:sz w:val="24"/>
                <w:szCs w:val="24"/>
              </w:rPr>
            </w:pPr>
            <w:r w:rsidRPr="00F162E5">
              <w:rPr>
                <w:sz w:val="24"/>
                <w:szCs w:val="24"/>
              </w:rPr>
              <w:t>Usługi społeczne w Gminie Kąty Wrocławskie i Gminie Sobótka</w:t>
            </w:r>
          </w:p>
          <w:p w:rsidR="0022359E" w:rsidRPr="00F162E5" w:rsidRDefault="0022359E" w:rsidP="00F162E5">
            <w:pPr>
              <w:pStyle w:val="Akapitzlist"/>
              <w:numPr>
                <w:ilvl w:val="0"/>
                <w:numId w:val="11"/>
              </w:numPr>
              <w:spacing w:line="240" w:lineRule="auto"/>
              <w:jc w:val="left"/>
              <w:rPr>
                <w:sz w:val="24"/>
                <w:szCs w:val="24"/>
              </w:rPr>
            </w:pPr>
            <w:r w:rsidRPr="00F162E5">
              <w:rPr>
                <w:sz w:val="24"/>
                <w:szCs w:val="24"/>
              </w:rPr>
              <w:t>Usługi społeczne w gminach Długołęka, Dobroszyce, Kobierzyce, Miękinia, Oborniki Śląskie, Oleśnica (miasto), Wisznia Mała, Zawonia</w:t>
            </w:r>
          </w:p>
          <w:p w:rsidR="006F3009" w:rsidRPr="00F162E5" w:rsidRDefault="0022359E" w:rsidP="00F162E5">
            <w:pPr>
              <w:pStyle w:val="Akapitzlist"/>
              <w:numPr>
                <w:ilvl w:val="0"/>
                <w:numId w:val="11"/>
              </w:numPr>
              <w:spacing w:line="240" w:lineRule="auto"/>
              <w:jc w:val="left"/>
              <w:rPr>
                <w:sz w:val="24"/>
                <w:szCs w:val="24"/>
              </w:rPr>
            </w:pPr>
            <w:r w:rsidRPr="00F162E5">
              <w:rPr>
                <w:sz w:val="24"/>
                <w:szCs w:val="24"/>
              </w:rPr>
              <w:t xml:space="preserve">Usługi społeczne w formie opiekuńczej, </w:t>
            </w:r>
            <w:proofErr w:type="spellStart"/>
            <w:r w:rsidRPr="00F162E5">
              <w:rPr>
                <w:sz w:val="24"/>
                <w:szCs w:val="24"/>
              </w:rPr>
              <w:t>wy</w:t>
            </w:r>
            <w:r w:rsidR="00173E0D" w:rsidRPr="00F162E5">
              <w:rPr>
                <w:sz w:val="24"/>
                <w:szCs w:val="24"/>
              </w:rPr>
              <w:t>tchnieniowej</w:t>
            </w:r>
            <w:proofErr w:type="spellEnd"/>
            <w:r w:rsidR="00173E0D" w:rsidRPr="00F162E5">
              <w:rPr>
                <w:sz w:val="24"/>
                <w:szCs w:val="24"/>
              </w:rPr>
              <w:t xml:space="preserve"> i asystenckiej  na </w:t>
            </w:r>
            <w:r w:rsidRPr="00F162E5">
              <w:rPr>
                <w:sz w:val="24"/>
                <w:szCs w:val="24"/>
              </w:rPr>
              <w:t>rzecz  społeczności lokalnej</w:t>
            </w:r>
          </w:p>
          <w:p w:rsidR="006F3009" w:rsidRPr="00F162E5" w:rsidRDefault="006F3009" w:rsidP="00F162E5">
            <w:pPr>
              <w:spacing w:line="240" w:lineRule="auto"/>
              <w:jc w:val="left"/>
              <w:rPr>
                <w:b/>
                <w:sz w:val="24"/>
                <w:szCs w:val="24"/>
              </w:rPr>
            </w:pPr>
            <w:r w:rsidRPr="00F162E5">
              <w:rPr>
                <w:b/>
                <w:sz w:val="24"/>
                <w:szCs w:val="24"/>
              </w:rPr>
              <w:t>Projekty rezerwowe:</w:t>
            </w:r>
          </w:p>
          <w:p w:rsidR="006F3009" w:rsidRPr="00F162E5" w:rsidRDefault="006F3009" w:rsidP="00F162E5">
            <w:pPr>
              <w:pStyle w:val="Akapitzlist"/>
              <w:numPr>
                <w:ilvl w:val="0"/>
                <w:numId w:val="11"/>
              </w:numPr>
              <w:spacing w:line="240" w:lineRule="auto"/>
              <w:jc w:val="left"/>
              <w:rPr>
                <w:sz w:val="24"/>
                <w:szCs w:val="24"/>
              </w:rPr>
            </w:pPr>
            <w:r w:rsidRPr="00F162E5">
              <w:rPr>
                <w:sz w:val="24"/>
                <w:szCs w:val="24"/>
              </w:rPr>
              <w:t>Rozwój usług społecznych na terenie ZIT WrOF w Powiecie Wrocławskim</w:t>
            </w:r>
          </w:p>
        </w:tc>
      </w:tr>
      <w:tr w:rsidR="00C3395A" w:rsidRPr="00F162E5" w:rsidTr="00121D0C">
        <w:trPr>
          <w:jc w:val="center"/>
        </w:trPr>
        <w:tc>
          <w:tcPr>
            <w:tcW w:w="1535" w:type="dxa"/>
            <w:shd w:val="clear" w:color="auto" w:fill="F2F2F2" w:themeFill="background1" w:themeFillShade="F2"/>
            <w:vAlign w:val="center"/>
          </w:tcPr>
          <w:p w:rsidR="00C3395A" w:rsidRPr="00F162E5" w:rsidRDefault="00C3395A" w:rsidP="00F162E5">
            <w:pPr>
              <w:spacing w:line="240" w:lineRule="auto"/>
              <w:jc w:val="left"/>
              <w:rPr>
                <w:sz w:val="24"/>
                <w:szCs w:val="24"/>
              </w:rPr>
            </w:pPr>
            <w:r w:rsidRPr="00F162E5">
              <w:rPr>
                <w:sz w:val="24"/>
                <w:szCs w:val="24"/>
              </w:rPr>
              <w:t>Cel szczegółowy FEDS 2021-2027</w:t>
            </w:r>
          </w:p>
        </w:tc>
        <w:tc>
          <w:tcPr>
            <w:tcW w:w="7504" w:type="dxa"/>
          </w:tcPr>
          <w:p w:rsidR="00C3395A" w:rsidRPr="00F162E5" w:rsidRDefault="00C3395A" w:rsidP="00F162E5">
            <w:pPr>
              <w:spacing w:line="240" w:lineRule="auto"/>
              <w:jc w:val="left"/>
              <w:rPr>
                <w:b/>
                <w:sz w:val="24"/>
                <w:szCs w:val="24"/>
              </w:rPr>
            </w:pPr>
            <w:r w:rsidRPr="00F162E5">
              <w:rPr>
                <w:b/>
                <w:sz w:val="24"/>
                <w:szCs w:val="24"/>
              </w:rPr>
              <w:t>ESO4.11. Zwiększanie równego i szybkiego dostęp</w:t>
            </w:r>
            <w:r w:rsidR="00173E0D" w:rsidRPr="00F162E5">
              <w:rPr>
                <w:b/>
                <w:sz w:val="24"/>
                <w:szCs w:val="24"/>
              </w:rPr>
              <w:t>u do dobrej jakości, trwałych i </w:t>
            </w:r>
            <w:r w:rsidRPr="00F162E5">
              <w:rPr>
                <w:b/>
                <w:sz w:val="24"/>
                <w:szCs w:val="24"/>
              </w:rPr>
              <w:t>przystępnych cenowo usług, w tym usług, które wspierają dostęp do mieszkań oraz opieki skoncentrowanej na osobie, w tym opieki zdrowotnej; modernizacja systemów ochrony socjalnej, w tym wspieranie d</w:t>
            </w:r>
            <w:r w:rsidR="009B01F5" w:rsidRPr="00F162E5">
              <w:rPr>
                <w:b/>
                <w:sz w:val="24"/>
                <w:szCs w:val="24"/>
              </w:rPr>
              <w:t>ostępu do ochrony socjalnej, ze </w:t>
            </w:r>
            <w:r w:rsidRPr="00F162E5">
              <w:rPr>
                <w:b/>
                <w:sz w:val="24"/>
                <w:szCs w:val="24"/>
              </w:rPr>
              <w:t>szczególnym uwzględnieniem dzieci i grup w niekorzystnej sytuacji; poprawa dostępności, w tym dla osób z niepeł</w:t>
            </w:r>
            <w:r w:rsidR="00063259" w:rsidRPr="00F162E5">
              <w:rPr>
                <w:b/>
                <w:sz w:val="24"/>
                <w:szCs w:val="24"/>
              </w:rPr>
              <w:t>nosprawnościami, skuteczności i </w:t>
            </w:r>
            <w:r w:rsidRPr="00F162E5">
              <w:rPr>
                <w:b/>
                <w:sz w:val="24"/>
                <w:szCs w:val="24"/>
              </w:rPr>
              <w:t>odporności systemów ochrony zdrowia i usług opieki długoterminowej</w:t>
            </w:r>
          </w:p>
        </w:tc>
      </w:tr>
      <w:tr w:rsidR="006F3009" w:rsidRPr="00F162E5" w:rsidTr="00121D0C">
        <w:trPr>
          <w:jc w:val="center"/>
        </w:trPr>
        <w:tc>
          <w:tcPr>
            <w:tcW w:w="1535" w:type="dxa"/>
            <w:shd w:val="clear" w:color="auto" w:fill="F2F2F2" w:themeFill="background1" w:themeFillShade="F2"/>
            <w:vAlign w:val="center"/>
          </w:tcPr>
          <w:p w:rsidR="006F3009" w:rsidRPr="00F162E5" w:rsidRDefault="006F3009" w:rsidP="00F162E5">
            <w:pPr>
              <w:spacing w:line="240" w:lineRule="auto"/>
              <w:jc w:val="left"/>
              <w:rPr>
                <w:sz w:val="24"/>
                <w:szCs w:val="24"/>
              </w:rPr>
            </w:pPr>
            <w:r w:rsidRPr="00F162E5">
              <w:rPr>
                <w:sz w:val="24"/>
                <w:szCs w:val="24"/>
              </w:rPr>
              <w:t>Uzasadnienie realizacji wiązki projektów</w:t>
            </w:r>
          </w:p>
        </w:tc>
        <w:tc>
          <w:tcPr>
            <w:tcW w:w="7504" w:type="dxa"/>
          </w:tcPr>
          <w:p w:rsidR="00F34D3A" w:rsidRPr="00F162E5" w:rsidRDefault="000949C8" w:rsidP="00F162E5">
            <w:pPr>
              <w:spacing w:line="240" w:lineRule="auto"/>
              <w:jc w:val="left"/>
              <w:rPr>
                <w:sz w:val="24"/>
                <w:szCs w:val="24"/>
              </w:rPr>
            </w:pPr>
            <w:r w:rsidRPr="00F162E5">
              <w:rPr>
                <w:sz w:val="24"/>
                <w:szCs w:val="24"/>
              </w:rPr>
              <w:t xml:space="preserve">Projekty są ukierunkowane na rozwiązywanie wspólnych problemów rozwojowych w obszarze rozwoju usług społecznych. Gminy WrOF powinny zwrócić szczególną uwagę na wzmocnienie działań nastawionych na zapewnienie dziennej opieki dla osób starszych, schorowanych, niepełnosprawnych oraz wsparcia dla ich opiekunów. Kluczowe jest zapewnienie usług opiekuńczych, asystenckich oraz opieki </w:t>
            </w:r>
            <w:proofErr w:type="spellStart"/>
            <w:r w:rsidRPr="00F162E5">
              <w:rPr>
                <w:sz w:val="24"/>
                <w:szCs w:val="24"/>
              </w:rPr>
              <w:t>wytchnieniowej</w:t>
            </w:r>
            <w:proofErr w:type="spellEnd"/>
            <w:r w:rsidRPr="00F162E5">
              <w:rPr>
                <w:sz w:val="24"/>
                <w:szCs w:val="24"/>
              </w:rPr>
              <w:t>. Aktualny poziom rozwoju oraz dostępność usług społecznych jest nieadekwatna do wyzwań, z jakimi mierzy się WrOF, które dotyczą zmian w strukturze demograficznej, m.in. wzrostu liczby osób w wieku poprodukcyjnym czy napływu imigrantów. Poszerzenie oferty tego rodzaju usług jest kluczowym wyzwaniem i oczekiwaniem mieszkańców, a</w:t>
            </w:r>
            <w:r w:rsidR="00063259" w:rsidRPr="00F162E5">
              <w:rPr>
                <w:sz w:val="24"/>
                <w:szCs w:val="24"/>
              </w:rPr>
              <w:t> </w:t>
            </w:r>
            <w:r w:rsidRPr="00F162E5">
              <w:rPr>
                <w:sz w:val="24"/>
                <w:szCs w:val="24"/>
              </w:rPr>
              <w:t>realizacja zaplanowanych projektów wpłynie na poprawę jakości życia mieszkańców oraz poprawi atrakcyjność obszaru</w:t>
            </w:r>
            <w:r w:rsidR="009B01F5" w:rsidRPr="00F162E5">
              <w:rPr>
                <w:sz w:val="24"/>
                <w:szCs w:val="24"/>
              </w:rPr>
              <w:t xml:space="preserve"> </w:t>
            </w:r>
            <w:r w:rsidR="0033596F" w:rsidRPr="00F162E5">
              <w:rPr>
                <w:sz w:val="24"/>
                <w:szCs w:val="24"/>
              </w:rPr>
              <w:t>WrOF</w:t>
            </w:r>
            <w:r w:rsidRPr="00F162E5">
              <w:rPr>
                <w:sz w:val="24"/>
                <w:szCs w:val="24"/>
              </w:rPr>
              <w:t xml:space="preserve">. </w:t>
            </w:r>
          </w:p>
          <w:p w:rsidR="000949C8" w:rsidRPr="00F162E5" w:rsidRDefault="0044461C" w:rsidP="00F162E5">
            <w:pPr>
              <w:spacing w:line="240" w:lineRule="auto"/>
              <w:jc w:val="left"/>
              <w:rPr>
                <w:sz w:val="24"/>
                <w:szCs w:val="24"/>
              </w:rPr>
            </w:pPr>
            <w:r w:rsidRPr="00F162E5">
              <w:rPr>
                <w:sz w:val="24"/>
                <w:szCs w:val="24"/>
              </w:rPr>
              <w:t xml:space="preserve">Wszystkie </w:t>
            </w:r>
            <w:r w:rsidR="00664ED5" w:rsidRPr="00F162E5">
              <w:rPr>
                <w:sz w:val="24"/>
                <w:szCs w:val="24"/>
              </w:rPr>
              <w:t>projekty wchodzące w skład wiąz</w:t>
            </w:r>
            <w:r w:rsidR="009B01F5" w:rsidRPr="00F162E5">
              <w:rPr>
                <w:sz w:val="24"/>
                <w:szCs w:val="24"/>
              </w:rPr>
              <w:t>ki spełniają</w:t>
            </w:r>
            <w:r w:rsidR="00664ED5" w:rsidRPr="00F162E5">
              <w:rPr>
                <w:sz w:val="24"/>
                <w:szCs w:val="24"/>
              </w:rPr>
              <w:t xml:space="preserve"> wymogi projektów zintegrowanych poprzez to, iż obejmują wsparciem mies</w:t>
            </w:r>
            <w:r w:rsidR="009B01F5" w:rsidRPr="00F162E5">
              <w:rPr>
                <w:sz w:val="24"/>
                <w:szCs w:val="24"/>
              </w:rPr>
              <w:t>zkańców co najmniej 2 </w:t>
            </w:r>
            <w:r w:rsidR="00664ED5" w:rsidRPr="00F162E5">
              <w:rPr>
                <w:sz w:val="24"/>
                <w:szCs w:val="24"/>
              </w:rPr>
              <w:t xml:space="preserve">gmin WrOF, </w:t>
            </w:r>
            <w:r w:rsidR="00443F67" w:rsidRPr="00F162E5">
              <w:rPr>
                <w:sz w:val="24"/>
                <w:szCs w:val="24"/>
              </w:rPr>
              <w:t>z wyjątkiem projektu gminy Wrocław</w:t>
            </w:r>
            <w:r w:rsidR="00503F3D" w:rsidRPr="00F162E5">
              <w:rPr>
                <w:sz w:val="24"/>
                <w:szCs w:val="24"/>
              </w:rPr>
              <w:t xml:space="preserve">, </w:t>
            </w:r>
            <w:r w:rsidR="00443F67" w:rsidRPr="00F162E5">
              <w:rPr>
                <w:sz w:val="24"/>
                <w:szCs w:val="24"/>
              </w:rPr>
              <w:t>który obejmie wsparciem mieszkańców jednej gminy</w:t>
            </w:r>
            <w:r w:rsidR="00A2401B" w:rsidRPr="00F162E5">
              <w:rPr>
                <w:sz w:val="24"/>
                <w:szCs w:val="24"/>
              </w:rPr>
              <w:t>. Projekt gminy Wrocław</w:t>
            </w:r>
            <w:r w:rsidR="00644950" w:rsidRPr="00F162E5">
              <w:rPr>
                <w:sz w:val="24"/>
                <w:szCs w:val="24"/>
              </w:rPr>
              <w:t xml:space="preserve"> natomiast </w:t>
            </w:r>
            <w:r w:rsidR="00A2401B" w:rsidRPr="00F162E5">
              <w:rPr>
                <w:sz w:val="24"/>
                <w:szCs w:val="24"/>
              </w:rPr>
              <w:t xml:space="preserve">spełnia wymogi </w:t>
            </w:r>
            <w:r w:rsidR="00023388" w:rsidRPr="00F162E5">
              <w:rPr>
                <w:sz w:val="24"/>
                <w:szCs w:val="24"/>
              </w:rPr>
              <w:t>projektu zintegrowanego,</w:t>
            </w:r>
            <w:r w:rsidR="00644950" w:rsidRPr="00F162E5">
              <w:rPr>
                <w:sz w:val="24"/>
                <w:szCs w:val="24"/>
              </w:rPr>
              <w:t xml:space="preserve"> przez to iż</w:t>
            </w:r>
            <w:r w:rsidR="00664ED5" w:rsidRPr="00F162E5">
              <w:rPr>
                <w:sz w:val="24"/>
                <w:szCs w:val="24"/>
              </w:rPr>
              <w:t xml:space="preserve"> </w:t>
            </w:r>
            <w:r w:rsidR="00644950" w:rsidRPr="00F162E5">
              <w:rPr>
                <w:sz w:val="24"/>
                <w:szCs w:val="24"/>
              </w:rPr>
              <w:t xml:space="preserve">jest </w:t>
            </w:r>
            <w:r w:rsidR="00503F3D" w:rsidRPr="00F162E5">
              <w:rPr>
                <w:sz w:val="24"/>
                <w:szCs w:val="24"/>
              </w:rPr>
              <w:t>projektem partnerskim w rozumieniu art. 39 ustawy o zasadach realizacji zadań finansow</w:t>
            </w:r>
            <w:r w:rsidR="00A80C29" w:rsidRPr="00F162E5">
              <w:rPr>
                <w:sz w:val="24"/>
                <w:szCs w:val="24"/>
              </w:rPr>
              <w:t>anych ze środków europejskich w </w:t>
            </w:r>
            <w:r w:rsidR="00503F3D" w:rsidRPr="00F162E5">
              <w:rPr>
                <w:sz w:val="24"/>
                <w:szCs w:val="24"/>
              </w:rPr>
              <w:t xml:space="preserve">perspektywie finansowej 2021-2027. </w:t>
            </w:r>
            <w:r w:rsidR="000949C8" w:rsidRPr="00F162E5">
              <w:rPr>
                <w:sz w:val="24"/>
                <w:szCs w:val="24"/>
              </w:rPr>
              <w:t xml:space="preserve">Zidentyfikowane problemy, na które odpowiadają projekty są tożsame i występują </w:t>
            </w:r>
            <w:r w:rsidR="00A46DE0" w:rsidRPr="00F162E5">
              <w:rPr>
                <w:sz w:val="24"/>
                <w:szCs w:val="24"/>
              </w:rPr>
              <w:t>n</w:t>
            </w:r>
            <w:r w:rsidR="000949C8" w:rsidRPr="00F162E5">
              <w:rPr>
                <w:sz w:val="24"/>
                <w:szCs w:val="24"/>
              </w:rPr>
              <w:t xml:space="preserve">a różnych obszarach. </w:t>
            </w:r>
          </w:p>
          <w:p w:rsidR="00786196" w:rsidRPr="00F162E5" w:rsidRDefault="00786196" w:rsidP="00F162E5">
            <w:pPr>
              <w:spacing w:line="240" w:lineRule="auto"/>
              <w:jc w:val="left"/>
              <w:rPr>
                <w:sz w:val="24"/>
                <w:szCs w:val="24"/>
              </w:rPr>
            </w:pPr>
          </w:p>
          <w:p w:rsidR="000949C8" w:rsidRPr="00F162E5" w:rsidRDefault="000949C8" w:rsidP="00F162E5">
            <w:pPr>
              <w:spacing w:line="240" w:lineRule="auto"/>
              <w:jc w:val="left"/>
              <w:rPr>
                <w:rFonts w:cstheme="minorHAnsi"/>
                <w:bCs/>
                <w:color w:val="000000" w:themeColor="text1"/>
                <w:sz w:val="24"/>
                <w:szCs w:val="24"/>
              </w:rPr>
            </w:pPr>
            <w:r w:rsidRPr="00F162E5">
              <w:rPr>
                <w:rFonts w:cstheme="minorHAnsi"/>
                <w:bCs/>
                <w:color w:val="000000" w:themeColor="text1"/>
                <w:sz w:val="24"/>
                <w:szCs w:val="24"/>
              </w:rPr>
              <w:t>Projekty wchodzące w skład wiązki spełniają wymogi definicji projektu zintegrowanego, tj. wpisują się w cele rozwoju obszaru funkcjonalnego objętego instrumentem, tj. Strategii ZIT WrOF i są ukierunkowane na rozwiązywanie wspólnych problemów</w:t>
            </w:r>
            <w:r w:rsidR="009B01F5" w:rsidRPr="00F162E5">
              <w:rPr>
                <w:rFonts w:cstheme="minorHAnsi"/>
                <w:bCs/>
                <w:color w:val="000000" w:themeColor="text1"/>
                <w:sz w:val="24"/>
                <w:szCs w:val="24"/>
              </w:rPr>
              <w:t xml:space="preserve"> </w:t>
            </w:r>
            <w:r w:rsidRPr="00F162E5">
              <w:rPr>
                <w:rFonts w:cstheme="minorHAnsi"/>
                <w:bCs/>
                <w:color w:val="000000" w:themeColor="text1"/>
                <w:sz w:val="24"/>
                <w:szCs w:val="24"/>
              </w:rPr>
              <w:t>w obszarze pn. „w</w:t>
            </w:r>
            <w:r w:rsidRPr="00F162E5">
              <w:rPr>
                <w:sz w:val="24"/>
                <w:szCs w:val="24"/>
              </w:rPr>
              <w:t>spieranie poprawy jakości i dostępności usług społecznych, w tym osób ze szczególnymi potrzebami oraz ograniczenie zjawiska wykluczenia społecznego”</w:t>
            </w:r>
            <w:r w:rsidRPr="00F162E5">
              <w:rPr>
                <w:rFonts w:cstheme="minorHAnsi"/>
                <w:bCs/>
                <w:color w:val="000000" w:themeColor="text1"/>
                <w:sz w:val="24"/>
                <w:szCs w:val="24"/>
              </w:rPr>
              <w:t xml:space="preserve">. Ponadto ich realizacja jest uzasadniona zarówno w części diagnostycznej, jak i kierunkowej Strategii ZIT WrOF. </w:t>
            </w:r>
          </w:p>
          <w:p w:rsidR="00BA7793" w:rsidRPr="00F162E5" w:rsidRDefault="00BA7793" w:rsidP="00F162E5">
            <w:pPr>
              <w:spacing w:line="240" w:lineRule="auto"/>
              <w:jc w:val="left"/>
              <w:rPr>
                <w:rFonts w:cstheme="minorHAnsi"/>
                <w:bCs/>
                <w:color w:val="000000" w:themeColor="text1"/>
                <w:sz w:val="24"/>
                <w:szCs w:val="24"/>
              </w:rPr>
            </w:pPr>
          </w:p>
          <w:p w:rsidR="009B01F5" w:rsidRPr="00F162E5" w:rsidRDefault="00A46DE0" w:rsidP="00F162E5">
            <w:pPr>
              <w:spacing w:line="240" w:lineRule="auto"/>
              <w:jc w:val="left"/>
              <w:rPr>
                <w:rFonts w:cs="Arial"/>
                <w:bCs/>
                <w:sz w:val="24"/>
                <w:szCs w:val="24"/>
              </w:rPr>
            </w:pPr>
            <w:r w:rsidRPr="00F162E5">
              <w:rPr>
                <w:rFonts w:cstheme="minorHAnsi"/>
                <w:bCs/>
                <w:color w:val="000000" w:themeColor="text1"/>
                <w:sz w:val="24"/>
                <w:szCs w:val="24"/>
              </w:rPr>
              <w:t xml:space="preserve">Realizacja projektów stanowiących </w:t>
            </w:r>
            <w:r w:rsidR="00BA7793" w:rsidRPr="00F162E5">
              <w:rPr>
                <w:rFonts w:cstheme="minorHAnsi"/>
                <w:bCs/>
                <w:color w:val="000000" w:themeColor="text1"/>
                <w:sz w:val="24"/>
                <w:szCs w:val="24"/>
              </w:rPr>
              <w:t xml:space="preserve">wiązkę </w:t>
            </w:r>
            <w:r w:rsidR="00F168A0" w:rsidRPr="00F162E5">
              <w:rPr>
                <w:rFonts w:cs="Arial"/>
                <w:bCs/>
                <w:sz w:val="24"/>
                <w:szCs w:val="24"/>
              </w:rPr>
              <w:t xml:space="preserve">wynika z części kierunkowej Strategii ZIT WrOF tj. </w:t>
            </w:r>
          </w:p>
          <w:p w:rsidR="009B01F5" w:rsidRPr="00F162E5" w:rsidRDefault="00F168A0" w:rsidP="00F162E5">
            <w:pPr>
              <w:spacing w:line="240" w:lineRule="auto"/>
              <w:jc w:val="left"/>
              <w:rPr>
                <w:rFonts w:cstheme="minorHAnsi"/>
                <w:b/>
                <w:bCs/>
                <w:color w:val="000000" w:themeColor="text1"/>
                <w:sz w:val="24"/>
                <w:szCs w:val="24"/>
              </w:rPr>
            </w:pPr>
            <w:r w:rsidRPr="00F162E5">
              <w:rPr>
                <w:rFonts w:cstheme="minorHAnsi"/>
                <w:b/>
                <w:bCs/>
                <w:color w:val="000000" w:themeColor="text1"/>
                <w:sz w:val="24"/>
                <w:szCs w:val="24"/>
              </w:rPr>
              <w:t>Cel strategiczny 1. Poprawa jakości życia na terenie WrOF</w:t>
            </w:r>
            <w:r w:rsidR="00BA7793" w:rsidRPr="00F162E5">
              <w:rPr>
                <w:rFonts w:cstheme="minorHAnsi"/>
                <w:b/>
                <w:bCs/>
                <w:color w:val="000000" w:themeColor="text1"/>
                <w:sz w:val="24"/>
                <w:szCs w:val="24"/>
              </w:rPr>
              <w:t xml:space="preserve">, </w:t>
            </w:r>
          </w:p>
          <w:p w:rsidR="009B01F5" w:rsidRPr="00F162E5" w:rsidRDefault="00BA7793" w:rsidP="00F162E5">
            <w:pPr>
              <w:spacing w:line="240" w:lineRule="auto"/>
              <w:jc w:val="left"/>
              <w:rPr>
                <w:rFonts w:cstheme="minorHAnsi"/>
                <w:b/>
                <w:bCs/>
                <w:color w:val="000000" w:themeColor="text1"/>
                <w:sz w:val="24"/>
                <w:szCs w:val="24"/>
              </w:rPr>
            </w:pPr>
            <w:r w:rsidRPr="00F162E5">
              <w:rPr>
                <w:rFonts w:cstheme="minorHAnsi"/>
                <w:b/>
                <w:color w:val="000000" w:themeColor="text1"/>
                <w:sz w:val="24"/>
                <w:szCs w:val="24"/>
              </w:rPr>
              <w:t xml:space="preserve">Priorytet 2. Zdrowie, </w:t>
            </w:r>
            <w:r w:rsidR="00F168A0" w:rsidRPr="00F162E5">
              <w:rPr>
                <w:rFonts w:cstheme="minorHAnsi"/>
                <w:b/>
                <w:bCs/>
                <w:color w:val="000000" w:themeColor="text1"/>
                <w:sz w:val="24"/>
                <w:szCs w:val="24"/>
              </w:rPr>
              <w:t xml:space="preserve">Kierunek działania 2.2 </w:t>
            </w:r>
          </w:p>
          <w:p w:rsidR="00F168A0" w:rsidRPr="00F162E5" w:rsidRDefault="00F168A0" w:rsidP="00F162E5">
            <w:pPr>
              <w:spacing w:line="240" w:lineRule="auto"/>
              <w:jc w:val="left"/>
              <w:rPr>
                <w:rFonts w:cstheme="minorHAnsi"/>
                <w:b/>
                <w:bCs/>
                <w:color w:val="000000" w:themeColor="text1"/>
                <w:sz w:val="24"/>
                <w:szCs w:val="24"/>
              </w:rPr>
            </w:pPr>
            <w:r w:rsidRPr="00F162E5">
              <w:rPr>
                <w:rFonts w:cstheme="minorHAnsi"/>
                <w:b/>
                <w:bCs/>
                <w:color w:val="000000" w:themeColor="text1"/>
                <w:sz w:val="24"/>
                <w:szCs w:val="24"/>
              </w:rPr>
              <w:t>Wspieranie poprawy jakości i dostępności usług</w:t>
            </w:r>
            <w:r w:rsidR="009B01F5" w:rsidRPr="00F162E5">
              <w:rPr>
                <w:rFonts w:cstheme="minorHAnsi"/>
                <w:b/>
                <w:bCs/>
                <w:color w:val="000000" w:themeColor="text1"/>
                <w:sz w:val="24"/>
                <w:szCs w:val="24"/>
              </w:rPr>
              <w:t xml:space="preserve"> społecznych, w tym dla osób ze </w:t>
            </w:r>
            <w:r w:rsidRPr="00F162E5">
              <w:rPr>
                <w:rFonts w:cstheme="minorHAnsi"/>
                <w:b/>
                <w:bCs/>
                <w:color w:val="000000" w:themeColor="text1"/>
                <w:sz w:val="24"/>
                <w:szCs w:val="24"/>
              </w:rPr>
              <w:t xml:space="preserve">szczególnymi potrzebami oraz ograniczenie zjawiska wykluczenia społecznego </w:t>
            </w:r>
          </w:p>
          <w:p w:rsidR="006573C5" w:rsidRPr="00F162E5" w:rsidRDefault="006573C5" w:rsidP="00F162E5">
            <w:pPr>
              <w:pStyle w:val="Default"/>
              <w:rPr>
                <w:rFonts w:asciiTheme="minorHAnsi" w:hAnsiTheme="minorHAnsi" w:cstheme="minorBidi"/>
                <w:color w:val="auto"/>
              </w:rPr>
            </w:pPr>
          </w:p>
          <w:p w:rsidR="006F3009" w:rsidRPr="00F162E5" w:rsidRDefault="006573C5" w:rsidP="00F162E5">
            <w:pPr>
              <w:pStyle w:val="Default"/>
              <w:rPr>
                <w:rFonts w:asciiTheme="minorHAnsi" w:hAnsiTheme="minorHAnsi"/>
              </w:rPr>
            </w:pPr>
            <w:r w:rsidRPr="00F162E5">
              <w:rPr>
                <w:rFonts w:asciiTheme="minorHAnsi" w:hAnsiTheme="minorHAnsi" w:cstheme="minorBidi"/>
                <w:color w:val="auto"/>
              </w:rPr>
              <w:t xml:space="preserve">Wspólnym efektem planowanych działań </w:t>
            </w:r>
            <w:r w:rsidR="00063259" w:rsidRPr="00F162E5">
              <w:rPr>
                <w:rFonts w:asciiTheme="minorHAnsi" w:hAnsiTheme="minorHAnsi" w:cstheme="minorBidi"/>
                <w:color w:val="auto"/>
              </w:rPr>
              <w:t>jest rozwój usług społecznych w </w:t>
            </w:r>
            <w:r w:rsidRPr="00F162E5">
              <w:rPr>
                <w:rFonts w:asciiTheme="minorHAnsi" w:hAnsiTheme="minorHAnsi" w:cstheme="minorBidi"/>
                <w:color w:val="auto"/>
              </w:rPr>
              <w:t>społeczności lokalnej mieszkańców gmin WrOF</w:t>
            </w:r>
            <w:r w:rsidR="007E50AC" w:rsidRPr="00F162E5">
              <w:rPr>
                <w:rFonts w:asciiTheme="minorHAnsi" w:hAnsiTheme="minorHAnsi" w:cstheme="minorBidi"/>
                <w:color w:val="auto"/>
              </w:rPr>
              <w:t xml:space="preserve"> </w:t>
            </w:r>
            <w:r w:rsidR="00F168A0" w:rsidRPr="00F162E5">
              <w:rPr>
                <w:rFonts w:asciiTheme="minorHAnsi" w:hAnsiTheme="minorHAnsi"/>
                <w:bCs/>
              </w:rPr>
              <w:t>tj.</w:t>
            </w:r>
            <w:r w:rsidR="007E50AC" w:rsidRPr="00F162E5">
              <w:rPr>
                <w:rFonts w:asciiTheme="minorHAnsi" w:hAnsiTheme="minorHAnsi"/>
                <w:bCs/>
              </w:rPr>
              <w:t xml:space="preserve"> </w:t>
            </w:r>
            <w:r w:rsidR="00F168A0" w:rsidRPr="00F162E5">
              <w:rPr>
                <w:rFonts w:asciiTheme="minorHAnsi" w:hAnsiTheme="minorHAnsi"/>
              </w:rPr>
              <w:t>objęcie wsparciem</w:t>
            </w:r>
            <w:r w:rsidR="007E50AC" w:rsidRPr="00F162E5">
              <w:rPr>
                <w:rFonts w:asciiTheme="minorHAnsi" w:hAnsiTheme="minorHAnsi"/>
              </w:rPr>
              <w:t xml:space="preserve"> </w:t>
            </w:r>
            <w:r w:rsidR="00F168A0" w:rsidRPr="00F162E5">
              <w:rPr>
                <w:rFonts w:asciiTheme="minorHAnsi" w:hAnsiTheme="minorHAnsi"/>
              </w:rPr>
              <w:t>mieszkańców 15 gmin WrOF</w:t>
            </w:r>
            <w:r w:rsidR="0033596F" w:rsidRPr="00F162E5">
              <w:rPr>
                <w:rFonts w:asciiTheme="minorHAnsi" w:hAnsiTheme="minorHAnsi"/>
              </w:rPr>
              <w:t>.</w:t>
            </w:r>
          </w:p>
        </w:tc>
      </w:tr>
    </w:tbl>
    <w:p w:rsidR="00F162E5" w:rsidRDefault="00F162E5" w:rsidP="00A131D9">
      <w:pPr>
        <w:rPr>
          <w:sz w:val="4"/>
          <w:highlight w:val="yellow"/>
        </w:rPr>
      </w:pPr>
      <w:r>
        <w:rPr>
          <w:sz w:val="4"/>
          <w:highlight w:val="yellow"/>
        </w:rPr>
        <w:br w:type="page"/>
      </w:r>
    </w:p>
    <w:p w:rsidR="00F9415A" w:rsidRDefault="00F9415A" w:rsidP="00A131D9">
      <w:pPr>
        <w:rPr>
          <w:sz w:val="4"/>
          <w:highlight w:val="yellow"/>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2"/>
        <w:tblDescription w:val="Upowszechnienie dostępu do edukacji przedszkolnej oraz wsparcie kształcenia zawodowego na terenie"/>
      </w:tblPr>
      <w:tblGrid>
        <w:gridCol w:w="1705"/>
        <w:gridCol w:w="7367"/>
      </w:tblGrid>
      <w:tr w:rsidR="00121D0C" w:rsidRPr="00F162E5" w:rsidTr="00121D0C">
        <w:trPr>
          <w:trHeight w:val="794"/>
          <w:tblHeader/>
          <w:jc w:val="center"/>
        </w:trPr>
        <w:tc>
          <w:tcPr>
            <w:tcW w:w="1677" w:type="dxa"/>
            <w:shd w:val="clear" w:color="auto" w:fill="D9D9D9" w:themeFill="background1" w:themeFillShade="D9"/>
            <w:vAlign w:val="center"/>
          </w:tcPr>
          <w:p w:rsidR="00121D0C" w:rsidRPr="00F162E5" w:rsidRDefault="00121D0C" w:rsidP="00121D0C">
            <w:pPr>
              <w:spacing w:line="240" w:lineRule="auto"/>
              <w:jc w:val="left"/>
              <w:rPr>
                <w:b/>
                <w:sz w:val="24"/>
                <w:szCs w:val="24"/>
                <w:highlight w:val="yellow"/>
              </w:rPr>
            </w:pPr>
            <w:r w:rsidRPr="00F162E5">
              <w:rPr>
                <w:b/>
                <w:sz w:val="24"/>
                <w:szCs w:val="24"/>
              </w:rPr>
              <w:t>Wiązka projektów 2</w:t>
            </w:r>
          </w:p>
        </w:tc>
        <w:tc>
          <w:tcPr>
            <w:tcW w:w="7248" w:type="dxa"/>
            <w:shd w:val="clear" w:color="auto" w:fill="D9D9D9" w:themeFill="background1" w:themeFillShade="D9"/>
            <w:vAlign w:val="center"/>
          </w:tcPr>
          <w:p w:rsidR="00121D0C" w:rsidRPr="00F162E5" w:rsidRDefault="00121D0C" w:rsidP="00121D0C">
            <w:pPr>
              <w:spacing w:line="240" w:lineRule="auto"/>
              <w:jc w:val="left"/>
              <w:rPr>
                <w:b/>
                <w:sz w:val="24"/>
                <w:szCs w:val="24"/>
                <w:highlight w:val="yellow"/>
              </w:rPr>
            </w:pPr>
            <w:r w:rsidRPr="00F162E5">
              <w:rPr>
                <w:b/>
                <w:sz w:val="24"/>
                <w:szCs w:val="24"/>
              </w:rPr>
              <w:t>Upowszechnienie dostępu do edukacji przedszkolnej oraz wsparcie kształcenia zawodowego na terenie Wrocławskiego Obszaru Funkcjonalnego</w:t>
            </w:r>
          </w:p>
        </w:tc>
      </w:tr>
      <w:tr w:rsidR="00F9415A" w:rsidRPr="00F162E5" w:rsidTr="00121D0C">
        <w:trPr>
          <w:jc w:val="center"/>
        </w:trPr>
        <w:tc>
          <w:tcPr>
            <w:tcW w:w="1677" w:type="dxa"/>
            <w:shd w:val="clear" w:color="auto" w:fill="F2F2F2" w:themeFill="background1" w:themeFillShade="F2"/>
            <w:vAlign w:val="center"/>
          </w:tcPr>
          <w:p w:rsidR="00F9415A" w:rsidRPr="00F162E5" w:rsidRDefault="00F9415A" w:rsidP="00121D0C">
            <w:pPr>
              <w:spacing w:line="240" w:lineRule="auto"/>
              <w:jc w:val="left"/>
              <w:rPr>
                <w:sz w:val="24"/>
                <w:szCs w:val="24"/>
              </w:rPr>
            </w:pPr>
            <w:r w:rsidRPr="00F162E5">
              <w:rPr>
                <w:sz w:val="24"/>
                <w:szCs w:val="24"/>
              </w:rPr>
              <w:t>Projekty w wiązce</w:t>
            </w:r>
          </w:p>
        </w:tc>
        <w:tc>
          <w:tcPr>
            <w:tcW w:w="7248" w:type="dxa"/>
          </w:tcPr>
          <w:p w:rsidR="00F9415A" w:rsidRPr="00F162E5" w:rsidRDefault="00F9415A" w:rsidP="00121D0C">
            <w:pPr>
              <w:spacing w:line="240" w:lineRule="auto"/>
              <w:jc w:val="left"/>
              <w:rPr>
                <w:b/>
                <w:sz w:val="24"/>
                <w:szCs w:val="24"/>
              </w:rPr>
            </w:pPr>
            <w:r w:rsidRPr="00F162E5">
              <w:rPr>
                <w:b/>
                <w:sz w:val="24"/>
                <w:szCs w:val="24"/>
              </w:rPr>
              <w:t>Projekty podstawowe:</w:t>
            </w:r>
          </w:p>
          <w:p w:rsidR="00AB0020" w:rsidRPr="00F162E5" w:rsidRDefault="00AB0020" w:rsidP="00121D0C">
            <w:pPr>
              <w:pStyle w:val="Akapitzlist"/>
              <w:numPr>
                <w:ilvl w:val="0"/>
                <w:numId w:val="12"/>
              </w:numPr>
              <w:spacing w:line="240" w:lineRule="auto"/>
              <w:ind w:left="360"/>
              <w:jc w:val="left"/>
              <w:rPr>
                <w:sz w:val="24"/>
                <w:szCs w:val="24"/>
              </w:rPr>
            </w:pPr>
            <w:r w:rsidRPr="00F162E5">
              <w:rPr>
                <w:sz w:val="24"/>
                <w:szCs w:val="24"/>
              </w:rPr>
              <w:t>Rozwój edukacji przedszkolnej w gminach Czernica, Długołęka, Oleśnica</w:t>
            </w:r>
            <w:r w:rsidR="001E7055" w:rsidRPr="00F162E5">
              <w:rPr>
                <w:sz w:val="24"/>
                <w:szCs w:val="24"/>
              </w:rPr>
              <w:t xml:space="preserve"> (gmina wiejska)</w:t>
            </w:r>
            <w:r w:rsidRPr="00F162E5">
              <w:rPr>
                <w:sz w:val="24"/>
                <w:szCs w:val="24"/>
              </w:rPr>
              <w:t>, Sobótka, Wisznia Mała, Zawonia i Żórawina</w:t>
            </w:r>
          </w:p>
          <w:p w:rsidR="00AB0020" w:rsidRPr="00F162E5" w:rsidRDefault="00AB0020" w:rsidP="00121D0C">
            <w:pPr>
              <w:pStyle w:val="Akapitzlist"/>
              <w:numPr>
                <w:ilvl w:val="0"/>
                <w:numId w:val="12"/>
              </w:numPr>
              <w:spacing w:line="240" w:lineRule="auto"/>
              <w:ind w:left="360"/>
              <w:jc w:val="left"/>
              <w:rPr>
                <w:sz w:val="24"/>
                <w:szCs w:val="24"/>
              </w:rPr>
            </w:pPr>
            <w:r w:rsidRPr="00F162E5">
              <w:rPr>
                <w:sz w:val="24"/>
                <w:szCs w:val="24"/>
              </w:rPr>
              <w:t xml:space="preserve">Wsparcie kształcenia zawodowego na terenie ZIT WrOF w Powiecie Wrocławskim </w:t>
            </w:r>
          </w:p>
          <w:p w:rsidR="00AB0020" w:rsidRPr="00F162E5" w:rsidRDefault="00AB0020" w:rsidP="00121D0C">
            <w:pPr>
              <w:pStyle w:val="Akapitzlist"/>
              <w:numPr>
                <w:ilvl w:val="0"/>
                <w:numId w:val="12"/>
              </w:numPr>
              <w:spacing w:line="240" w:lineRule="auto"/>
              <w:ind w:left="360"/>
              <w:jc w:val="left"/>
              <w:rPr>
                <w:sz w:val="24"/>
                <w:szCs w:val="24"/>
              </w:rPr>
            </w:pPr>
            <w:r w:rsidRPr="00F162E5">
              <w:rPr>
                <w:sz w:val="24"/>
                <w:szCs w:val="24"/>
              </w:rPr>
              <w:t xml:space="preserve">Zespół Szkół Zawodowych im. Marii </w:t>
            </w:r>
            <w:proofErr w:type="spellStart"/>
            <w:r w:rsidRPr="00F162E5">
              <w:rPr>
                <w:sz w:val="24"/>
                <w:szCs w:val="24"/>
              </w:rPr>
              <w:t>Skłodowskiej-Curie</w:t>
            </w:r>
            <w:proofErr w:type="spellEnd"/>
            <w:r w:rsidRPr="00F162E5">
              <w:rPr>
                <w:sz w:val="24"/>
                <w:szCs w:val="24"/>
              </w:rPr>
              <w:t xml:space="preserve"> w Oleśnicy stawia na rozwój! </w:t>
            </w:r>
          </w:p>
          <w:p w:rsidR="00F9415A" w:rsidRPr="00F162E5" w:rsidRDefault="00AB0020" w:rsidP="00121D0C">
            <w:pPr>
              <w:pStyle w:val="Akapitzlist"/>
              <w:numPr>
                <w:ilvl w:val="0"/>
                <w:numId w:val="11"/>
              </w:numPr>
              <w:spacing w:line="240" w:lineRule="auto"/>
              <w:ind w:left="360"/>
              <w:jc w:val="left"/>
              <w:rPr>
                <w:sz w:val="24"/>
                <w:szCs w:val="24"/>
              </w:rPr>
            </w:pPr>
            <w:r w:rsidRPr="00F162E5">
              <w:rPr>
                <w:sz w:val="24"/>
                <w:szCs w:val="24"/>
              </w:rPr>
              <w:t>Bliżej rynku pracy. Wsparcie rozwoju edukacji zawodowej we Wrocławiu</w:t>
            </w:r>
          </w:p>
        </w:tc>
      </w:tr>
      <w:tr w:rsidR="00F9415A" w:rsidRPr="00F162E5" w:rsidTr="00121D0C">
        <w:trPr>
          <w:jc w:val="center"/>
        </w:trPr>
        <w:tc>
          <w:tcPr>
            <w:tcW w:w="1677" w:type="dxa"/>
            <w:shd w:val="clear" w:color="auto" w:fill="F2F2F2" w:themeFill="background1" w:themeFillShade="F2"/>
            <w:vAlign w:val="center"/>
          </w:tcPr>
          <w:p w:rsidR="00F9415A" w:rsidRPr="00F162E5" w:rsidRDefault="00F9415A" w:rsidP="00121D0C">
            <w:pPr>
              <w:spacing w:line="240" w:lineRule="auto"/>
              <w:jc w:val="left"/>
              <w:rPr>
                <w:sz w:val="24"/>
                <w:szCs w:val="24"/>
              </w:rPr>
            </w:pPr>
            <w:r w:rsidRPr="00F162E5">
              <w:rPr>
                <w:sz w:val="24"/>
                <w:szCs w:val="24"/>
              </w:rPr>
              <w:t>Cel szczegółowy FEDS 2021-2027</w:t>
            </w:r>
          </w:p>
        </w:tc>
        <w:tc>
          <w:tcPr>
            <w:tcW w:w="7248" w:type="dxa"/>
          </w:tcPr>
          <w:p w:rsidR="00F9415A" w:rsidRPr="00F162E5" w:rsidRDefault="00F9415A" w:rsidP="00121D0C">
            <w:pPr>
              <w:spacing w:line="240" w:lineRule="auto"/>
              <w:jc w:val="left"/>
              <w:rPr>
                <w:b/>
                <w:sz w:val="24"/>
                <w:szCs w:val="24"/>
              </w:rPr>
            </w:pPr>
            <w:r w:rsidRPr="00F162E5">
              <w:rPr>
                <w:b/>
                <w:sz w:val="24"/>
                <w:szCs w:val="24"/>
              </w:rPr>
              <w:t>ESO4.6. Wspieranie równego dostępu do dobrej jakości, włączającego kształcenia i szkolenia oraz możliwości ic</w:t>
            </w:r>
            <w:r w:rsidR="00173E0D" w:rsidRPr="00F162E5">
              <w:rPr>
                <w:b/>
                <w:sz w:val="24"/>
                <w:szCs w:val="24"/>
              </w:rPr>
              <w:t>h ukończenia, w szczególności w </w:t>
            </w:r>
            <w:r w:rsidRPr="00F162E5">
              <w:rPr>
                <w:b/>
                <w:sz w:val="24"/>
                <w:szCs w:val="24"/>
              </w:rPr>
              <w:t>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r>
      <w:tr w:rsidR="00F9415A" w:rsidRPr="00F162E5" w:rsidTr="00121D0C">
        <w:trPr>
          <w:jc w:val="center"/>
        </w:trPr>
        <w:tc>
          <w:tcPr>
            <w:tcW w:w="1677" w:type="dxa"/>
            <w:shd w:val="clear" w:color="auto" w:fill="F2F2F2" w:themeFill="background1" w:themeFillShade="F2"/>
            <w:vAlign w:val="center"/>
          </w:tcPr>
          <w:p w:rsidR="00F9415A" w:rsidRPr="00F162E5" w:rsidRDefault="00F9415A" w:rsidP="00121D0C">
            <w:pPr>
              <w:spacing w:line="240" w:lineRule="auto"/>
              <w:jc w:val="left"/>
              <w:rPr>
                <w:sz w:val="24"/>
                <w:szCs w:val="24"/>
              </w:rPr>
            </w:pPr>
            <w:r w:rsidRPr="00F162E5">
              <w:rPr>
                <w:sz w:val="24"/>
                <w:szCs w:val="24"/>
              </w:rPr>
              <w:t>Uzasadnienie realizacji wiązki projektów</w:t>
            </w:r>
          </w:p>
        </w:tc>
        <w:tc>
          <w:tcPr>
            <w:tcW w:w="7248" w:type="dxa"/>
          </w:tcPr>
          <w:p w:rsidR="00A85BC0" w:rsidRPr="00F162E5" w:rsidRDefault="00A85BC0" w:rsidP="00121D0C">
            <w:pPr>
              <w:pStyle w:val="Default"/>
              <w:rPr>
                <w:rFonts w:asciiTheme="minorHAnsi" w:hAnsiTheme="minorHAnsi" w:cstheme="minorBidi"/>
                <w:color w:val="auto"/>
              </w:rPr>
            </w:pPr>
            <w:r w:rsidRPr="00F162E5">
              <w:rPr>
                <w:rFonts w:asciiTheme="minorHAnsi" w:hAnsiTheme="minorHAnsi" w:cstheme="minorBidi"/>
                <w:color w:val="auto"/>
              </w:rPr>
              <w:t xml:space="preserve">Z uwagi na dynamiczne zmiany, m.in. zjawiska migracyjne, </w:t>
            </w:r>
            <w:proofErr w:type="spellStart"/>
            <w:r w:rsidRPr="00F162E5">
              <w:rPr>
                <w:rFonts w:asciiTheme="minorHAnsi" w:hAnsiTheme="minorHAnsi" w:cstheme="minorBidi"/>
                <w:color w:val="auto"/>
              </w:rPr>
              <w:t>suburbanizację</w:t>
            </w:r>
            <w:proofErr w:type="spellEnd"/>
            <w:r w:rsidR="009B01F5" w:rsidRPr="00F162E5">
              <w:rPr>
                <w:rFonts w:asciiTheme="minorHAnsi" w:hAnsiTheme="minorHAnsi" w:cstheme="minorBidi"/>
                <w:color w:val="auto"/>
              </w:rPr>
              <w:t xml:space="preserve"> czy </w:t>
            </w:r>
            <w:r w:rsidRPr="00F162E5">
              <w:rPr>
                <w:rFonts w:asciiTheme="minorHAnsi" w:hAnsiTheme="minorHAnsi" w:cstheme="minorBidi"/>
                <w:color w:val="auto"/>
              </w:rPr>
              <w:t>wzrost liczby osób w wieku przedprodukcyjnym, potrzebne jest wsparcie rozwoju wychowania przedszkolnego we WrOF, w szczególności w postaci rozbudowy istniejącej lub budowy nowe</w:t>
            </w:r>
            <w:r w:rsidR="009B01F5" w:rsidRPr="00F162E5">
              <w:rPr>
                <w:rFonts w:asciiTheme="minorHAnsi" w:hAnsiTheme="minorHAnsi" w:cstheme="minorBidi"/>
                <w:color w:val="auto"/>
              </w:rPr>
              <w:t>j infrastruktury. Wpłynie to na </w:t>
            </w:r>
            <w:r w:rsidRPr="00F162E5">
              <w:rPr>
                <w:rFonts w:asciiTheme="minorHAnsi" w:hAnsiTheme="minorHAnsi" w:cstheme="minorBidi"/>
                <w:color w:val="auto"/>
              </w:rPr>
              <w:t>rozwiązanie wspólnych problemów obszaru, związanych z nierównomiernym dostępem do tego rodzaju usług ma terenie WrOF.</w:t>
            </w:r>
            <w:r w:rsidR="00847CA1" w:rsidRPr="00F162E5">
              <w:rPr>
                <w:rFonts w:asciiTheme="minorHAnsi" w:hAnsiTheme="minorHAnsi" w:cstheme="minorBidi"/>
                <w:color w:val="auto"/>
              </w:rPr>
              <w:t xml:space="preserve"> </w:t>
            </w:r>
            <w:r w:rsidRPr="00F162E5">
              <w:rPr>
                <w:rFonts w:asciiTheme="minorHAnsi" w:hAnsiTheme="minorHAnsi" w:cstheme="minorBidi"/>
                <w:color w:val="auto"/>
              </w:rPr>
              <w:t>Zwiększenie liczby mie</w:t>
            </w:r>
            <w:r w:rsidR="00063259" w:rsidRPr="00F162E5">
              <w:rPr>
                <w:rFonts w:asciiTheme="minorHAnsi" w:hAnsiTheme="minorHAnsi" w:cstheme="minorBidi"/>
                <w:color w:val="auto"/>
              </w:rPr>
              <w:t>jsc opieki przedszkolnej wraz z </w:t>
            </w:r>
            <w:r w:rsidRPr="00F162E5">
              <w:rPr>
                <w:rFonts w:asciiTheme="minorHAnsi" w:hAnsiTheme="minorHAnsi" w:cstheme="minorBidi"/>
                <w:color w:val="auto"/>
              </w:rPr>
              <w:t xml:space="preserve">zapewnieniem odpowiedniej liczby zajęć dodatkowych wpłynie pozytywnie na zwiększenie atrakcyjności gmin obszaru WrOF. </w:t>
            </w:r>
          </w:p>
          <w:p w:rsidR="00A85BC0" w:rsidRPr="00F162E5" w:rsidRDefault="00A85BC0" w:rsidP="00121D0C">
            <w:pPr>
              <w:pStyle w:val="Default"/>
              <w:rPr>
                <w:rFonts w:asciiTheme="minorHAnsi" w:hAnsiTheme="minorHAnsi" w:cstheme="minorBidi"/>
                <w:color w:val="auto"/>
              </w:rPr>
            </w:pPr>
          </w:p>
          <w:p w:rsidR="00A85BC0" w:rsidRPr="00F162E5" w:rsidRDefault="00A85BC0" w:rsidP="00121D0C">
            <w:pPr>
              <w:pStyle w:val="Default"/>
              <w:rPr>
                <w:rFonts w:asciiTheme="minorHAnsi" w:hAnsiTheme="minorHAnsi" w:cstheme="minorBidi"/>
                <w:color w:val="auto"/>
              </w:rPr>
            </w:pPr>
            <w:r w:rsidRPr="00F162E5">
              <w:rPr>
                <w:rFonts w:asciiTheme="minorHAnsi" w:hAnsiTheme="minorHAnsi" w:cstheme="minorBidi"/>
                <w:color w:val="auto"/>
              </w:rPr>
              <w:t xml:space="preserve">W związku z przekształceniami struktury demograficznej istotne jest również uzupełnienie kadr oświaty w placówkach kształcenia zawodowego, wraz z ich szkoleniem i poprawą kompetencji. We WrOF konieczna jest nie tylko rozbudowa infrastruktury i powstawanie nowych placówek edukacyjnych, ale również wyposażenie </w:t>
            </w:r>
            <w:proofErr w:type="spellStart"/>
            <w:r w:rsidRPr="00F162E5">
              <w:rPr>
                <w:rFonts w:asciiTheme="minorHAnsi" w:hAnsiTheme="minorHAnsi" w:cstheme="minorBidi"/>
                <w:color w:val="auto"/>
              </w:rPr>
              <w:t>sal</w:t>
            </w:r>
            <w:proofErr w:type="spellEnd"/>
            <w:r w:rsidRPr="00F162E5">
              <w:rPr>
                <w:rFonts w:asciiTheme="minorHAnsi" w:hAnsiTheme="minorHAnsi" w:cstheme="minorBidi"/>
                <w:color w:val="auto"/>
              </w:rPr>
              <w:t xml:space="preserve"> czy zakup sprzętu i pomocy dydaktycznej.</w:t>
            </w:r>
            <w:r w:rsidR="009B01F5" w:rsidRPr="00F162E5">
              <w:rPr>
                <w:rFonts w:asciiTheme="minorHAnsi" w:hAnsiTheme="minorHAnsi" w:cstheme="minorBidi"/>
                <w:color w:val="auto"/>
              </w:rPr>
              <w:t xml:space="preserve"> </w:t>
            </w:r>
            <w:r w:rsidRPr="00F162E5">
              <w:rPr>
                <w:rFonts w:asciiTheme="minorHAnsi" w:hAnsiTheme="minorHAnsi" w:cstheme="minorBidi"/>
                <w:color w:val="auto"/>
              </w:rPr>
              <w:t xml:space="preserve">Ważne jest również systematyczne podnoszenie jakości nauczania, organizacja dodatkowych zajęć oraz staży dla uczniów </w:t>
            </w:r>
            <w:r w:rsidR="009B01F5" w:rsidRPr="00F162E5">
              <w:rPr>
                <w:rFonts w:asciiTheme="minorHAnsi" w:hAnsiTheme="minorHAnsi" w:cstheme="minorBidi"/>
                <w:color w:val="auto"/>
              </w:rPr>
              <w:t xml:space="preserve">szkół </w:t>
            </w:r>
            <w:r w:rsidRPr="00F162E5">
              <w:rPr>
                <w:rFonts w:asciiTheme="minorHAnsi" w:hAnsiTheme="minorHAnsi" w:cstheme="minorBidi"/>
                <w:color w:val="auto"/>
              </w:rPr>
              <w:t>branżowych</w:t>
            </w:r>
            <w:r w:rsidR="009B01F5" w:rsidRPr="00F162E5">
              <w:rPr>
                <w:rFonts w:asciiTheme="minorHAnsi" w:hAnsiTheme="minorHAnsi" w:cstheme="minorBidi"/>
                <w:color w:val="auto"/>
              </w:rPr>
              <w:t>.</w:t>
            </w:r>
            <w:r w:rsidRPr="00F162E5">
              <w:rPr>
                <w:rFonts w:asciiTheme="minorHAnsi" w:hAnsiTheme="minorHAnsi" w:cstheme="minorBidi"/>
                <w:color w:val="auto"/>
              </w:rPr>
              <w:t xml:space="preserve"> </w:t>
            </w:r>
          </w:p>
          <w:p w:rsidR="00780DC9" w:rsidRPr="00F162E5" w:rsidRDefault="00780DC9" w:rsidP="00121D0C">
            <w:pPr>
              <w:pStyle w:val="Default"/>
              <w:rPr>
                <w:rFonts w:asciiTheme="minorHAnsi" w:hAnsiTheme="minorHAnsi" w:cstheme="minorBidi"/>
                <w:color w:val="auto"/>
              </w:rPr>
            </w:pPr>
          </w:p>
          <w:p w:rsidR="00780DC9" w:rsidRPr="00F162E5" w:rsidRDefault="00A85BC0" w:rsidP="00121D0C">
            <w:pPr>
              <w:spacing w:line="240" w:lineRule="auto"/>
              <w:jc w:val="left"/>
              <w:rPr>
                <w:sz w:val="24"/>
                <w:szCs w:val="24"/>
              </w:rPr>
            </w:pPr>
            <w:r w:rsidRPr="00F162E5">
              <w:rPr>
                <w:sz w:val="24"/>
                <w:szCs w:val="24"/>
              </w:rPr>
              <w:t>Wszystkie projekty wchodzące w skład wiązki obejmują wsparciem mieszkańców co najmniej 2 gmin WrOF, ponieważ uczniowie szkół , które są planowane do objęcia wsparciem w ramach projektów dotyczących kształcenia zawodowego, są mieszkańcami różnych gmin. Natomiast projekt dotyczący rozwoju edukacji przedszkolnej jest projektem partnerskim</w:t>
            </w:r>
            <w:r w:rsidR="00063259" w:rsidRPr="00F162E5">
              <w:rPr>
                <w:sz w:val="24"/>
                <w:szCs w:val="24"/>
              </w:rPr>
              <w:t xml:space="preserve">i </w:t>
            </w:r>
            <w:r w:rsidR="00D9259E" w:rsidRPr="00F162E5">
              <w:rPr>
                <w:sz w:val="24"/>
                <w:szCs w:val="24"/>
              </w:rPr>
              <w:t>jedn</w:t>
            </w:r>
            <w:r w:rsidR="0044461C" w:rsidRPr="00F162E5">
              <w:rPr>
                <w:sz w:val="24"/>
                <w:szCs w:val="24"/>
              </w:rPr>
              <w:t>o</w:t>
            </w:r>
            <w:r w:rsidR="00D9259E" w:rsidRPr="00F162E5">
              <w:rPr>
                <w:sz w:val="24"/>
                <w:szCs w:val="24"/>
              </w:rPr>
              <w:t>stek samorządu terytorialnego</w:t>
            </w:r>
            <w:r w:rsidR="009D4FCD" w:rsidRPr="00F162E5">
              <w:rPr>
                <w:sz w:val="24"/>
                <w:szCs w:val="24"/>
              </w:rPr>
              <w:t xml:space="preserve"> oraz </w:t>
            </w:r>
            <w:r w:rsidRPr="00F162E5">
              <w:rPr>
                <w:sz w:val="24"/>
                <w:szCs w:val="24"/>
              </w:rPr>
              <w:t>będzie realizowany w więcej niż jednej gminie WrOF. Zidentyfikowane problemy, na które odpowiadają projekty są tożsame i występują ma różnych obszarach</w:t>
            </w:r>
            <w:r w:rsidR="00780DC9" w:rsidRPr="00F162E5">
              <w:rPr>
                <w:sz w:val="24"/>
                <w:szCs w:val="24"/>
              </w:rPr>
              <w:t>.</w:t>
            </w:r>
          </w:p>
          <w:p w:rsidR="00A85BC0" w:rsidRPr="00F162E5" w:rsidRDefault="00A85BC0" w:rsidP="00121D0C">
            <w:pPr>
              <w:spacing w:line="240" w:lineRule="auto"/>
              <w:jc w:val="left"/>
              <w:rPr>
                <w:sz w:val="24"/>
                <w:szCs w:val="24"/>
              </w:rPr>
            </w:pPr>
          </w:p>
          <w:p w:rsidR="00A85BC0" w:rsidRPr="00F162E5" w:rsidRDefault="00A85BC0" w:rsidP="00121D0C">
            <w:pPr>
              <w:spacing w:line="240" w:lineRule="auto"/>
              <w:jc w:val="left"/>
              <w:rPr>
                <w:rFonts w:cstheme="minorHAnsi"/>
                <w:bCs/>
                <w:color w:val="000000" w:themeColor="text1"/>
                <w:sz w:val="24"/>
                <w:szCs w:val="24"/>
              </w:rPr>
            </w:pPr>
            <w:r w:rsidRPr="00F162E5">
              <w:rPr>
                <w:rFonts w:cstheme="minorHAnsi"/>
                <w:bCs/>
                <w:color w:val="000000" w:themeColor="text1"/>
                <w:sz w:val="24"/>
                <w:szCs w:val="24"/>
              </w:rPr>
              <w:t>Projekty wchodzące w skład wiązki spełniają wymogi definicji projektu zintegrowanego, tj. wpisują się w cele rozwoju obszaru funkcjonalnego objętego instrumentem, tj. Strategii ZIT WrOF i są ukierunkowane na rozwiązywanie wspólnych problemów w obszarze pn. „</w:t>
            </w:r>
            <w:r w:rsidRPr="00F162E5">
              <w:rPr>
                <w:sz w:val="24"/>
                <w:szCs w:val="24"/>
              </w:rPr>
              <w:t>Wspieranie równego dostępu do wysokiej jakości kształcenia i szkolenia</w:t>
            </w:r>
            <w:r w:rsidRPr="00F162E5">
              <w:rPr>
                <w:rFonts w:cstheme="minorHAnsi"/>
                <w:bCs/>
                <w:color w:val="000000" w:themeColor="text1"/>
                <w:sz w:val="24"/>
                <w:szCs w:val="24"/>
              </w:rPr>
              <w:t>. Ponadto ich realiz</w:t>
            </w:r>
            <w:r w:rsidR="00063259" w:rsidRPr="00F162E5">
              <w:rPr>
                <w:rFonts w:cstheme="minorHAnsi"/>
                <w:bCs/>
                <w:color w:val="000000" w:themeColor="text1"/>
                <w:sz w:val="24"/>
                <w:szCs w:val="24"/>
              </w:rPr>
              <w:t>acja jest uzasadniona zarówno w </w:t>
            </w:r>
            <w:r w:rsidRPr="00F162E5">
              <w:rPr>
                <w:rFonts w:cstheme="minorHAnsi"/>
                <w:bCs/>
                <w:color w:val="000000" w:themeColor="text1"/>
                <w:sz w:val="24"/>
                <w:szCs w:val="24"/>
              </w:rPr>
              <w:t xml:space="preserve">części diagnostycznej, jak i kierunkowej Strategii ZIT WrOF. </w:t>
            </w:r>
          </w:p>
          <w:p w:rsidR="008E0897" w:rsidRPr="00F162E5" w:rsidRDefault="008E0897" w:rsidP="00121D0C">
            <w:pPr>
              <w:spacing w:line="240" w:lineRule="auto"/>
              <w:jc w:val="left"/>
              <w:rPr>
                <w:rFonts w:cstheme="minorHAnsi"/>
                <w:bCs/>
                <w:color w:val="000000" w:themeColor="text1"/>
                <w:sz w:val="24"/>
                <w:szCs w:val="24"/>
              </w:rPr>
            </w:pPr>
          </w:p>
          <w:p w:rsidR="00D5289E" w:rsidRPr="00F162E5" w:rsidRDefault="008E0897" w:rsidP="00121D0C">
            <w:pPr>
              <w:spacing w:line="240" w:lineRule="auto"/>
              <w:jc w:val="left"/>
              <w:rPr>
                <w:rFonts w:cstheme="minorHAnsi"/>
                <w:bCs/>
                <w:color w:val="000000" w:themeColor="text1"/>
                <w:sz w:val="24"/>
                <w:szCs w:val="24"/>
              </w:rPr>
            </w:pPr>
            <w:r w:rsidRPr="00F162E5">
              <w:rPr>
                <w:sz w:val="24"/>
                <w:szCs w:val="24"/>
              </w:rPr>
              <w:t>Wiązka projektów  spełnia  warunki  projektu zintegrowanego tj. stanowi grupę projektów powiązanych ze sobą merytorycznie (zawiera podobne typy  projektów) oraz funkcjonalnie (zintegrowany</w:t>
            </w:r>
            <w:r w:rsidR="009B01F5" w:rsidRPr="00F162E5">
              <w:rPr>
                <w:sz w:val="24"/>
                <w:szCs w:val="24"/>
              </w:rPr>
              <w:t xml:space="preserve"> wpływ realizacji projektów  na </w:t>
            </w:r>
            <w:r w:rsidRPr="00F162E5">
              <w:rPr>
                <w:sz w:val="24"/>
                <w:szCs w:val="24"/>
              </w:rPr>
              <w:t>obszar  ZIT).  Na etapie przygotowania projekty tworzące wiązkę  były opracowywane  równolegle i w sposób skoordynowany,  tj.  ich opisy merytoryczne były przygotowywane przez gminy ZIT WrOF i przekazywane do Biura ZIT WrOF  w celu  wstępnej oceny komplementarnośc</w:t>
            </w:r>
            <w:r w:rsidR="005255DE" w:rsidRPr="00F162E5">
              <w:rPr>
                <w:sz w:val="24"/>
                <w:szCs w:val="24"/>
              </w:rPr>
              <w:t xml:space="preserve">i, </w:t>
            </w:r>
            <w:r w:rsidRPr="00F162E5">
              <w:rPr>
                <w:sz w:val="24"/>
                <w:szCs w:val="24"/>
              </w:rPr>
              <w:t>merytorycznej spójności między nimi oraz realizacji przez nie okr</w:t>
            </w:r>
            <w:r w:rsidR="009B01F5" w:rsidRPr="00F162E5">
              <w:rPr>
                <w:sz w:val="24"/>
                <w:szCs w:val="24"/>
              </w:rPr>
              <w:t>eślonych w Strategii Celów.  Na </w:t>
            </w:r>
            <w:r w:rsidRPr="00F162E5">
              <w:rPr>
                <w:sz w:val="24"/>
                <w:szCs w:val="24"/>
              </w:rPr>
              <w:t>etapie realizacji projekty będą synergiczne  w ramach</w:t>
            </w:r>
            <w:r w:rsidR="005255DE" w:rsidRPr="00F162E5">
              <w:rPr>
                <w:sz w:val="24"/>
                <w:szCs w:val="24"/>
              </w:rPr>
              <w:t>:</w:t>
            </w:r>
            <w:r w:rsidRPr="00F162E5">
              <w:rPr>
                <w:sz w:val="24"/>
                <w:szCs w:val="24"/>
              </w:rPr>
              <w:t xml:space="preserve"> okresu programowania i  wdra</w:t>
            </w:r>
            <w:r w:rsidR="009B01F5" w:rsidRPr="00F162E5">
              <w:rPr>
                <w:sz w:val="24"/>
                <w:szCs w:val="24"/>
              </w:rPr>
              <w:t xml:space="preserve">żane  w sposób skoordynowany na terenie </w:t>
            </w:r>
            <w:r w:rsidRPr="00F162E5">
              <w:rPr>
                <w:sz w:val="24"/>
                <w:szCs w:val="24"/>
              </w:rPr>
              <w:t>ZIT WrOF, dla którego została opracowana Strategia  oraz powiązań w zakresie rzeczowym, które przełożą się na realizację zidentyfikowanych w strategii celów, pri</w:t>
            </w:r>
            <w:r w:rsidR="009B01F5" w:rsidRPr="00F162E5">
              <w:rPr>
                <w:sz w:val="24"/>
                <w:szCs w:val="24"/>
              </w:rPr>
              <w:t>orytetów i kierunków działań, a </w:t>
            </w:r>
            <w:r w:rsidRPr="00F162E5">
              <w:rPr>
                <w:sz w:val="24"/>
                <w:szCs w:val="24"/>
              </w:rPr>
              <w:t>docelowo  realizację wskaźników produktu i rezultatu przewidzianych w Strategii.</w:t>
            </w:r>
          </w:p>
          <w:p w:rsidR="009B01F5" w:rsidRPr="00F162E5" w:rsidRDefault="009B01F5" w:rsidP="00121D0C">
            <w:pPr>
              <w:pStyle w:val="Default"/>
              <w:rPr>
                <w:rFonts w:asciiTheme="minorHAnsi" w:hAnsiTheme="minorHAnsi" w:cstheme="minorBidi"/>
                <w:color w:val="auto"/>
              </w:rPr>
            </w:pPr>
          </w:p>
          <w:p w:rsidR="009B01F5" w:rsidRPr="00F162E5" w:rsidRDefault="00D5289E" w:rsidP="00121D0C">
            <w:pPr>
              <w:pStyle w:val="Default"/>
              <w:rPr>
                <w:rFonts w:asciiTheme="minorHAnsi" w:hAnsiTheme="minorHAnsi" w:cstheme="minorBidi"/>
                <w:color w:val="auto"/>
              </w:rPr>
            </w:pPr>
            <w:r w:rsidRPr="00F162E5">
              <w:rPr>
                <w:rFonts w:asciiTheme="minorHAnsi" w:hAnsiTheme="minorHAnsi" w:cstheme="minorBidi"/>
                <w:color w:val="auto"/>
              </w:rPr>
              <w:t>Realizacja projekt</w:t>
            </w:r>
            <w:r w:rsidR="005B1EB8" w:rsidRPr="00F162E5">
              <w:rPr>
                <w:rFonts w:asciiTheme="minorHAnsi" w:hAnsiTheme="minorHAnsi" w:cstheme="minorBidi"/>
                <w:color w:val="auto"/>
              </w:rPr>
              <w:t>ów</w:t>
            </w:r>
            <w:r w:rsidRPr="00F162E5">
              <w:rPr>
                <w:rFonts w:asciiTheme="minorHAnsi" w:hAnsiTheme="minorHAnsi" w:cstheme="minorBidi"/>
                <w:color w:val="auto"/>
              </w:rPr>
              <w:t xml:space="preserve"> wynika z części kierunkowej Strategii ZIT WrOF tj. </w:t>
            </w:r>
          </w:p>
          <w:p w:rsidR="009B01F5" w:rsidRPr="00F162E5" w:rsidRDefault="00D5289E" w:rsidP="00121D0C">
            <w:pPr>
              <w:pStyle w:val="Default"/>
              <w:rPr>
                <w:rFonts w:asciiTheme="minorHAnsi" w:hAnsiTheme="minorHAnsi" w:cstheme="minorBidi"/>
                <w:b/>
                <w:color w:val="auto"/>
              </w:rPr>
            </w:pPr>
            <w:r w:rsidRPr="00F162E5">
              <w:rPr>
                <w:rFonts w:asciiTheme="minorHAnsi" w:hAnsiTheme="minorHAnsi" w:cstheme="minorBidi"/>
                <w:b/>
                <w:color w:val="auto"/>
              </w:rPr>
              <w:t>Cel strategiczny 1. Poprawa jakości życia na terenie WrOF</w:t>
            </w:r>
            <w:r w:rsidR="007674BC" w:rsidRPr="00F162E5">
              <w:rPr>
                <w:rFonts w:asciiTheme="minorHAnsi" w:hAnsiTheme="minorHAnsi" w:cstheme="minorBidi"/>
                <w:b/>
                <w:color w:val="auto"/>
              </w:rPr>
              <w:t xml:space="preserve">, </w:t>
            </w:r>
          </w:p>
          <w:p w:rsidR="00D5289E" w:rsidRPr="00F162E5" w:rsidRDefault="00D5289E" w:rsidP="00121D0C">
            <w:pPr>
              <w:pStyle w:val="Default"/>
              <w:rPr>
                <w:rFonts w:asciiTheme="minorHAnsi" w:hAnsiTheme="minorHAnsi" w:cstheme="minorBidi"/>
                <w:b/>
                <w:color w:val="auto"/>
              </w:rPr>
            </w:pPr>
            <w:r w:rsidRPr="00F162E5">
              <w:rPr>
                <w:rFonts w:asciiTheme="minorHAnsi" w:hAnsiTheme="minorHAnsi" w:cstheme="minorBidi"/>
                <w:b/>
                <w:color w:val="auto"/>
              </w:rPr>
              <w:t>Priorytet 3. Edukacja</w:t>
            </w:r>
            <w:r w:rsidR="007674BC" w:rsidRPr="00F162E5">
              <w:rPr>
                <w:rFonts w:asciiTheme="minorHAnsi" w:hAnsiTheme="minorHAnsi" w:cstheme="minorBidi"/>
                <w:b/>
                <w:color w:val="auto"/>
              </w:rPr>
              <w:t>,</w:t>
            </w:r>
          </w:p>
          <w:p w:rsidR="003134B2" w:rsidRPr="00F162E5" w:rsidRDefault="00D5289E" w:rsidP="00121D0C">
            <w:pPr>
              <w:pStyle w:val="Default"/>
              <w:rPr>
                <w:rFonts w:asciiTheme="minorHAnsi" w:hAnsiTheme="minorHAnsi" w:cstheme="minorBidi"/>
                <w:b/>
                <w:color w:val="auto"/>
              </w:rPr>
            </w:pPr>
            <w:r w:rsidRPr="00F162E5">
              <w:rPr>
                <w:rFonts w:asciiTheme="minorHAnsi" w:hAnsiTheme="minorHAnsi" w:cstheme="minorBidi"/>
                <w:b/>
                <w:color w:val="auto"/>
              </w:rPr>
              <w:t>Kierunek działania 3.1 Wspieranie dostępu do</w:t>
            </w:r>
            <w:r w:rsidR="00173E0D" w:rsidRPr="00F162E5">
              <w:rPr>
                <w:rFonts w:asciiTheme="minorHAnsi" w:hAnsiTheme="minorHAnsi" w:cstheme="minorBidi"/>
                <w:b/>
                <w:color w:val="auto"/>
              </w:rPr>
              <w:t xml:space="preserve"> wysokiej jakości kształcenia i </w:t>
            </w:r>
            <w:r w:rsidRPr="00F162E5">
              <w:rPr>
                <w:rFonts w:asciiTheme="minorHAnsi" w:hAnsiTheme="minorHAnsi" w:cstheme="minorBidi"/>
                <w:b/>
                <w:color w:val="auto"/>
              </w:rPr>
              <w:t>szkolenia</w:t>
            </w:r>
            <w:r w:rsidR="00D33978" w:rsidRPr="00F162E5">
              <w:rPr>
                <w:rFonts w:asciiTheme="minorHAnsi" w:hAnsiTheme="minorHAnsi" w:cstheme="minorBidi"/>
                <w:b/>
                <w:color w:val="auto"/>
              </w:rPr>
              <w:t>.</w:t>
            </w:r>
          </w:p>
          <w:p w:rsidR="00D5289E" w:rsidRPr="00F162E5" w:rsidRDefault="003134B2" w:rsidP="00121D0C">
            <w:pPr>
              <w:pStyle w:val="Default"/>
              <w:rPr>
                <w:rFonts w:asciiTheme="minorHAnsi" w:hAnsiTheme="minorHAnsi" w:cstheme="minorBidi"/>
                <w:color w:val="auto"/>
              </w:rPr>
            </w:pPr>
            <w:r w:rsidRPr="00F162E5">
              <w:rPr>
                <w:rFonts w:asciiTheme="minorHAnsi" w:hAnsiTheme="minorHAnsi" w:cstheme="minorBidi"/>
                <w:color w:val="auto"/>
              </w:rPr>
              <w:t>Wspólnym efektem planowanych działań jest wsparcie równego dostępu do dobrej jakości kształcenia zawodowego oraz wczesnej edukacji mieszkańców gmin WrOF.</w:t>
            </w:r>
          </w:p>
        </w:tc>
      </w:tr>
    </w:tbl>
    <w:p w:rsidR="00121D0C" w:rsidRDefault="00121D0C">
      <w:r>
        <w:br w:type="page"/>
      </w: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3"/>
        <w:tblDescription w:val="Termomodernizacja budynków użyteczności publicznej we Wrocławskim Obszarze Funkcjonalnym"/>
      </w:tblPr>
      <w:tblGrid>
        <w:gridCol w:w="1704"/>
        <w:gridCol w:w="7368"/>
      </w:tblGrid>
      <w:tr w:rsidR="00121D0C" w:rsidRPr="00121D0C" w:rsidTr="00121D0C">
        <w:trPr>
          <w:trHeight w:val="794"/>
          <w:tblHeader/>
          <w:jc w:val="center"/>
        </w:trPr>
        <w:tc>
          <w:tcPr>
            <w:tcW w:w="1704"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Pr>
                <w:rFonts w:ascii="Calibri" w:eastAsia="Calibri" w:hAnsi="Calibri" w:cs="Times New Roman"/>
                <w:b/>
                <w:sz w:val="24"/>
                <w:szCs w:val="24"/>
              </w:rPr>
              <w:t>Wiązka projektów 3</w:t>
            </w:r>
          </w:p>
        </w:tc>
        <w:tc>
          <w:tcPr>
            <w:tcW w:w="7368"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sidRPr="00121D0C">
              <w:rPr>
                <w:rFonts w:ascii="Calibri" w:eastAsia="Calibri" w:hAnsi="Calibri" w:cs="Times New Roman"/>
                <w:b/>
                <w:sz w:val="24"/>
                <w:szCs w:val="24"/>
              </w:rPr>
              <w:t>Termomodernizacja budynków użyteczności publicznej we Wrocławskim Obszarze Funkcjonalnym</w:t>
            </w:r>
          </w:p>
        </w:tc>
      </w:tr>
      <w:tr w:rsidR="00AA637C" w:rsidRPr="00121D0C" w:rsidTr="00121D0C">
        <w:trPr>
          <w:jc w:val="center"/>
        </w:trPr>
        <w:tc>
          <w:tcPr>
            <w:tcW w:w="1704"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Projekty w wiązce</w:t>
            </w:r>
          </w:p>
        </w:tc>
        <w:tc>
          <w:tcPr>
            <w:tcW w:w="7368" w:type="dxa"/>
            <w:vAlign w:val="center"/>
          </w:tcPr>
          <w:p w:rsidR="001B2504" w:rsidRPr="00121D0C" w:rsidRDefault="001B2504"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Projekty podstawowe:</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Poprawa efektywności energetycznej budynków publicznych w Gminie Wisznia Mała</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Termomodernizacja budynku znajdującego się na terenie Gminy Oborniki Śląskie</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Termomodernizacja obiektów użytec</w:t>
            </w:r>
            <w:r w:rsidR="007B5B6E" w:rsidRPr="00121D0C">
              <w:rPr>
                <w:rFonts w:cstheme="minorHAnsi"/>
                <w:sz w:val="24"/>
                <w:szCs w:val="24"/>
              </w:rPr>
              <w:t>zności publicznej w Żórawinie i </w:t>
            </w:r>
            <w:r w:rsidRPr="00121D0C">
              <w:rPr>
                <w:rFonts w:cstheme="minorHAnsi"/>
                <w:sz w:val="24"/>
                <w:szCs w:val="24"/>
              </w:rPr>
              <w:t>Polakowicach</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Termomodernizacja placówek oświatowych na terenie Gminy Miasta Oleśnicy</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Termomodernizacja obiektów użyteczności publicznej w Gminie Oleśnica</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Termomodernizacja istniejącego budynku U</w:t>
            </w:r>
            <w:r w:rsidR="007B5B6E" w:rsidRPr="00121D0C">
              <w:rPr>
                <w:rFonts w:cstheme="minorHAnsi"/>
                <w:sz w:val="24"/>
                <w:szCs w:val="24"/>
              </w:rPr>
              <w:t>G Dobroszyce wraz z </w:t>
            </w:r>
            <w:r w:rsidRPr="00121D0C">
              <w:rPr>
                <w:rFonts w:cstheme="minorHAnsi"/>
                <w:sz w:val="24"/>
                <w:szCs w:val="24"/>
              </w:rPr>
              <w:t>przebudową na inne cele publiczne</w:t>
            </w:r>
          </w:p>
          <w:p w:rsidR="001B2504" w:rsidRPr="00121D0C" w:rsidRDefault="001B2504" w:rsidP="00121D0C">
            <w:pPr>
              <w:pStyle w:val="Akapitzlist"/>
              <w:numPr>
                <w:ilvl w:val="0"/>
                <w:numId w:val="39"/>
              </w:numPr>
              <w:spacing w:line="240" w:lineRule="auto"/>
              <w:jc w:val="left"/>
              <w:rPr>
                <w:rFonts w:ascii="Calibri" w:eastAsia="Calibri" w:hAnsi="Calibri" w:cs="Times New Roman"/>
                <w:b/>
                <w:sz w:val="24"/>
                <w:szCs w:val="24"/>
              </w:rPr>
            </w:pPr>
            <w:r w:rsidRPr="00121D0C">
              <w:rPr>
                <w:rFonts w:cstheme="minorHAnsi"/>
                <w:sz w:val="24"/>
                <w:szCs w:val="24"/>
              </w:rPr>
              <w:t>Ograniczenie niskiej emisji w budynku użyteczności publicznej (Szkoła Podstawowa w Boleścinie) w Gminie Trzebnica</w:t>
            </w:r>
          </w:p>
          <w:p w:rsidR="001B2504" w:rsidRPr="00121D0C" w:rsidRDefault="001B2504"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 xml:space="preserve">Projekty rezerwowe: </w:t>
            </w:r>
          </w:p>
          <w:p w:rsidR="00AA637C" w:rsidRPr="00121D0C" w:rsidRDefault="001B2504" w:rsidP="00121D0C">
            <w:pPr>
              <w:pStyle w:val="Akapitzlist"/>
              <w:numPr>
                <w:ilvl w:val="0"/>
                <w:numId w:val="34"/>
              </w:numPr>
              <w:spacing w:line="240" w:lineRule="auto"/>
              <w:jc w:val="left"/>
              <w:rPr>
                <w:rFonts w:cstheme="minorHAnsi"/>
                <w:sz w:val="24"/>
                <w:szCs w:val="24"/>
              </w:rPr>
            </w:pPr>
            <w:r w:rsidRPr="00121D0C">
              <w:rPr>
                <w:rFonts w:cstheme="minorHAnsi"/>
                <w:sz w:val="24"/>
                <w:szCs w:val="24"/>
              </w:rPr>
              <w:t>Ograniczenie niskiej emisji w zabytkowym budynku użyteczności publicznej w Gminie Trzebnica</w:t>
            </w:r>
          </w:p>
        </w:tc>
      </w:tr>
      <w:tr w:rsidR="00AA637C" w:rsidRPr="00121D0C" w:rsidTr="00121D0C">
        <w:trPr>
          <w:jc w:val="center"/>
        </w:trPr>
        <w:tc>
          <w:tcPr>
            <w:tcW w:w="1704"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Cel szczegółowy FEDS 2021-2027</w:t>
            </w:r>
          </w:p>
        </w:tc>
        <w:tc>
          <w:tcPr>
            <w:tcW w:w="7368" w:type="dxa"/>
            <w:vAlign w:val="center"/>
          </w:tcPr>
          <w:p w:rsidR="00AA637C" w:rsidRPr="00121D0C" w:rsidRDefault="00AA637C"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RSO2.1. Wspieranie efektywności energetycznej i redukcji emisji gazów cieplarnianych</w:t>
            </w:r>
          </w:p>
        </w:tc>
      </w:tr>
      <w:tr w:rsidR="00AA637C" w:rsidRPr="00121D0C" w:rsidTr="00121D0C">
        <w:trPr>
          <w:jc w:val="center"/>
        </w:trPr>
        <w:tc>
          <w:tcPr>
            <w:tcW w:w="1704"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Uzasadnienie realizacji wiązki projektów</w:t>
            </w:r>
          </w:p>
        </w:tc>
        <w:tc>
          <w:tcPr>
            <w:tcW w:w="7368" w:type="dxa"/>
            <w:vAlign w:val="center"/>
          </w:tcPr>
          <w:p w:rsidR="003134B2" w:rsidRPr="00121D0C" w:rsidRDefault="003134B2" w:rsidP="00121D0C">
            <w:pPr>
              <w:autoSpaceDE w:val="0"/>
              <w:autoSpaceDN w:val="0"/>
              <w:adjustRightInd w:val="0"/>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 xml:space="preserve">Kompleksowa termomodernizacja jest istotna z punktu widzenia adaptacji do zmian klimatu ze względu na możliwość realnego ograniczenia bądź nawet eliminacji zużycia paliw kopalnych. Ich wykorzystywanie, a także wydobycie generuje znaczne ilości substancji zanieczyszczających. Dzięki termomodernizacji zmniejszy się zapotrzebowanie na energię oraz jej zużycie w budynkach użyteczności publicznej. Realizowane projekty przyczyniają się do poprawienia efektywności energetycznej oraz ograniczenia niskiej emisji na obszarze WrOF. Przyniesienie to zarówno korzyści ekonomiczne, jak i pozytywnie wpłynie na stan i </w:t>
            </w:r>
            <w:r w:rsidR="00DD0283" w:rsidRPr="00121D0C">
              <w:rPr>
                <w:rFonts w:ascii="Calibri" w:eastAsia="Calibri" w:hAnsi="Calibri" w:cs="Times New Roman"/>
                <w:sz w:val="24"/>
                <w:szCs w:val="24"/>
              </w:rPr>
              <w:t xml:space="preserve">jakość środowiska, </w:t>
            </w:r>
            <w:r w:rsidRPr="00121D0C">
              <w:rPr>
                <w:rFonts w:ascii="Calibri" w:eastAsia="Calibri" w:hAnsi="Calibri" w:cs="Times New Roman"/>
                <w:sz w:val="24"/>
                <w:szCs w:val="24"/>
              </w:rPr>
              <w:t>w szczególności powietrza.</w:t>
            </w:r>
          </w:p>
          <w:p w:rsidR="003134B2" w:rsidRPr="00121D0C" w:rsidRDefault="003134B2" w:rsidP="00121D0C">
            <w:pPr>
              <w:autoSpaceDE w:val="0"/>
              <w:autoSpaceDN w:val="0"/>
              <w:adjustRightInd w:val="0"/>
              <w:spacing w:line="240" w:lineRule="auto"/>
              <w:jc w:val="left"/>
              <w:rPr>
                <w:rFonts w:ascii="Calibri" w:eastAsia="Calibri" w:hAnsi="Calibri" w:cs="Times New Roman"/>
                <w:sz w:val="24"/>
                <w:szCs w:val="24"/>
              </w:rPr>
            </w:pPr>
          </w:p>
          <w:p w:rsidR="003134B2" w:rsidRPr="00121D0C" w:rsidRDefault="003134B2" w:rsidP="00121D0C">
            <w:pPr>
              <w:spacing w:line="240" w:lineRule="auto"/>
              <w:jc w:val="left"/>
              <w:rPr>
                <w:rFonts w:cstheme="minorHAnsi"/>
                <w:bCs/>
                <w:color w:val="000000" w:themeColor="text1"/>
                <w:sz w:val="24"/>
                <w:szCs w:val="24"/>
              </w:rPr>
            </w:pPr>
            <w:r w:rsidRPr="00121D0C">
              <w:rPr>
                <w:rFonts w:cstheme="minorHAnsi"/>
                <w:b/>
                <w:bCs/>
                <w:color w:val="000000" w:themeColor="text1"/>
                <w:sz w:val="24"/>
                <w:szCs w:val="24"/>
              </w:rPr>
              <w:t>Projekty wchodzące w skład wiązki „</w:t>
            </w:r>
            <w:r w:rsidRPr="00121D0C">
              <w:rPr>
                <w:rFonts w:cstheme="minorHAnsi"/>
                <w:b/>
                <w:color w:val="000000" w:themeColor="text1"/>
                <w:sz w:val="24"/>
                <w:szCs w:val="24"/>
              </w:rPr>
              <w:t>Termomodernizacja budynków użyteczności publicznej we Wrocławskim Obszarze Funkcjonalnym”</w:t>
            </w:r>
            <w:r w:rsidRPr="00121D0C">
              <w:rPr>
                <w:rFonts w:cstheme="minorHAnsi"/>
                <w:b/>
                <w:bCs/>
                <w:color w:val="000000" w:themeColor="text1"/>
                <w:sz w:val="24"/>
                <w:szCs w:val="24"/>
              </w:rPr>
              <w:t xml:space="preserve"> mają wpływ na więcej niż jedną gminę we WrOF, gdyż przyczyniają się do poprawienia efektywności energetycznej oraz ograniczenia niskiej emisji obszaru WrOF. </w:t>
            </w:r>
            <w:r w:rsidRPr="00121D0C">
              <w:rPr>
                <w:rFonts w:cstheme="minorHAnsi"/>
                <w:color w:val="000000" w:themeColor="text1"/>
                <w:sz w:val="24"/>
                <w:szCs w:val="24"/>
              </w:rPr>
              <w:t>Wsparcie tych działań uzyska nie tylko efekt ekonomiczny, ale także środowiskowy. W</w:t>
            </w:r>
            <w:r w:rsidRPr="00121D0C">
              <w:rPr>
                <w:rFonts w:cstheme="minorHAnsi"/>
                <w:b/>
                <w:bCs/>
                <w:color w:val="000000" w:themeColor="text1"/>
                <w:sz w:val="24"/>
                <w:szCs w:val="24"/>
              </w:rPr>
              <w:t>iązka projektów</w:t>
            </w:r>
            <w:r w:rsidRPr="00121D0C">
              <w:rPr>
                <w:rFonts w:cstheme="minorHAnsi"/>
                <w:bCs/>
                <w:color w:val="000000" w:themeColor="text1"/>
                <w:sz w:val="24"/>
                <w:szCs w:val="24"/>
              </w:rPr>
              <w:t xml:space="preserve"> wykazuje pełną </w:t>
            </w:r>
            <w:r w:rsidRPr="00121D0C">
              <w:rPr>
                <w:rFonts w:cstheme="minorHAnsi"/>
                <w:b/>
                <w:bCs/>
                <w:color w:val="000000" w:themeColor="text1"/>
                <w:sz w:val="24"/>
                <w:szCs w:val="24"/>
              </w:rPr>
              <w:t>wewnętrzną komplementarność i synergię w zakresie tematycznym</w:t>
            </w:r>
            <w:r w:rsidRPr="00121D0C">
              <w:rPr>
                <w:rFonts w:cstheme="minorHAnsi"/>
                <w:bCs/>
                <w:color w:val="000000" w:themeColor="text1"/>
                <w:sz w:val="24"/>
                <w:szCs w:val="24"/>
              </w:rPr>
              <w:t xml:space="preserve">, ponieważ przedmiotem projektów jest termomodernizacja </w:t>
            </w:r>
            <w:r w:rsidRPr="00121D0C">
              <w:rPr>
                <w:rFonts w:cstheme="minorHAnsi"/>
                <w:b/>
                <w:bCs/>
                <w:color w:val="000000" w:themeColor="text1"/>
                <w:sz w:val="24"/>
                <w:szCs w:val="24"/>
              </w:rPr>
              <w:t>oraz w zakresie obszarowym</w:t>
            </w:r>
            <w:r w:rsidRPr="00121D0C">
              <w:rPr>
                <w:rFonts w:cstheme="minorHAnsi"/>
                <w:bCs/>
                <w:color w:val="000000" w:themeColor="text1"/>
                <w:sz w:val="24"/>
                <w:szCs w:val="24"/>
              </w:rPr>
              <w:t>, gdyż  rzeczowa realizacja projektów zaplanowana jest na terenie gmin ZIT WrOF.</w:t>
            </w:r>
          </w:p>
          <w:p w:rsidR="007C3F02" w:rsidRPr="00121D0C" w:rsidRDefault="007C3F02" w:rsidP="00121D0C">
            <w:pPr>
              <w:spacing w:line="240" w:lineRule="auto"/>
              <w:jc w:val="left"/>
              <w:rPr>
                <w:rFonts w:cstheme="minorHAnsi"/>
                <w:bCs/>
                <w:color w:val="000000" w:themeColor="text1"/>
                <w:sz w:val="24"/>
                <w:szCs w:val="24"/>
              </w:rPr>
            </w:pPr>
          </w:p>
          <w:p w:rsidR="003134B2" w:rsidRPr="00121D0C" w:rsidRDefault="003134B2" w:rsidP="00121D0C">
            <w:pPr>
              <w:spacing w:line="240" w:lineRule="auto"/>
              <w:jc w:val="left"/>
              <w:rPr>
                <w:rFonts w:cstheme="minorHAnsi"/>
                <w:bCs/>
                <w:color w:val="000000" w:themeColor="text1"/>
                <w:sz w:val="24"/>
                <w:szCs w:val="24"/>
              </w:rPr>
            </w:pPr>
            <w:r w:rsidRPr="00121D0C">
              <w:rPr>
                <w:rFonts w:cstheme="minorHAnsi"/>
                <w:bCs/>
                <w:color w:val="000000" w:themeColor="text1"/>
                <w:sz w:val="24"/>
                <w:szCs w:val="24"/>
              </w:rPr>
              <w:t>Projekty wchodzące w skład wiązki spełniają wymogi definicji projektu zintegrowanego, tj. wpisują się w cele rozwoju obszaru funkcjonalnego objętego instrumentem, tj. Strategii ZIT WrOF, i są ukierunkowane na rozwiązywanie wspólnych problemów  rozwojowych w obszar</w:t>
            </w:r>
            <w:r w:rsidR="00063259" w:rsidRPr="00121D0C">
              <w:rPr>
                <w:rFonts w:cstheme="minorHAnsi"/>
                <w:bCs/>
                <w:color w:val="000000" w:themeColor="text1"/>
                <w:sz w:val="24"/>
                <w:szCs w:val="24"/>
              </w:rPr>
              <w:t>ze efektywności energetycznej i </w:t>
            </w:r>
            <w:r w:rsidRPr="00121D0C">
              <w:rPr>
                <w:rFonts w:cstheme="minorHAnsi"/>
                <w:bCs/>
                <w:color w:val="000000" w:themeColor="text1"/>
                <w:sz w:val="24"/>
                <w:szCs w:val="24"/>
              </w:rPr>
              <w:t>ograniczenia niskiej emisji. Ponadto ich realizac</w:t>
            </w:r>
            <w:r w:rsidR="00063259" w:rsidRPr="00121D0C">
              <w:rPr>
                <w:rFonts w:cstheme="minorHAnsi"/>
                <w:bCs/>
                <w:color w:val="000000" w:themeColor="text1"/>
                <w:sz w:val="24"/>
                <w:szCs w:val="24"/>
              </w:rPr>
              <w:t>ja jest uzasadniona zarówno w </w:t>
            </w:r>
            <w:r w:rsidRPr="00121D0C">
              <w:rPr>
                <w:rFonts w:cstheme="minorHAnsi"/>
                <w:bCs/>
                <w:color w:val="000000" w:themeColor="text1"/>
                <w:sz w:val="24"/>
                <w:szCs w:val="24"/>
              </w:rPr>
              <w:t xml:space="preserve">części diagnostycznej, jak i kierunkowej Strategii ZIT WrOF. </w:t>
            </w:r>
          </w:p>
          <w:p w:rsidR="005255DE" w:rsidRPr="00121D0C" w:rsidRDefault="005255DE" w:rsidP="00121D0C">
            <w:pPr>
              <w:pStyle w:val="Default"/>
            </w:pPr>
            <w:r w:rsidRPr="00121D0C">
              <w:t>Wiązka projektów  spełnia  warunki  projektu zintegrowanego tj. stanowi grupę projektów powiązanych ze sobą merytorycznie (zawiera podobne typy  projektów) oraz funkcjonalnie (zintegrowany wpływ realizacji projektów  na obszar  ZIT).  Na 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w:t>
            </w:r>
            <w:r w:rsidR="007B5B6E" w:rsidRPr="00121D0C">
              <w:t>eślonych w Strategii celów.  Na </w:t>
            </w:r>
            <w:r w:rsidRPr="00121D0C">
              <w:t>etapie realizacji projekty będą synergiczne  w ramach: okresu programowania i  wdrażane  w sposób skoordynowany w  ramach obszaru ZIT WrOF, dla którego została opracowana Strategia  oraz powiązań w zakresie rzeczowym, które przełożą się na realizację zidentyfikowanych w</w:t>
            </w:r>
            <w:r w:rsidR="007B5B6E" w:rsidRPr="00121D0C">
              <w:t xml:space="preserve"> strategii celów, priorytetów i </w:t>
            </w:r>
            <w:r w:rsidRPr="00121D0C">
              <w:t>kierunków działań, a docelowo  realizację wskaźników produktu i rezultatu przewidzianych w Strategii.</w:t>
            </w:r>
          </w:p>
          <w:p w:rsidR="007B5B6E" w:rsidRPr="00121D0C" w:rsidRDefault="007B5B6E" w:rsidP="00121D0C">
            <w:pPr>
              <w:pStyle w:val="Default"/>
            </w:pPr>
          </w:p>
          <w:p w:rsidR="003134B2" w:rsidRPr="00121D0C" w:rsidRDefault="003134B2" w:rsidP="00121D0C">
            <w:pPr>
              <w:pStyle w:val="Default"/>
              <w:rPr>
                <w:rFonts w:asciiTheme="minorHAnsi" w:hAnsiTheme="minorHAnsi" w:cstheme="minorHAnsi"/>
                <w:bCs/>
                <w:color w:val="000000" w:themeColor="text1"/>
              </w:rPr>
            </w:pPr>
            <w:r w:rsidRPr="00121D0C">
              <w:rPr>
                <w:rFonts w:asciiTheme="minorHAnsi" w:hAnsiTheme="minorHAnsi" w:cstheme="minorHAnsi"/>
                <w:bCs/>
                <w:color w:val="000000" w:themeColor="text1"/>
              </w:rPr>
              <w:t xml:space="preserve">Realizacja projektów stanowiących wiązkę wynika z części kierunkowej Strategii ZIT WrOF, tj. </w:t>
            </w:r>
          </w:p>
          <w:p w:rsidR="007B5B6E" w:rsidRPr="00121D0C" w:rsidRDefault="003134B2" w:rsidP="00121D0C">
            <w:pPr>
              <w:pStyle w:val="Default"/>
              <w:rPr>
                <w:rFonts w:asciiTheme="minorHAnsi" w:hAnsiTheme="minorHAnsi" w:cstheme="minorHAnsi"/>
                <w:b/>
                <w:bCs/>
                <w:color w:val="000000" w:themeColor="text1"/>
              </w:rPr>
            </w:pPr>
            <w:r w:rsidRPr="00121D0C">
              <w:rPr>
                <w:rFonts w:asciiTheme="minorHAnsi" w:hAnsiTheme="minorHAnsi" w:cstheme="minorHAnsi"/>
                <w:b/>
                <w:bCs/>
                <w:color w:val="000000" w:themeColor="text1"/>
              </w:rPr>
              <w:t>Cel strategiczny: 3. Ochrona środowiska naturalnego i adaptacja WrOF do zmian klimatu</w:t>
            </w:r>
            <w:r w:rsidR="00DD0283" w:rsidRPr="00121D0C">
              <w:rPr>
                <w:rFonts w:asciiTheme="minorHAnsi" w:hAnsiTheme="minorHAnsi" w:cstheme="minorHAnsi"/>
                <w:b/>
                <w:bCs/>
                <w:color w:val="000000" w:themeColor="text1"/>
              </w:rPr>
              <w:t>,</w:t>
            </w:r>
          </w:p>
          <w:p w:rsidR="007B5B6E" w:rsidRPr="00121D0C" w:rsidRDefault="003134B2" w:rsidP="00121D0C">
            <w:pPr>
              <w:pStyle w:val="Default"/>
              <w:rPr>
                <w:rFonts w:asciiTheme="minorHAnsi" w:hAnsiTheme="minorHAnsi" w:cstheme="minorHAnsi"/>
                <w:b/>
                <w:color w:val="000000" w:themeColor="text1"/>
              </w:rPr>
            </w:pPr>
            <w:r w:rsidRPr="00121D0C">
              <w:rPr>
                <w:rFonts w:asciiTheme="minorHAnsi" w:hAnsiTheme="minorHAnsi" w:cstheme="minorHAnsi"/>
                <w:b/>
                <w:color w:val="000000" w:themeColor="text1"/>
              </w:rPr>
              <w:t>Priorytet: 11. Gospodarka niskoemisyjna</w:t>
            </w:r>
            <w:r w:rsidR="00DD0283" w:rsidRPr="00121D0C">
              <w:rPr>
                <w:rFonts w:asciiTheme="minorHAnsi" w:hAnsiTheme="minorHAnsi" w:cstheme="minorHAnsi"/>
                <w:b/>
                <w:color w:val="000000" w:themeColor="text1"/>
              </w:rPr>
              <w:t xml:space="preserve">, </w:t>
            </w:r>
          </w:p>
          <w:p w:rsidR="003134B2" w:rsidRPr="00121D0C" w:rsidRDefault="003134B2" w:rsidP="00121D0C">
            <w:pPr>
              <w:pStyle w:val="Default"/>
              <w:rPr>
                <w:rFonts w:asciiTheme="minorHAnsi" w:hAnsiTheme="minorHAnsi" w:cstheme="minorHAnsi"/>
                <w:b/>
                <w:bCs/>
                <w:color w:val="000000" w:themeColor="text1"/>
              </w:rPr>
            </w:pPr>
            <w:r w:rsidRPr="00121D0C">
              <w:rPr>
                <w:rFonts w:asciiTheme="minorHAnsi" w:hAnsiTheme="minorHAnsi" w:cstheme="minorHAnsi"/>
                <w:b/>
                <w:bCs/>
                <w:color w:val="000000" w:themeColor="text1"/>
              </w:rPr>
              <w:t>Kierunek działania: 11.1 Wspieranie efektywności energetycznej i redukcja emisji gazów cieplarnianych</w:t>
            </w:r>
            <w:r w:rsidR="00DD0283" w:rsidRPr="00121D0C">
              <w:rPr>
                <w:rFonts w:asciiTheme="minorHAnsi" w:hAnsiTheme="minorHAnsi" w:cstheme="minorHAnsi"/>
                <w:b/>
                <w:bCs/>
                <w:color w:val="000000" w:themeColor="text1"/>
              </w:rPr>
              <w:t>.</w:t>
            </w:r>
          </w:p>
          <w:p w:rsidR="003134B2" w:rsidRPr="00121D0C" w:rsidRDefault="003134B2" w:rsidP="00121D0C">
            <w:pPr>
              <w:pStyle w:val="Default"/>
              <w:rPr>
                <w:rFonts w:asciiTheme="minorHAnsi" w:hAnsiTheme="minorHAnsi" w:cstheme="minorHAnsi"/>
                <w:color w:val="000000" w:themeColor="text1"/>
              </w:rPr>
            </w:pPr>
          </w:p>
          <w:p w:rsidR="003134B2" w:rsidRPr="00121D0C" w:rsidRDefault="003134B2" w:rsidP="00121D0C">
            <w:pPr>
              <w:spacing w:line="240" w:lineRule="auto"/>
              <w:jc w:val="left"/>
              <w:rPr>
                <w:rFonts w:cstheme="minorHAnsi"/>
                <w:b/>
                <w:color w:val="000000" w:themeColor="text1"/>
                <w:sz w:val="24"/>
                <w:szCs w:val="24"/>
              </w:rPr>
            </w:pPr>
            <w:r w:rsidRPr="00121D0C">
              <w:rPr>
                <w:rFonts w:cstheme="minorHAnsi"/>
                <w:color w:val="000000" w:themeColor="text1"/>
                <w:sz w:val="24"/>
                <w:szCs w:val="24"/>
              </w:rPr>
              <w:t>Adaptacja do zmian klimatycznych, poprawa jakości środowiska i jego ochrona stanowią niektóre z kluczowych problemów strate</w:t>
            </w:r>
            <w:r w:rsidR="00063259" w:rsidRPr="00121D0C">
              <w:rPr>
                <w:rFonts w:cstheme="minorHAnsi"/>
                <w:color w:val="000000" w:themeColor="text1"/>
                <w:sz w:val="24"/>
                <w:szCs w:val="24"/>
              </w:rPr>
              <w:t>gicznych. Ma to związek m.in. z </w:t>
            </w:r>
            <w:r w:rsidRPr="00121D0C">
              <w:rPr>
                <w:rFonts w:cstheme="minorHAnsi"/>
                <w:color w:val="000000" w:themeColor="text1"/>
                <w:sz w:val="24"/>
                <w:szCs w:val="24"/>
              </w:rPr>
              <w:t>występującymi przekroczeniami dopuszczalnych stężeń zanieczyszczeń powietrza w województwie dolnośląskim (a zarazem na obszarze WrOF). Jednak nie bez znaczenia jest również konieczność podejmowania działań z celu zapewnienia bezpieczeństwa energetycznego i samowystarczalności energetycznej, czy wsparcia efektywności energetycznej. Coraz bardziej widać, że problemy w obszarze energii termicznej i elektrycznej potęgują czynniki ekonomiczne, tj. wzrost cen gazu ziemnego oraz węgla energetycznego.</w:t>
            </w:r>
          </w:p>
          <w:p w:rsidR="003134B2" w:rsidRPr="00121D0C" w:rsidRDefault="003134B2" w:rsidP="00121D0C">
            <w:pPr>
              <w:spacing w:line="240" w:lineRule="auto"/>
              <w:jc w:val="left"/>
              <w:rPr>
                <w:rFonts w:cstheme="minorHAnsi"/>
                <w:color w:val="000000" w:themeColor="text1"/>
                <w:sz w:val="24"/>
                <w:szCs w:val="24"/>
              </w:rPr>
            </w:pPr>
            <w:r w:rsidRPr="00121D0C">
              <w:rPr>
                <w:rFonts w:cstheme="minorHAnsi"/>
                <w:color w:val="000000" w:themeColor="text1"/>
                <w:sz w:val="24"/>
                <w:szCs w:val="24"/>
              </w:rPr>
              <w:t>Priorytet 11 stanowi istotne wyzwanie dla WrOF z uwagi na konieczność dążenia do neutralności klimatycznej. Kluczowe jest m.in. wdrażanie energooszczędnych rozwiązań, co pozwoli zarówno na poprawę efektywnoś</w:t>
            </w:r>
            <w:r w:rsidR="00063259" w:rsidRPr="00121D0C">
              <w:rPr>
                <w:rFonts w:cstheme="minorHAnsi"/>
                <w:color w:val="000000" w:themeColor="text1"/>
                <w:sz w:val="24"/>
                <w:szCs w:val="24"/>
              </w:rPr>
              <w:t>ci energetycznej, jak i </w:t>
            </w:r>
            <w:r w:rsidRPr="00121D0C">
              <w:rPr>
                <w:rFonts w:cstheme="minorHAnsi"/>
                <w:color w:val="000000" w:themeColor="text1"/>
                <w:sz w:val="24"/>
                <w:szCs w:val="24"/>
              </w:rPr>
              <w:t>poprawę jakości powietrza poprzez zmniejszenie emisyjności. Wdrażanie takich działań może nastąpić, np. poprzez kompleksową termomodernizację.</w:t>
            </w:r>
          </w:p>
          <w:p w:rsidR="00AA637C" w:rsidRPr="00121D0C" w:rsidRDefault="003134B2"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cs="Arial"/>
                <w:bCs/>
                <w:sz w:val="24"/>
                <w:szCs w:val="24"/>
              </w:rPr>
              <w:t>Efektem wspólnym projektów będzie poprawa jakości powietrza w gminach, która nie byłaby możliwa bez przeprowadzenia termomodernizacji w budynkach użyteczności publicznej.</w:t>
            </w:r>
          </w:p>
        </w:tc>
      </w:tr>
    </w:tbl>
    <w:p w:rsidR="007B5B6E" w:rsidRDefault="007B5B6E" w:rsidP="00AA637C">
      <w:pPr>
        <w:spacing w:after="200" w:line="276" w:lineRule="auto"/>
        <w:jc w:val="left"/>
        <w:rPr>
          <w:rFonts w:ascii="Calibri" w:eastAsia="Calibri" w:hAnsi="Calibri" w:cs="Times New Roman"/>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4 Poprawa sytuacji gospodarki wodno-ściekowej w aglomeracjach od 10 tys. do 15 tys. RLM znajdujących się we Wrocławskim Obszarze Funkcjonalnym"/>
        <w:tblDescription w:val="Wiązka projektów 4 Poprawa sytuacji gospodarki wodno-ściekowej w aglomeracjach od 10 tys. do 15 tys. RLM znajdujących się we Wrocławskim Obszarze Funkcjonalnym"/>
      </w:tblPr>
      <w:tblGrid>
        <w:gridCol w:w="1822"/>
        <w:gridCol w:w="7250"/>
      </w:tblGrid>
      <w:tr w:rsidR="00121D0C" w:rsidRPr="00121D0C" w:rsidTr="00F25E70">
        <w:trPr>
          <w:trHeight w:val="794"/>
          <w:tblHeader/>
          <w:jc w:val="center"/>
        </w:trPr>
        <w:tc>
          <w:tcPr>
            <w:tcW w:w="1815"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Pr>
                <w:rFonts w:ascii="Calibri" w:eastAsia="Calibri" w:hAnsi="Calibri" w:cs="Times New Roman"/>
                <w:b/>
                <w:sz w:val="24"/>
                <w:szCs w:val="24"/>
              </w:rPr>
              <w:t>Wiązka projektów 4</w:t>
            </w:r>
          </w:p>
        </w:tc>
        <w:tc>
          <w:tcPr>
            <w:tcW w:w="7224"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sidRPr="00121D0C">
              <w:rPr>
                <w:rFonts w:ascii="Calibri" w:eastAsia="Calibri" w:hAnsi="Calibri" w:cs="Times New Roman"/>
                <w:b/>
                <w:sz w:val="24"/>
                <w:szCs w:val="24"/>
              </w:rPr>
              <w:t>Poprawa sytuacji gospodarki wodno-ściekowej w aglomeracjach od 10 tys. do 15 tys. RLM znajdujących się we Wrocławskim Obszarze Funkcjonalnym</w:t>
            </w:r>
          </w:p>
        </w:tc>
      </w:tr>
      <w:tr w:rsidR="00AA637C" w:rsidRPr="00121D0C" w:rsidTr="00121D0C">
        <w:trPr>
          <w:jc w:val="center"/>
        </w:trPr>
        <w:tc>
          <w:tcPr>
            <w:tcW w:w="1815" w:type="dxa"/>
            <w:shd w:val="clear" w:color="auto" w:fill="F2F2F2"/>
            <w:vAlign w:val="center"/>
          </w:tcPr>
          <w:p w:rsidR="00AA637C" w:rsidRPr="00121D0C" w:rsidRDefault="00AA637C" w:rsidP="00AA637C">
            <w:pPr>
              <w:spacing w:line="240" w:lineRule="auto"/>
              <w:jc w:val="right"/>
              <w:rPr>
                <w:rFonts w:ascii="Calibri" w:eastAsia="Calibri" w:hAnsi="Calibri" w:cs="Times New Roman"/>
                <w:sz w:val="24"/>
                <w:szCs w:val="24"/>
              </w:rPr>
            </w:pPr>
            <w:r w:rsidRPr="00121D0C">
              <w:rPr>
                <w:rFonts w:ascii="Calibri" w:eastAsia="Calibri" w:hAnsi="Calibri" w:cs="Times New Roman"/>
                <w:sz w:val="24"/>
                <w:szCs w:val="24"/>
              </w:rPr>
              <w:t>Projekty w wiązce</w:t>
            </w:r>
          </w:p>
        </w:tc>
        <w:tc>
          <w:tcPr>
            <w:tcW w:w="7224" w:type="dxa"/>
          </w:tcPr>
          <w:p w:rsidR="001B2504" w:rsidRPr="00121D0C" w:rsidRDefault="001B2504"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Projekty podstawowe:</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Budowa kanalizacji sanitarnej w Będkowicach ul. Bukowa</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Budowa kanalizacji sanitarnej w Księginicach Małych ul. Zbożowa</w:t>
            </w:r>
          </w:p>
          <w:p w:rsidR="001B2504" w:rsidRPr="00121D0C" w:rsidRDefault="001B2504" w:rsidP="00121D0C">
            <w:pPr>
              <w:pStyle w:val="Akapitzlist"/>
              <w:numPr>
                <w:ilvl w:val="0"/>
                <w:numId w:val="39"/>
              </w:numPr>
              <w:spacing w:line="240" w:lineRule="auto"/>
              <w:jc w:val="left"/>
              <w:rPr>
                <w:rFonts w:cstheme="minorHAnsi"/>
                <w:sz w:val="24"/>
                <w:szCs w:val="24"/>
              </w:rPr>
            </w:pPr>
            <w:r w:rsidRPr="00121D0C">
              <w:rPr>
                <w:rFonts w:cstheme="minorHAnsi"/>
                <w:sz w:val="24"/>
                <w:szCs w:val="24"/>
              </w:rPr>
              <w:t>Rozbudowa gospodarki wodno-ściekowej na terenie aglomeracji Siechnice</w:t>
            </w:r>
          </w:p>
          <w:p w:rsidR="001B2504" w:rsidRPr="00121D0C" w:rsidRDefault="001B2504" w:rsidP="00121D0C">
            <w:pPr>
              <w:pStyle w:val="Akapitzlist"/>
              <w:numPr>
                <w:ilvl w:val="0"/>
                <w:numId w:val="39"/>
              </w:numPr>
              <w:spacing w:line="240" w:lineRule="auto"/>
              <w:jc w:val="left"/>
              <w:rPr>
                <w:rFonts w:ascii="Calibri" w:eastAsia="Calibri" w:hAnsi="Calibri" w:cs="Times New Roman"/>
                <w:b/>
                <w:sz w:val="24"/>
                <w:szCs w:val="24"/>
              </w:rPr>
            </w:pPr>
            <w:r w:rsidRPr="00121D0C">
              <w:rPr>
                <w:rFonts w:cstheme="minorHAnsi"/>
                <w:sz w:val="24"/>
                <w:szCs w:val="24"/>
              </w:rPr>
              <w:t>Budowa kanalizacji sanitarnej w rejonie ul. Grzybowej w Obornikach Śląskich</w:t>
            </w:r>
          </w:p>
          <w:p w:rsidR="001B2504" w:rsidRPr="00121D0C" w:rsidRDefault="001B2504"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 xml:space="preserve">Projekty rezerwowe: </w:t>
            </w:r>
          </w:p>
          <w:p w:rsidR="00AA637C" w:rsidRPr="00121D0C" w:rsidRDefault="001B2504" w:rsidP="00121D0C">
            <w:pPr>
              <w:pStyle w:val="Akapitzlist"/>
              <w:numPr>
                <w:ilvl w:val="0"/>
                <w:numId w:val="65"/>
              </w:numPr>
              <w:spacing w:line="240" w:lineRule="auto"/>
              <w:jc w:val="left"/>
              <w:rPr>
                <w:rFonts w:cstheme="minorHAnsi"/>
                <w:sz w:val="24"/>
                <w:szCs w:val="24"/>
              </w:rPr>
            </w:pPr>
            <w:r w:rsidRPr="00121D0C">
              <w:rPr>
                <w:rFonts w:cstheme="minorHAnsi"/>
                <w:sz w:val="24"/>
                <w:szCs w:val="24"/>
              </w:rPr>
              <w:t>Przebudowa oczyszczalni ścieków w Sobótce</w:t>
            </w:r>
            <w:r w:rsidRPr="00121D0C">
              <w:rPr>
                <w:rFonts w:ascii="Calibri" w:eastAsia="Calibri" w:hAnsi="Calibri" w:cs="Times New Roman"/>
                <w:b/>
                <w:sz w:val="24"/>
                <w:szCs w:val="24"/>
              </w:rPr>
              <w:t xml:space="preserve"> </w:t>
            </w:r>
          </w:p>
        </w:tc>
      </w:tr>
      <w:tr w:rsidR="00AA637C" w:rsidRPr="00121D0C" w:rsidTr="00121D0C">
        <w:trPr>
          <w:jc w:val="center"/>
        </w:trPr>
        <w:tc>
          <w:tcPr>
            <w:tcW w:w="1815" w:type="dxa"/>
            <w:shd w:val="clear" w:color="auto" w:fill="F2F2F2"/>
            <w:vAlign w:val="center"/>
          </w:tcPr>
          <w:p w:rsidR="00AA637C" w:rsidRPr="00121D0C" w:rsidRDefault="00AA637C" w:rsidP="00AA637C">
            <w:pPr>
              <w:spacing w:line="240" w:lineRule="auto"/>
              <w:jc w:val="right"/>
              <w:rPr>
                <w:rFonts w:ascii="Calibri" w:eastAsia="Calibri" w:hAnsi="Calibri" w:cs="Times New Roman"/>
                <w:sz w:val="24"/>
                <w:szCs w:val="24"/>
              </w:rPr>
            </w:pPr>
            <w:r w:rsidRPr="00121D0C">
              <w:rPr>
                <w:rFonts w:ascii="Calibri" w:eastAsia="Calibri" w:hAnsi="Calibri" w:cs="Times New Roman"/>
                <w:sz w:val="24"/>
                <w:szCs w:val="24"/>
              </w:rPr>
              <w:t>Cel szczegółowy FEDS 2021-2027</w:t>
            </w:r>
          </w:p>
        </w:tc>
        <w:tc>
          <w:tcPr>
            <w:tcW w:w="7224" w:type="dxa"/>
            <w:vAlign w:val="center"/>
          </w:tcPr>
          <w:p w:rsidR="00AA637C" w:rsidRPr="00121D0C" w:rsidRDefault="00AA637C"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RSO2.5. Wspieranie dostępu do wody oraz zrównoważonej gospodarki wodnej</w:t>
            </w:r>
          </w:p>
        </w:tc>
      </w:tr>
      <w:tr w:rsidR="00AA637C" w:rsidRPr="00121D0C" w:rsidTr="00121D0C">
        <w:trPr>
          <w:jc w:val="center"/>
        </w:trPr>
        <w:tc>
          <w:tcPr>
            <w:tcW w:w="1815" w:type="dxa"/>
            <w:shd w:val="clear" w:color="auto" w:fill="F2F2F2"/>
            <w:vAlign w:val="center"/>
          </w:tcPr>
          <w:p w:rsidR="00AA637C" w:rsidRPr="00121D0C" w:rsidRDefault="00AA637C" w:rsidP="00AA637C">
            <w:pPr>
              <w:spacing w:line="240" w:lineRule="auto"/>
              <w:jc w:val="right"/>
              <w:rPr>
                <w:rFonts w:ascii="Calibri" w:eastAsia="Calibri" w:hAnsi="Calibri" w:cs="Times New Roman"/>
                <w:sz w:val="24"/>
                <w:szCs w:val="24"/>
              </w:rPr>
            </w:pPr>
            <w:r w:rsidRPr="00121D0C">
              <w:rPr>
                <w:rFonts w:ascii="Calibri" w:eastAsia="Calibri" w:hAnsi="Calibri" w:cs="Times New Roman"/>
                <w:sz w:val="24"/>
                <w:szCs w:val="24"/>
              </w:rPr>
              <w:t>Uzasadnienie realizacji wiązki projektów</w:t>
            </w:r>
          </w:p>
        </w:tc>
        <w:tc>
          <w:tcPr>
            <w:tcW w:w="7224" w:type="dxa"/>
          </w:tcPr>
          <w:p w:rsidR="00317999" w:rsidRPr="00121D0C" w:rsidRDefault="00317999" w:rsidP="00121D0C">
            <w:pPr>
              <w:autoSpaceDE w:val="0"/>
              <w:autoSpaceDN w:val="0"/>
              <w:adjustRightInd w:val="0"/>
              <w:spacing w:line="240" w:lineRule="auto"/>
              <w:jc w:val="left"/>
              <w:rPr>
                <w:rFonts w:ascii="Calibri" w:eastAsia="Calibri" w:hAnsi="Calibri" w:cs="Calibri"/>
                <w:b/>
                <w:bCs/>
                <w:color w:val="000000"/>
                <w:sz w:val="24"/>
                <w:szCs w:val="24"/>
              </w:rPr>
            </w:pPr>
            <w:r w:rsidRPr="00121D0C">
              <w:rPr>
                <w:rFonts w:ascii="Calibri" w:eastAsia="Calibri" w:hAnsi="Calibri" w:cs="Calibri"/>
                <w:color w:val="000000"/>
                <w:sz w:val="24"/>
                <w:szCs w:val="24"/>
              </w:rPr>
              <w:t>Zgodnie z zapisami FEDS 2021-2027 rozwój infrastruktury komunalnej zapewniającej zbieranie, odprowadzanie i efektywne oczyszczanie ścieków komunalnych stanowi jeden z ważniejszych elementów poprawy stanu środowiska, warunków życia mieszkańców oraz wzrostu gospodarczego. Ponadto dopuszczono realizację projektów dotyczących infrastruktury wodociągowej. Zidentyfikowane w wiązce „Poprawa sytuac</w:t>
            </w:r>
            <w:r w:rsidR="00063259" w:rsidRPr="00121D0C">
              <w:rPr>
                <w:rFonts w:ascii="Calibri" w:eastAsia="Calibri" w:hAnsi="Calibri" w:cs="Calibri"/>
                <w:color w:val="000000"/>
                <w:sz w:val="24"/>
                <w:szCs w:val="24"/>
              </w:rPr>
              <w:t>ji gospodarki wodno-ściekowej w </w:t>
            </w:r>
            <w:r w:rsidRPr="00121D0C">
              <w:rPr>
                <w:rFonts w:ascii="Calibri" w:eastAsia="Calibri" w:hAnsi="Calibri" w:cs="Calibri"/>
                <w:color w:val="000000"/>
                <w:sz w:val="24"/>
                <w:szCs w:val="24"/>
              </w:rPr>
              <w:t>aglomeracjach od 10 tys. do 15 tys. RLM znajdujących się we Wrocławskim Obszarze Funkcjonalnym” projekty, np. uzbrojenie terenów, inwestycje związane z rozbudową sieci kanalizacyjnych wraz z infrastrukturą towarzyszącą, przebudowa oczyszczalni ścieków, mają służyć osiągnięciu wspomnianych na wstępie celów. Wszystkie konieczne inwestycje wynikają z aktualnej KPOŚK (marzec 2022).</w:t>
            </w:r>
            <w:r w:rsidRPr="00121D0C">
              <w:rPr>
                <w:rFonts w:ascii="Calibri" w:eastAsia="Calibri" w:hAnsi="Calibri" w:cs="Calibri"/>
                <w:b/>
                <w:bCs/>
                <w:color w:val="000000"/>
                <w:sz w:val="24"/>
                <w:szCs w:val="24"/>
              </w:rPr>
              <w:t xml:space="preserve"> Projekty wchodzące w skład wiązki mają wpływ na więcej niż jedną gminę we WrOF, gdyż przyczyniają się do poprawy sytuac</w:t>
            </w:r>
            <w:r w:rsidR="00173E0D" w:rsidRPr="00121D0C">
              <w:rPr>
                <w:rFonts w:ascii="Calibri" w:eastAsia="Calibri" w:hAnsi="Calibri" w:cs="Calibri"/>
                <w:b/>
                <w:bCs/>
                <w:color w:val="000000"/>
                <w:sz w:val="24"/>
                <w:szCs w:val="24"/>
              </w:rPr>
              <w:t>ji gospodarki wodno-ściekowej w </w:t>
            </w:r>
            <w:r w:rsidRPr="00121D0C">
              <w:rPr>
                <w:rFonts w:ascii="Calibri" w:eastAsia="Calibri" w:hAnsi="Calibri" w:cs="Calibri"/>
                <w:b/>
                <w:bCs/>
                <w:color w:val="000000"/>
                <w:sz w:val="24"/>
                <w:szCs w:val="24"/>
              </w:rPr>
              <w:t>aglomeracjach od 10 tys. do 15 tys. RLM obszaru WrOF.</w:t>
            </w:r>
          </w:p>
          <w:p w:rsidR="00D80677" w:rsidRPr="00121D0C" w:rsidRDefault="00D80677" w:rsidP="00121D0C">
            <w:pPr>
              <w:autoSpaceDE w:val="0"/>
              <w:autoSpaceDN w:val="0"/>
              <w:adjustRightInd w:val="0"/>
              <w:spacing w:line="240" w:lineRule="auto"/>
              <w:jc w:val="left"/>
              <w:rPr>
                <w:rFonts w:ascii="Calibri" w:eastAsia="Calibri" w:hAnsi="Calibri" w:cs="Calibri"/>
                <w:bCs/>
                <w:color w:val="000000"/>
                <w:sz w:val="24"/>
                <w:szCs w:val="24"/>
              </w:rPr>
            </w:pPr>
          </w:p>
          <w:p w:rsidR="00EA438E" w:rsidRPr="00121D0C" w:rsidRDefault="00317999" w:rsidP="00121D0C">
            <w:pPr>
              <w:autoSpaceDE w:val="0"/>
              <w:autoSpaceDN w:val="0"/>
              <w:adjustRightInd w:val="0"/>
              <w:spacing w:line="240" w:lineRule="auto"/>
              <w:jc w:val="left"/>
              <w:rPr>
                <w:rFonts w:ascii="Calibri" w:eastAsia="Calibri" w:hAnsi="Calibri" w:cs="Calibri"/>
                <w:bCs/>
                <w:color w:val="000000"/>
                <w:sz w:val="24"/>
                <w:szCs w:val="24"/>
              </w:rPr>
            </w:pPr>
            <w:r w:rsidRPr="00121D0C">
              <w:rPr>
                <w:rFonts w:ascii="Calibri" w:eastAsia="Calibri" w:hAnsi="Calibri" w:cs="Calibri"/>
                <w:bCs/>
                <w:color w:val="000000"/>
                <w:sz w:val="24"/>
                <w:szCs w:val="24"/>
              </w:rPr>
              <w:t xml:space="preserve">Zaproponowana </w:t>
            </w:r>
            <w:r w:rsidRPr="00121D0C">
              <w:rPr>
                <w:rFonts w:ascii="Calibri" w:eastAsia="Calibri" w:hAnsi="Calibri" w:cs="Calibri"/>
                <w:b/>
                <w:bCs/>
                <w:color w:val="000000"/>
                <w:sz w:val="24"/>
                <w:szCs w:val="24"/>
              </w:rPr>
              <w:t>wiązka projektów</w:t>
            </w:r>
            <w:r w:rsidRPr="00121D0C">
              <w:rPr>
                <w:rFonts w:ascii="Calibri" w:eastAsia="Calibri" w:hAnsi="Calibri" w:cs="Calibri"/>
                <w:bCs/>
                <w:color w:val="000000"/>
                <w:sz w:val="24"/>
                <w:szCs w:val="24"/>
              </w:rPr>
              <w:t xml:space="preserve"> wykazuje pełną </w:t>
            </w:r>
            <w:r w:rsidRPr="00121D0C">
              <w:rPr>
                <w:rFonts w:ascii="Calibri" w:eastAsia="Calibri" w:hAnsi="Calibri" w:cs="Calibri"/>
                <w:b/>
                <w:bCs/>
                <w:color w:val="000000"/>
                <w:sz w:val="24"/>
                <w:szCs w:val="24"/>
              </w:rPr>
              <w:t>wewnętrzną komplementarność i synergię w zakresie tematycznym</w:t>
            </w:r>
            <w:r w:rsidRPr="00121D0C">
              <w:rPr>
                <w:rFonts w:ascii="Calibri" w:eastAsia="Calibri" w:hAnsi="Calibri" w:cs="Calibri"/>
                <w:bCs/>
                <w:color w:val="000000"/>
                <w:sz w:val="24"/>
                <w:szCs w:val="24"/>
              </w:rPr>
              <w:t>, ponieważ przedmiotem projektów jest gospodarka wodno-ściekowa w aglomeracjach od 10 tys. do 15 tys. RLM</w:t>
            </w:r>
            <w:r w:rsidR="007B5B6E" w:rsidRPr="00121D0C">
              <w:rPr>
                <w:rFonts w:ascii="Calibri" w:eastAsia="Calibri" w:hAnsi="Calibri" w:cs="Calibri"/>
                <w:bCs/>
                <w:color w:val="000000"/>
                <w:sz w:val="24"/>
                <w:szCs w:val="24"/>
              </w:rPr>
              <w:t xml:space="preserve"> </w:t>
            </w:r>
            <w:r w:rsidRPr="00121D0C">
              <w:rPr>
                <w:rFonts w:ascii="Calibri" w:eastAsia="Calibri" w:hAnsi="Calibri" w:cs="Calibri"/>
                <w:b/>
                <w:bCs/>
                <w:color w:val="000000"/>
                <w:sz w:val="24"/>
                <w:szCs w:val="24"/>
              </w:rPr>
              <w:t>oraz w zakresie obszarowym</w:t>
            </w:r>
            <w:r w:rsidRPr="00121D0C">
              <w:rPr>
                <w:rFonts w:ascii="Calibri" w:eastAsia="Calibri" w:hAnsi="Calibri" w:cs="Calibri"/>
                <w:bCs/>
                <w:color w:val="000000"/>
                <w:sz w:val="24"/>
                <w:szCs w:val="24"/>
              </w:rPr>
              <w:t>, gdyż rzeczowa realizacja projektów zaplanowana</w:t>
            </w:r>
            <w:r w:rsidR="00121D0C">
              <w:rPr>
                <w:rFonts w:ascii="Calibri" w:eastAsia="Calibri" w:hAnsi="Calibri" w:cs="Calibri"/>
                <w:bCs/>
                <w:color w:val="000000"/>
                <w:sz w:val="24"/>
                <w:szCs w:val="24"/>
              </w:rPr>
              <w:t xml:space="preserve"> jest na terenie gmin ZIT WrOF.</w:t>
            </w:r>
          </w:p>
          <w:p w:rsidR="00317999" w:rsidRPr="00121D0C" w:rsidRDefault="00317999" w:rsidP="00121D0C">
            <w:pPr>
              <w:autoSpaceDE w:val="0"/>
              <w:autoSpaceDN w:val="0"/>
              <w:adjustRightInd w:val="0"/>
              <w:spacing w:line="240" w:lineRule="auto"/>
              <w:jc w:val="left"/>
              <w:rPr>
                <w:rFonts w:ascii="Calibri" w:eastAsia="Calibri" w:hAnsi="Calibri" w:cs="Calibri"/>
                <w:bCs/>
                <w:color w:val="000000"/>
                <w:sz w:val="24"/>
                <w:szCs w:val="24"/>
              </w:rPr>
            </w:pPr>
            <w:r w:rsidRPr="00121D0C">
              <w:rPr>
                <w:rFonts w:ascii="Calibri" w:eastAsia="Calibri" w:hAnsi="Calibri" w:cs="Calibri"/>
                <w:bCs/>
                <w:color w:val="000000"/>
                <w:sz w:val="24"/>
                <w:szCs w:val="24"/>
              </w:rPr>
              <w:t>Projekty wchodzące w skład wiązki spełniają wymogi definicji projektu zintegrowanego, tj. wpisują się w cele rozwoju obszaru funkcjonalnego objętego instrumentem, tj. Strategii ZIT WrOF, i są ukierunkowane na rozwiązywanie wspólnych problemów  rozwojowych w obszarze gospodarki wodno-ściekowej. Ponadto ich realizacja jest uzasadniona zarówno</w:t>
            </w:r>
            <w:r w:rsidR="00063259" w:rsidRPr="00121D0C">
              <w:rPr>
                <w:rFonts w:ascii="Calibri" w:eastAsia="Calibri" w:hAnsi="Calibri" w:cs="Calibri"/>
                <w:bCs/>
                <w:color w:val="000000"/>
                <w:sz w:val="24"/>
                <w:szCs w:val="24"/>
              </w:rPr>
              <w:t xml:space="preserve"> w części diagnostycznej, jak i </w:t>
            </w:r>
            <w:r w:rsidRPr="00121D0C">
              <w:rPr>
                <w:rFonts w:ascii="Calibri" w:eastAsia="Calibri" w:hAnsi="Calibri" w:cs="Calibri"/>
                <w:bCs/>
                <w:color w:val="000000"/>
                <w:sz w:val="24"/>
                <w:szCs w:val="24"/>
              </w:rPr>
              <w:t xml:space="preserve">kierunkowej strategii ZIT WrOF. </w:t>
            </w:r>
          </w:p>
          <w:p w:rsidR="005255DE" w:rsidRPr="00121D0C" w:rsidRDefault="005255DE" w:rsidP="00121D0C">
            <w:pPr>
              <w:autoSpaceDE w:val="0"/>
              <w:autoSpaceDN w:val="0"/>
              <w:adjustRightInd w:val="0"/>
              <w:spacing w:line="240" w:lineRule="auto"/>
              <w:jc w:val="left"/>
              <w:rPr>
                <w:sz w:val="24"/>
                <w:szCs w:val="24"/>
              </w:rPr>
            </w:pPr>
            <w:r w:rsidRPr="00121D0C">
              <w:rPr>
                <w:sz w:val="24"/>
                <w:szCs w:val="24"/>
              </w:rPr>
              <w:t xml:space="preserve">Wiązka projektów  spełnia  warunki  projektu zintegrowanego tj. stanowi grupę projektów powiązanych ze sobą merytorycznie (zawiera podobne typy  projektów) oraz funkcjonalnie (zintegrowany wpływ realizacji </w:t>
            </w:r>
            <w:r w:rsidR="007B5B6E" w:rsidRPr="00121D0C">
              <w:rPr>
                <w:sz w:val="24"/>
                <w:szCs w:val="24"/>
              </w:rPr>
              <w:t>projektów  na obszar  ZIT).  Na </w:t>
            </w:r>
            <w:r w:rsidRPr="00121D0C">
              <w:rPr>
                <w:sz w:val="24"/>
                <w:szCs w:val="24"/>
              </w:rPr>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317999" w:rsidRPr="00121D0C" w:rsidRDefault="00317999" w:rsidP="00121D0C">
            <w:pPr>
              <w:autoSpaceDE w:val="0"/>
              <w:autoSpaceDN w:val="0"/>
              <w:adjustRightInd w:val="0"/>
              <w:spacing w:line="240" w:lineRule="auto"/>
              <w:jc w:val="left"/>
              <w:rPr>
                <w:rFonts w:ascii="Calibri" w:eastAsia="Calibri" w:hAnsi="Calibri" w:cs="Calibri"/>
                <w:bCs/>
                <w:color w:val="000000"/>
                <w:sz w:val="24"/>
                <w:szCs w:val="24"/>
              </w:rPr>
            </w:pPr>
            <w:r w:rsidRPr="00121D0C">
              <w:rPr>
                <w:rFonts w:ascii="Calibri" w:eastAsia="Calibri" w:hAnsi="Calibri" w:cs="Calibri"/>
                <w:bCs/>
                <w:color w:val="000000"/>
                <w:sz w:val="24"/>
                <w:szCs w:val="24"/>
              </w:rPr>
              <w:t>Realizacja projektów stanowiących wiązkę wynika z części diagn</w:t>
            </w:r>
            <w:r w:rsidR="00063259" w:rsidRPr="00121D0C">
              <w:rPr>
                <w:rFonts w:ascii="Calibri" w:eastAsia="Calibri" w:hAnsi="Calibri" w:cs="Calibri"/>
                <w:bCs/>
                <w:color w:val="000000"/>
                <w:sz w:val="24"/>
                <w:szCs w:val="24"/>
              </w:rPr>
              <w:t>ostycznej i </w:t>
            </w:r>
            <w:r w:rsidRPr="00121D0C">
              <w:rPr>
                <w:rFonts w:ascii="Calibri" w:eastAsia="Calibri" w:hAnsi="Calibri" w:cs="Calibri"/>
                <w:bCs/>
                <w:color w:val="000000"/>
                <w:sz w:val="24"/>
                <w:szCs w:val="24"/>
              </w:rPr>
              <w:t xml:space="preserve">kierunkowej Strategii ZIT WrOF, tj.: </w:t>
            </w:r>
          </w:p>
          <w:p w:rsidR="00317999" w:rsidRPr="00121D0C" w:rsidRDefault="00317999" w:rsidP="00121D0C">
            <w:pPr>
              <w:autoSpaceDE w:val="0"/>
              <w:autoSpaceDN w:val="0"/>
              <w:adjustRightInd w:val="0"/>
              <w:spacing w:line="240" w:lineRule="auto"/>
              <w:jc w:val="left"/>
              <w:rPr>
                <w:rFonts w:ascii="Calibri" w:eastAsia="Calibri" w:hAnsi="Calibri" w:cs="Calibri"/>
                <w:b/>
                <w:bCs/>
                <w:color w:val="000000"/>
                <w:sz w:val="24"/>
                <w:szCs w:val="24"/>
              </w:rPr>
            </w:pPr>
            <w:r w:rsidRPr="00121D0C">
              <w:rPr>
                <w:rFonts w:ascii="Calibri" w:eastAsia="Calibri" w:hAnsi="Calibri" w:cs="Calibri"/>
                <w:b/>
                <w:bCs/>
                <w:color w:val="000000"/>
                <w:sz w:val="24"/>
                <w:szCs w:val="24"/>
              </w:rPr>
              <w:t>Cel strategiczny 3. Ochrona środowiska naturalnego i adaptacja WrOF do zmian klimatu</w:t>
            </w:r>
          </w:p>
          <w:p w:rsidR="00317999" w:rsidRPr="00121D0C" w:rsidRDefault="00317999" w:rsidP="00121D0C">
            <w:pPr>
              <w:autoSpaceDE w:val="0"/>
              <w:autoSpaceDN w:val="0"/>
              <w:adjustRightInd w:val="0"/>
              <w:spacing w:line="240" w:lineRule="auto"/>
              <w:jc w:val="left"/>
              <w:rPr>
                <w:rFonts w:ascii="Calibri" w:eastAsia="Calibri" w:hAnsi="Calibri" w:cs="Calibri"/>
                <w:b/>
                <w:bCs/>
                <w:color w:val="000000"/>
                <w:sz w:val="24"/>
                <w:szCs w:val="24"/>
              </w:rPr>
            </w:pPr>
            <w:r w:rsidRPr="00121D0C">
              <w:rPr>
                <w:rFonts w:ascii="Calibri" w:eastAsia="Calibri" w:hAnsi="Calibri" w:cs="Calibri"/>
                <w:b/>
                <w:bCs/>
                <w:color w:val="000000"/>
                <w:sz w:val="24"/>
                <w:szCs w:val="24"/>
              </w:rPr>
              <w:t>Priorytet 12. Ochrona zasobów środowiska i jego bioróżnorodności</w:t>
            </w:r>
          </w:p>
          <w:p w:rsidR="00317999" w:rsidRPr="00121D0C" w:rsidRDefault="00317999" w:rsidP="00121D0C">
            <w:pPr>
              <w:autoSpaceDE w:val="0"/>
              <w:autoSpaceDN w:val="0"/>
              <w:adjustRightInd w:val="0"/>
              <w:spacing w:line="240" w:lineRule="auto"/>
              <w:jc w:val="left"/>
              <w:rPr>
                <w:rFonts w:ascii="Calibri" w:eastAsia="Calibri" w:hAnsi="Calibri" w:cs="Calibri"/>
                <w:b/>
                <w:bCs/>
                <w:color w:val="000000"/>
                <w:sz w:val="24"/>
                <w:szCs w:val="24"/>
              </w:rPr>
            </w:pPr>
            <w:r w:rsidRPr="00121D0C">
              <w:rPr>
                <w:rFonts w:ascii="Calibri" w:eastAsia="Calibri" w:hAnsi="Calibri" w:cs="Calibri"/>
                <w:b/>
                <w:bCs/>
                <w:color w:val="000000"/>
                <w:sz w:val="24"/>
                <w:szCs w:val="24"/>
              </w:rPr>
              <w:t>Kierunek działania 12.1 Rozwijanie gospodarki wodno-ściekowej</w:t>
            </w:r>
          </w:p>
          <w:p w:rsidR="00317999" w:rsidRPr="00121D0C" w:rsidRDefault="00317999" w:rsidP="00121D0C">
            <w:pPr>
              <w:autoSpaceDE w:val="0"/>
              <w:autoSpaceDN w:val="0"/>
              <w:adjustRightInd w:val="0"/>
              <w:spacing w:line="240" w:lineRule="auto"/>
              <w:jc w:val="left"/>
              <w:rPr>
                <w:rFonts w:ascii="Calibri" w:eastAsia="Calibri" w:hAnsi="Calibri" w:cs="Calibri"/>
                <w:color w:val="000000"/>
                <w:sz w:val="24"/>
                <w:szCs w:val="24"/>
              </w:rPr>
            </w:pPr>
          </w:p>
          <w:p w:rsidR="00317999" w:rsidRPr="00121D0C" w:rsidRDefault="00317999"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W części diagnostycznej wskazane zostały gminy, w których istnieje potrzeba realizacji inwestycji dotyczących gospodarki wodno-ściekowej.</w:t>
            </w:r>
          </w:p>
          <w:p w:rsidR="00B42243" w:rsidRPr="00121D0C" w:rsidRDefault="00B42243" w:rsidP="00121D0C">
            <w:pPr>
              <w:autoSpaceDE w:val="0"/>
              <w:autoSpaceDN w:val="0"/>
              <w:adjustRightInd w:val="0"/>
              <w:spacing w:line="240" w:lineRule="auto"/>
              <w:jc w:val="left"/>
              <w:rPr>
                <w:rFonts w:ascii="Calibri" w:eastAsia="Calibri" w:hAnsi="Calibri" w:cs="Calibri"/>
                <w:color w:val="000000"/>
                <w:sz w:val="24"/>
                <w:szCs w:val="24"/>
              </w:rPr>
            </w:pPr>
          </w:p>
          <w:p w:rsidR="00AA637C" w:rsidRPr="00121D0C" w:rsidRDefault="00317999"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bCs/>
                <w:color w:val="000000"/>
                <w:sz w:val="24"/>
                <w:szCs w:val="24"/>
              </w:rPr>
              <w:t>Priorytet 12 wskazuje m.in. działania związane z zapewnieniem i rozwojem oraz modernizacją infrastruktury wodno-ściekowe</w:t>
            </w:r>
            <w:r w:rsidR="007B5B6E" w:rsidRPr="00121D0C">
              <w:rPr>
                <w:rFonts w:ascii="Calibri" w:eastAsia="Calibri" w:hAnsi="Calibri" w:cs="Calibri"/>
                <w:bCs/>
                <w:color w:val="000000"/>
                <w:sz w:val="24"/>
                <w:szCs w:val="24"/>
              </w:rPr>
              <w:t>j, w tym wynikające z KPOŚK, co </w:t>
            </w:r>
            <w:r w:rsidRPr="00121D0C">
              <w:rPr>
                <w:rFonts w:ascii="Calibri" w:eastAsia="Calibri" w:hAnsi="Calibri" w:cs="Calibri"/>
                <w:bCs/>
                <w:color w:val="000000"/>
                <w:sz w:val="24"/>
                <w:szCs w:val="24"/>
              </w:rPr>
              <w:t>umożliwi spełnienie wymogów zawartych w dyrektywie ściekowej. Zaplanowane przedsięwzięcia dotyczą, np. budowy, rozbudowy i modernizacji sieci wodno-kanalizacyjnej oraz oczyszczalni ścieków i instalacji do przetwarzania osadów ściekowych.</w:t>
            </w:r>
          </w:p>
        </w:tc>
      </w:tr>
    </w:tbl>
    <w:p w:rsidR="00AA637C" w:rsidRPr="00AA637C" w:rsidRDefault="00AA637C" w:rsidP="00AA637C">
      <w:pPr>
        <w:spacing w:after="200" w:line="276" w:lineRule="auto"/>
        <w:jc w:val="left"/>
        <w:rPr>
          <w:rFonts w:ascii="Calibri" w:eastAsia="Calibri" w:hAnsi="Calibri" w:cs="Times New Roman"/>
        </w:rPr>
      </w:pPr>
    </w:p>
    <w:tbl>
      <w:tblPr>
        <w:tblStyle w:val="Tabela-Siatka"/>
        <w:tblW w:w="9067"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5"/>
        <w:tblDescription w:val="Poprawa sytuacji gospodarki wodno-ściekowej w aglomeracjach od 2 do poniżej 10 tys. RLM znajdujących się we Wrocławskim Obszarze Funkcjonalnym"/>
      </w:tblPr>
      <w:tblGrid>
        <w:gridCol w:w="1742"/>
        <w:gridCol w:w="7325"/>
      </w:tblGrid>
      <w:tr w:rsidR="00121D0C" w:rsidRPr="00121D0C" w:rsidTr="00121D0C">
        <w:trPr>
          <w:trHeight w:val="794"/>
          <w:tblHeader/>
        </w:trPr>
        <w:tc>
          <w:tcPr>
            <w:tcW w:w="1742"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Pr>
                <w:rFonts w:eastAsia="Calibri" w:cstheme="minorHAnsi"/>
                <w:b/>
                <w:sz w:val="24"/>
                <w:szCs w:val="24"/>
              </w:rPr>
              <w:t>Wiązka projektów 5</w:t>
            </w:r>
          </w:p>
        </w:tc>
        <w:tc>
          <w:tcPr>
            <w:tcW w:w="7325"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sidRPr="00121D0C">
              <w:rPr>
                <w:rFonts w:eastAsia="Calibri" w:cstheme="minorHAnsi"/>
                <w:b/>
                <w:sz w:val="24"/>
                <w:szCs w:val="24"/>
              </w:rPr>
              <w:t>Poprawa sytuacji gospodarki wodno-ściekowej w aglomeracjach od 2 do poniżej 10 tys. RLM znajdujących się we Wrocławskim Obszarze Funkcjonalnym</w:t>
            </w:r>
          </w:p>
        </w:tc>
      </w:tr>
      <w:tr w:rsidR="00AA637C" w:rsidRPr="00121D0C" w:rsidTr="00121D0C">
        <w:tc>
          <w:tcPr>
            <w:tcW w:w="1742"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Projekty w wiązce</w:t>
            </w:r>
          </w:p>
        </w:tc>
        <w:tc>
          <w:tcPr>
            <w:tcW w:w="7325" w:type="dxa"/>
          </w:tcPr>
          <w:p w:rsidR="00375785" w:rsidRPr="00121D0C" w:rsidRDefault="00375785"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Projekty podstawowe:</w:t>
            </w:r>
          </w:p>
          <w:p w:rsidR="00375785" w:rsidRPr="00121D0C" w:rsidRDefault="00375785" w:rsidP="00121D0C">
            <w:pPr>
              <w:pStyle w:val="Akapitzlist"/>
              <w:numPr>
                <w:ilvl w:val="0"/>
                <w:numId w:val="39"/>
              </w:numPr>
              <w:spacing w:line="240" w:lineRule="auto"/>
              <w:jc w:val="left"/>
              <w:rPr>
                <w:rFonts w:cstheme="minorHAnsi"/>
                <w:sz w:val="24"/>
                <w:szCs w:val="24"/>
              </w:rPr>
            </w:pPr>
            <w:r w:rsidRPr="00121D0C">
              <w:rPr>
                <w:rFonts w:cstheme="minorHAnsi"/>
                <w:sz w:val="24"/>
                <w:szCs w:val="24"/>
              </w:rPr>
              <w:t>Instalacja do odbioru i utylizacji osadów usuwanych z kanalizacji</w:t>
            </w:r>
            <w:r w:rsidR="007B5B6E" w:rsidRPr="00121D0C">
              <w:rPr>
                <w:rFonts w:cstheme="minorHAnsi"/>
                <w:sz w:val="24"/>
                <w:szCs w:val="24"/>
              </w:rPr>
              <w:t xml:space="preserve"> –</w:t>
            </w:r>
            <w:r w:rsidRPr="00121D0C">
              <w:rPr>
                <w:rFonts w:cstheme="minorHAnsi"/>
                <w:sz w:val="24"/>
                <w:szCs w:val="24"/>
              </w:rPr>
              <w:t xml:space="preserve"> 1-szy etap systemu docelowego zagospodarowania osadów</w:t>
            </w:r>
          </w:p>
          <w:p w:rsidR="00375785" w:rsidRPr="00121D0C" w:rsidRDefault="00375785" w:rsidP="00121D0C">
            <w:pPr>
              <w:pStyle w:val="Akapitzlist"/>
              <w:numPr>
                <w:ilvl w:val="0"/>
                <w:numId w:val="39"/>
              </w:numPr>
              <w:spacing w:line="240" w:lineRule="auto"/>
              <w:jc w:val="left"/>
              <w:rPr>
                <w:rFonts w:cstheme="minorHAnsi"/>
                <w:sz w:val="24"/>
                <w:szCs w:val="24"/>
              </w:rPr>
            </w:pPr>
            <w:r w:rsidRPr="00121D0C">
              <w:rPr>
                <w:rFonts w:cstheme="minorHAnsi"/>
                <w:sz w:val="24"/>
                <w:szCs w:val="24"/>
              </w:rPr>
              <w:t>Rozbudowa sieci kanalizacji sanitarnej i wodociągowej w aglomeracji Wisznia Mała</w:t>
            </w:r>
          </w:p>
          <w:p w:rsidR="00375785" w:rsidRPr="00121D0C" w:rsidRDefault="00375785" w:rsidP="00121D0C">
            <w:pPr>
              <w:pStyle w:val="Akapitzlist"/>
              <w:numPr>
                <w:ilvl w:val="0"/>
                <w:numId w:val="39"/>
              </w:numPr>
              <w:spacing w:line="240" w:lineRule="auto"/>
              <w:jc w:val="left"/>
              <w:rPr>
                <w:rFonts w:cstheme="minorHAnsi"/>
                <w:sz w:val="24"/>
                <w:szCs w:val="24"/>
              </w:rPr>
            </w:pPr>
            <w:r w:rsidRPr="00121D0C">
              <w:rPr>
                <w:rFonts w:cstheme="minorHAnsi"/>
                <w:sz w:val="24"/>
                <w:szCs w:val="24"/>
              </w:rPr>
              <w:t>Kompleksowa rozbudowa systemu oczyszczania ścieków w Żórawinie</w:t>
            </w:r>
          </w:p>
          <w:p w:rsidR="00375785" w:rsidRPr="00121D0C" w:rsidRDefault="00375785" w:rsidP="00121D0C">
            <w:pPr>
              <w:pStyle w:val="Akapitzlist"/>
              <w:numPr>
                <w:ilvl w:val="0"/>
                <w:numId w:val="39"/>
              </w:numPr>
              <w:spacing w:line="240" w:lineRule="auto"/>
              <w:jc w:val="left"/>
              <w:rPr>
                <w:rFonts w:cstheme="minorHAnsi"/>
                <w:sz w:val="24"/>
                <w:szCs w:val="24"/>
              </w:rPr>
            </w:pPr>
            <w:r w:rsidRPr="00121D0C">
              <w:rPr>
                <w:rFonts w:cstheme="minorHAnsi"/>
                <w:sz w:val="24"/>
                <w:szCs w:val="24"/>
              </w:rPr>
              <w:t>Budowa kanalizacji sanitarnej w aglomeracji Zawonia</w:t>
            </w:r>
          </w:p>
          <w:p w:rsidR="00375785" w:rsidRPr="00121D0C" w:rsidRDefault="00375785" w:rsidP="00121D0C">
            <w:pPr>
              <w:pStyle w:val="Akapitzlist"/>
              <w:numPr>
                <w:ilvl w:val="0"/>
                <w:numId w:val="39"/>
              </w:numPr>
              <w:spacing w:line="240" w:lineRule="auto"/>
              <w:jc w:val="left"/>
              <w:rPr>
                <w:rFonts w:ascii="Calibri" w:eastAsia="Calibri" w:hAnsi="Calibri" w:cs="Times New Roman"/>
                <w:b/>
                <w:sz w:val="24"/>
                <w:szCs w:val="24"/>
              </w:rPr>
            </w:pPr>
            <w:r w:rsidRPr="00121D0C">
              <w:rPr>
                <w:rFonts w:cstheme="minorHAnsi"/>
                <w:sz w:val="24"/>
                <w:szCs w:val="24"/>
              </w:rPr>
              <w:t>Instalacja do kompostowania osadów ściekowych - 2-gi etap systemu docelowego zagospodarowania osadów</w:t>
            </w:r>
          </w:p>
          <w:p w:rsidR="00375785" w:rsidRPr="00121D0C" w:rsidRDefault="00375785"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 xml:space="preserve">Projekty rezerwowe: </w:t>
            </w:r>
          </w:p>
          <w:p w:rsidR="00AA637C" w:rsidRPr="00121D0C" w:rsidRDefault="00375785" w:rsidP="00121D0C">
            <w:pPr>
              <w:pStyle w:val="Akapitzlist"/>
              <w:numPr>
                <w:ilvl w:val="0"/>
                <w:numId w:val="34"/>
              </w:numPr>
              <w:spacing w:line="240" w:lineRule="auto"/>
              <w:jc w:val="left"/>
              <w:rPr>
                <w:rFonts w:cstheme="minorHAnsi"/>
                <w:sz w:val="24"/>
                <w:szCs w:val="24"/>
              </w:rPr>
            </w:pPr>
            <w:r w:rsidRPr="00121D0C">
              <w:rPr>
                <w:rFonts w:cstheme="minorHAnsi"/>
                <w:sz w:val="24"/>
                <w:szCs w:val="24"/>
              </w:rPr>
              <w:t>Budowa nowego SUW w Kolonii Strzelce oraz rozbudowa sieci wodociągowej</w:t>
            </w:r>
          </w:p>
        </w:tc>
      </w:tr>
      <w:tr w:rsidR="00AA637C" w:rsidRPr="00121D0C" w:rsidTr="00121D0C">
        <w:tc>
          <w:tcPr>
            <w:tcW w:w="1742"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Cel szczegółowy FEDS 2021-2027</w:t>
            </w:r>
          </w:p>
        </w:tc>
        <w:tc>
          <w:tcPr>
            <w:tcW w:w="7325" w:type="dxa"/>
            <w:vAlign w:val="center"/>
          </w:tcPr>
          <w:p w:rsidR="00AA637C" w:rsidRPr="00121D0C" w:rsidRDefault="00AA637C"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RSO2.5. Wspieranie dostępu do wody oraz zrównoważonej gospodarki wodnej</w:t>
            </w:r>
          </w:p>
        </w:tc>
      </w:tr>
      <w:tr w:rsidR="00AA637C" w:rsidRPr="00121D0C" w:rsidTr="00121D0C">
        <w:tc>
          <w:tcPr>
            <w:tcW w:w="1742"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Uzasadnienie realizacji wiązki projektów</w:t>
            </w:r>
          </w:p>
        </w:tc>
        <w:tc>
          <w:tcPr>
            <w:tcW w:w="7325" w:type="dxa"/>
          </w:tcPr>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Zgodnie z zapisami FEDS 2021-2027 rozwój infrastruktury komunalnej zapewniającej zbieranie, odprowadzanie i efektywne oczyszczanie ścieków komunalnych stanowi jeden z ważniejszych elementów poprawy stanu środowiska, warunków życia mieszkańców oraz wzrostu gospodarczego. Ponadto dopuszczono realizację projektów dotyczących infrastruktury wodociągowej. Zidentyfikowane w wiązce „Poprawa sytuacji</w:t>
            </w:r>
            <w:r w:rsidR="00063259" w:rsidRPr="00121D0C">
              <w:rPr>
                <w:rFonts w:ascii="Calibri" w:eastAsia="Calibri" w:hAnsi="Calibri" w:cs="Calibri"/>
                <w:color w:val="000000"/>
                <w:sz w:val="24"/>
                <w:szCs w:val="24"/>
              </w:rPr>
              <w:t xml:space="preserve"> gospodarki wodno-ściekowej w </w:t>
            </w:r>
            <w:r w:rsidRPr="00121D0C">
              <w:rPr>
                <w:rFonts w:ascii="Calibri" w:eastAsia="Calibri" w:hAnsi="Calibri" w:cs="Calibri"/>
                <w:color w:val="000000"/>
                <w:sz w:val="24"/>
                <w:szCs w:val="24"/>
              </w:rPr>
              <w:t>aglomeracjach od 2 do poniżej 10 tys. RLM znajdujących się na Wrocławskim Obszarze Funkcjonalnym” projekty, np. budowa instalacji do kompostowania osadów ściekowych, rozbudowa systemu oczyszczania ścieków, rozbudowa lub budowa sieci kanalizacji sanitarnej, mają służyć osiągnięciu wspo</w:t>
            </w:r>
            <w:r w:rsidR="007B5B6E" w:rsidRPr="00121D0C">
              <w:rPr>
                <w:rFonts w:ascii="Calibri" w:eastAsia="Calibri" w:hAnsi="Calibri" w:cs="Calibri"/>
                <w:color w:val="000000"/>
                <w:sz w:val="24"/>
                <w:szCs w:val="24"/>
              </w:rPr>
              <w:t>mnianych na </w:t>
            </w:r>
            <w:r w:rsidRPr="00121D0C">
              <w:rPr>
                <w:rFonts w:ascii="Calibri" w:eastAsia="Calibri" w:hAnsi="Calibri" w:cs="Calibri"/>
                <w:color w:val="000000"/>
                <w:sz w:val="24"/>
                <w:szCs w:val="24"/>
              </w:rPr>
              <w:t>wstępie celów. Wszystkie konieczne inwestycje wynikają z aktualnej KPOŚK (marzec 2022). Projekty wchodzące w skład wiązki mają wpływ na więcej niż jedną gminę we WrOF, gdyż przyczyniają się do poprawy sytuacji gospodarki wodno-ściekowej w aglomeracjach od 2 do poniżej 10 t</w:t>
            </w:r>
            <w:r w:rsidR="007B5B6E" w:rsidRPr="00121D0C">
              <w:rPr>
                <w:rFonts w:ascii="Calibri" w:eastAsia="Calibri" w:hAnsi="Calibri" w:cs="Calibri"/>
                <w:color w:val="000000"/>
                <w:sz w:val="24"/>
                <w:szCs w:val="24"/>
              </w:rPr>
              <w:t>ys. RLM obszaru WrOF. Ponadto w </w:t>
            </w:r>
            <w:r w:rsidRPr="00121D0C">
              <w:rPr>
                <w:rFonts w:ascii="Calibri" w:eastAsia="Calibri" w:hAnsi="Calibri" w:cs="Calibri"/>
                <w:color w:val="000000"/>
                <w:sz w:val="24"/>
                <w:szCs w:val="24"/>
              </w:rPr>
              <w:t>programie regionalnym dopuszcza się f</w:t>
            </w:r>
            <w:r w:rsidR="00063259" w:rsidRPr="00121D0C">
              <w:rPr>
                <w:rFonts w:ascii="Calibri" w:eastAsia="Calibri" w:hAnsi="Calibri" w:cs="Calibri"/>
                <w:color w:val="000000"/>
                <w:sz w:val="24"/>
                <w:szCs w:val="24"/>
              </w:rPr>
              <w:t>inansowanie samodzielnych jak i </w:t>
            </w:r>
            <w:r w:rsidRPr="00121D0C">
              <w:rPr>
                <w:rFonts w:ascii="Calibri" w:eastAsia="Calibri" w:hAnsi="Calibri" w:cs="Calibri"/>
                <w:color w:val="000000"/>
                <w:sz w:val="24"/>
                <w:szCs w:val="24"/>
              </w:rPr>
              <w:t>uzupełniających projektów dotyczących infrastruktury wodociągowej.</w:t>
            </w: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Zaproponowana wiązka projektów wykazuje pełną wewnętrzną komplementarność i synergię w zakresie tematycznym, ponieważ przedmiotem projektów jest gospodarka wodno-ściekowa w aglomeracjach od 2 do poniżej 10 tys. RLM znajdujących się na obszarze WrOF oraz w zakresie obszarowym, gdyż rzeczowa realizacja projektów zaplanowana jest na terenie gmin ZIT WrOF.</w:t>
            </w: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Projekty wchodzące w skład wiązki spełniają wymogi definicji projektu zintegrowanego, tj. wpisują się w cele rozwoju obszaru funkcjonalnego objętego instrumentem, tj. Strategii ZIT WrOF, i są ukierunkowane na rozwiązywanie wspólnych problemów  rozwojowych w obszarze gospodarki wodno-ściekowej. Ponadto ich realizacja jest uzasadniona zarówno</w:t>
            </w:r>
            <w:r w:rsidR="00063259" w:rsidRPr="00121D0C">
              <w:rPr>
                <w:rFonts w:ascii="Calibri" w:eastAsia="Calibri" w:hAnsi="Calibri" w:cs="Calibri"/>
                <w:color w:val="000000"/>
                <w:sz w:val="24"/>
                <w:szCs w:val="24"/>
              </w:rPr>
              <w:t xml:space="preserve"> w części diagnostycznej, jak i </w:t>
            </w:r>
            <w:r w:rsidRPr="00121D0C">
              <w:rPr>
                <w:rFonts w:ascii="Calibri" w:eastAsia="Calibri" w:hAnsi="Calibri" w:cs="Calibri"/>
                <w:color w:val="000000"/>
                <w:sz w:val="24"/>
                <w:szCs w:val="24"/>
              </w:rPr>
              <w:t xml:space="preserve">kierunkowej strategii ZIT WrOF. </w:t>
            </w:r>
          </w:p>
          <w:p w:rsidR="005255DE" w:rsidRPr="00121D0C" w:rsidRDefault="005255DE" w:rsidP="00121D0C">
            <w:pPr>
              <w:autoSpaceDE w:val="0"/>
              <w:autoSpaceDN w:val="0"/>
              <w:adjustRightInd w:val="0"/>
              <w:spacing w:line="240" w:lineRule="auto"/>
              <w:jc w:val="left"/>
              <w:rPr>
                <w:sz w:val="24"/>
                <w:szCs w:val="24"/>
              </w:rPr>
            </w:pPr>
            <w:r w:rsidRPr="00121D0C">
              <w:rPr>
                <w:sz w:val="24"/>
                <w:szCs w:val="24"/>
              </w:rPr>
              <w:t xml:space="preserve">Wiązka projektów  spełnia  warunki  projektu zintegrowanego tj. stanowi grupę projektów powiązanych ze sobą merytorycznie (zawiera podobne typy  projektów) oraz funkcjonalnie (zintegrowany wpływ realizacji projektów  na obszar  ZIT).  Na 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w:t>
            </w:r>
            <w:r w:rsidR="007B5B6E" w:rsidRPr="00121D0C">
              <w:rPr>
                <w:sz w:val="24"/>
                <w:szCs w:val="24"/>
              </w:rPr>
              <w:t>c</w:t>
            </w:r>
            <w:r w:rsidR="00A80C29" w:rsidRPr="00121D0C">
              <w:rPr>
                <w:sz w:val="24"/>
                <w:szCs w:val="24"/>
              </w:rPr>
              <w:t>elów.  Na </w:t>
            </w:r>
            <w:r w:rsidRPr="00121D0C">
              <w:rPr>
                <w:sz w:val="24"/>
                <w:szCs w:val="24"/>
              </w:rPr>
              <w:t>etapie realizacji projekty będą synergiczne  w ramach: okresu programowania i  wdrażane  w sposób skoordynowany w  ramach obszaru ZIT WrOF, dla którego została opracowana Strategia  oraz powiązań w zakresie rzeczowym, które przełożą się na realizację zidentyfikowanych w</w:t>
            </w:r>
            <w:r w:rsidR="00A80C29" w:rsidRPr="00121D0C">
              <w:rPr>
                <w:sz w:val="24"/>
                <w:szCs w:val="24"/>
              </w:rPr>
              <w:t xml:space="preserve"> strategii celów, priorytetów i </w:t>
            </w:r>
            <w:r w:rsidRPr="00121D0C">
              <w:rPr>
                <w:sz w:val="24"/>
                <w:szCs w:val="24"/>
              </w:rPr>
              <w:t>kierunków działań, a docelowo  realizację wskaźników produktu i rezultatu przewidzianych w Strategii.</w:t>
            </w:r>
          </w:p>
          <w:p w:rsidR="007B5B6E" w:rsidRPr="00121D0C" w:rsidRDefault="007B5B6E" w:rsidP="00121D0C">
            <w:pPr>
              <w:autoSpaceDE w:val="0"/>
              <w:autoSpaceDN w:val="0"/>
              <w:adjustRightInd w:val="0"/>
              <w:spacing w:line="240" w:lineRule="auto"/>
              <w:jc w:val="left"/>
              <w:rPr>
                <w:sz w:val="24"/>
                <w:szCs w:val="24"/>
              </w:rPr>
            </w:pP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Realizacja projektów stanowiących wiązkę w</w:t>
            </w:r>
            <w:r w:rsidR="00173E0D" w:rsidRPr="00121D0C">
              <w:rPr>
                <w:rFonts w:ascii="Calibri" w:eastAsia="Calibri" w:hAnsi="Calibri" w:cs="Calibri"/>
                <w:color w:val="000000"/>
                <w:sz w:val="24"/>
                <w:szCs w:val="24"/>
              </w:rPr>
              <w:t>ynika z części diagnostycznej i </w:t>
            </w:r>
            <w:r w:rsidRPr="00121D0C">
              <w:rPr>
                <w:rFonts w:ascii="Calibri" w:eastAsia="Calibri" w:hAnsi="Calibri" w:cs="Calibri"/>
                <w:color w:val="000000"/>
                <w:sz w:val="24"/>
                <w:szCs w:val="24"/>
              </w:rPr>
              <w:t xml:space="preserve">kierunkowej Strategii ZIT WrOF, tj.: </w:t>
            </w:r>
          </w:p>
          <w:p w:rsidR="008033A4" w:rsidRPr="00121D0C" w:rsidRDefault="008033A4" w:rsidP="00121D0C">
            <w:pPr>
              <w:autoSpaceDE w:val="0"/>
              <w:autoSpaceDN w:val="0"/>
              <w:adjustRightInd w:val="0"/>
              <w:spacing w:line="240" w:lineRule="auto"/>
              <w:jc w:val="left"/>
              <w:rPr>
                <w:rFonts w:ascii="Calibri" w:eastAsia="Calibri" w:hAnsi="Calibri" w:cs="Calibri"/>
                <w:b/>
                <w:color w:val="000000"/>
                <w:sz w:val="24"/>
                <w:szCs w:val="24"/>
              </w:rPr>
            </w:pPr>
            <w:r w:rsidRPr="00121D0C">
              <w:rPr>
                <w:rFonts w:ascii="Calibri" w:eastAsia="Calibri" w:hAnsi="Calibri" w:cs="Calibri"/>
                <w:b/>
                <w:color w:val="000000"/>
                <w:sz w:val="24"/>
                <w:szCs w:val="24"/>
              </w:rPr>
              <w:t>Cel strategiczny 3. Ochrona środowiska naturalnego i adaptacja WrOF do zmian klimatu</w:t>
            </w:r>
          </w:p>
          <w:p w:rsidR="008033A4" w:rsidRPr="00121D0C" w:rsidRDefault="008033A4" w:rsidP="00121D0C">
            <w:pPr>
              <w:autoSpaceDE w:val="0"/>
              <w:autoSpaceDN w:val="0"/>
              <w:adjustRightInd w:val="0"/>
              <w:spacing w:line="240" w:lineRule="auto"/>
              <w:jc w:val="left"/>
              <w:rPr>
                <w:rFonts w:ascii="Calibri" w:eastAsia="Calibri" w:hAnsi="Calibri" w:cs="Calibri"/>
                <w:b/>
                <w:color w:val="000000"/>
                <w:sz w:val="24"/>
                <w:szCs w:val="24"/>
              </w:rPr>
            </w:pPr>
            <w:r w:rsidRPr="00121D0C">
              <w:rPr>
                <w:rFonts w:ascii="Calibri" w:eastAsia="Calibri" w:hAnsi="Calibri" w:cs="Calibri"/>
                <w:b/>
                <w:color w:val="000000"/>
                <w:sz w:val="24"/>
                <w:szCs w:val="24"/>
              </w:rPr>
              <w:t>Priorytet 12. Ochrona zasobów środowiska i jego bioróżnorodności</w:t>
            </w:r>
          </w:p>
          <w:p w:rsidR="008033A4" w:rsidRPr="00121D0C" w:rsidRDefault="008033A4" w:rsidP="00121D0C">
            <w:pPr>
              <w:autoSpaceDE w:val="0"/>
              <w:autoSpaceDN w:val="0"/>
              <w:adjustRightInd w:val="0"/>
              <w:spacing w:line="240" w:lineRule="auto"/>
              <w:jc w:val="left"/>
              <w:rPr>
                <w:rFonts w:ascii="Calibri" w:eastAsia="Calibri" w:hAnsi="Calibri" w:cs="Calibri"/>
                <w:b/>
                <w:color w:val="000000"/>
                <w:sz w:val="24"/>
                <w:szCs w:val="24"/>
              </w:rPr>
            </w:pPr>
            <w:r w:rsidRPr="00121D0C">
              <w:rPr>
                <w:rFonts w:ascii="Calibri" w:eastAsia="Calibri" w:hAnsi="Calibri" w:cs="Calibri"/>
                <w:b/>
                <w:color w:val="000000"/>
                <w:sz w:val="24"/>
                <w:szCs w:val="24"/>
              </w:rPr>
              <w:t>Kierunek działania 12.1 Rozwijanie gospodarki wodno-ściekowej</w:t>
            </w: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W części diagnostycznej wskazane zostały gminy, w których istnieje potrzeba realizacji inwestycji dotyczących gospodarki wodno-ściekowej. Ponadto zwraca się uwagę, że  na terenie WrOF w niektórych miejscowościach z uwagi na brak sieci wodociągowej, zaopatrzenie w wodę mieszkańców odbywa się przez studnie (w tym indywidualne).  Dlatego też,  niezwykle ważne są zadania dotyczące inwestycji w zakresie dostępu do wody poprzez modernizacje, budowę wodociągów,  studni, czy systemów uzdatniania wody.</w:t>
            </w:r>
          </w:p>
          <w:p w:rsidR="008033A4"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p>
          <w:p w:rsidR="00AA637C" w:rsidRPr="00121D0C" w:rsidRDefault="008033A4" w:rsidP="00121D0C">
            <w:pPr>
              <w:autoSpaceDE w:val="0"/>
              <w:autoSpaceDN w:val="0"/>
              <w:adjustRightInd w:val="0"/>
              <w:spacing w:line="240" w:lineRule="auto"/>
              <w:jc w:val="left"/>
              <w:rPr>
                <w:rFonts w:ascii="Calibri" w:eastAsia="Calibri" w:hAnsi="Calibri" w:cs="Calibri"/>
                <w:color w:val="000000"/>
                <w:sz w:val="24"/>
                <w:szCs w:val="24"/>
              </w:rPr>
            </w:pPr>
            <w:r w:rsidRPr="00121D0C">
              <w:rPr>
                <w:rFonts w:ascii="Calibri" w:eastAsia="Calibri" w:hAnsi="Calibri" w:cs="Calibri"/>
                <w:color w:val="000000"/>
                <w:sz w:val="24"/>
                <w:szCs w:val="24"/>
              </w:rPr>
              <w:t>Priorytet 12 wskazuje m.in. działania związane z zapewnieniem i rozwojem oraz modernizacją infrastruktury wodno-ściekowej, w tym wynikające z KPOŚK, co umożliwi spełnienie wymogów zawartych w dyrektywie ściekowej. Zaplanowane przedsięwzięcia dotyczą, np. budowy, rozbudowy i modernizacji sieci wodno-kanalizacyjnej oraz oczyszczalni ścieków i instalacji do przetwarzania osadów ściekowych, budowy i modernizacji infrastruktury niezbędnej do ujęcia, uzdatniania, magazynowania i dystrybucji wody, realizacji działań mających na celu ograniczanie strat wody, jej odzyskiwanie, zarządzanie oraz zapewnienie bezpieczeństwa jej dostarczania.</w:t>
            </w:r>
          </w:p>
        </w:tc>
      </w:tr>
    </w:tbl>
    <w:p w:rsidR="00121D0C" w:rsidRPr="00121D0C" w:rsidRDefault="00121D0C">
      <w:pPr>
        <w:rPr>
          <w:sz w:val="8"/>
        </w:rPr>
      </w:pPr>
    </w:p>
    <w:p w:rsidR="00D06821" w:rsidRPr="00D06821" w:rsidRDefault="00D06821">
      <w:pPr>
        <w:rPr>
          <w:sz w:val="14"/>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6"/>
        <w:tblDescription w:val="Rozwój terenów zielonych i adaptacja do zmian klimatu we Wrocławskim Obszarze Funkcjonalnym"/>
      </w:tblPr>
      <w:tblGrid>
        <w:gridCol w:w="1750"/>
        <w:gridCol w:w="7322"/>
      </w:tblGrid>
      <w:tr w:rsidR="00121D0C" w:rsidRPr="00121D0C" w:rsidTr="00D06821">
        <w:trPr>
          <w:trHeight w:val="794"/>
          <w:tblHeader/>
          <w:jc w:val="center"/>
        </w:trPr>
        <w:tc>
          <w:tcPr>
            <w:tcW w:w="1741"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Pr>
                <w:rFonts w:ascii="Calibri" w:eastAsia="Calibri" w:hAnsi="Calibri" w:cs="Times New Roman"/>
                <w:b/>
                <w:sz w:val="24"/>
                <w:szCs w:val="24"/>
              </w:rPr>
              <w:t>Wiązka projektów 6</w:t>
            </w:r>
          </w:p>
        </w:tc>
        <w:tc>
          <w:tcPr>
            <w:tcW w:w="7285" w:type="dxa"/>
            <w:shd w:val="clear" w:color="auto" w:fill="D9D9D9"/>
            <w:vAlign w:val="center"/>
          </w:tcPr>
          <w:p w:rsidR="00121D0C" w:rsidRPr="00121D0C" w:rsidRDefault="00121D0C" w:rsidP="00121D0C">
            <w:pPr>
              <w:spacing w:line="240" w:lineRule="auto"/>
              <w:jc w:val="left"/>
              <w:rPr>
                <w:rFonts w:ascii="Calibri" w:eastAsia="Calibri" w:hAnsi="Calibri" w:cs="Times New Roman"/>
                <w:b/>
                <w:sz w:val="24"/>
                <w:szCs w:val="24"/>
                <w:highlight w:val="yellow"/>
              </w:rPr>
            </w:pPr>
            <w:r w:rsidRPr="00121D0C">
              <w:rPr>
                <w:rFonts w:eastAsia="Calibri" w:cstheme="minorHAnsi"/>
                <w:b/>
                <w:sz w:val="24"/>
                <w:szCs w:val="24"/>
              </w:rPr>
              <w:t>Rozwój terenów zielonych i adaptacja do zmian klimatu we Wrocławskim Obszarze Funkcjonalnym</w:t>
            </w:r>
          </w:p>
        </w:tc>
      </w:tr>
      <w:tr w:rsidR="00AA637C" w:rsidRPr="00121D0C" w:rsidTr="00D06821">
        <w:trPr>
          <w:jc w:val="center"/>
        </w:trPr>
        <w:tc>
          <w:tcPr>
            <w:tcW w:w="1741"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Projekty w wiązce</w:t>
            </w:r>
          </w:p>
        </w:tc>
        <w:tc>
          <w:tcPr>
            <w:tcW w:w="7285" w:type="dxa"/>
          </w:tcPr>
          <w:p w:rsidR="00375785" w:rsidRPr="00121D0C" w:rsidRDefault="00375785"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Projekty podstawowe:</w:t>
            </w:r>
          </w:p>
          <w:p w:rsidR="00375785" w:rsidRPr="00121D0C" w:rsidRDefault="00375785" w:rsidP="00121D0C">
            <w:pPr>
              <w:pStyle w:val="Akapitzlist"/>
              <w:numPr>
                <w:ilvl w:val="0"/>
                <w:numId w:val="39"/>
              </w:numPr>
              <w:tabs>
                <w:tab w:val="left" w:pos="1872"/>
              </w:tabs>
              <w:spacing w:line="240" w:lineRule="auto"/>
              <w:jc w:val="left"/>
              <w:rPr>
                <w:rFonts w:cstheme="minorHAnsi"/>
                <w:sz w:val="24"/>
                <w:szCs w:val="24"/>
              </w:rPr>
            </w:pPr>
            <w:r w:rsidRPr="00121D0C">
              <w:rPr>
                <w:rFonts w:cstheme="minorHAnsi"/>
                <w:sz w:val="24"/>
                <w:szCs w:val="24"/>
              </w:rPr>
              <w:t xml:space="preserve">Pola </w:t>
            </w:r>
            <w:proofErr w:type="spellStart"/>
            <w:r w:rsidRPr="00121D0C">
              <w:rPr>
                <w:rFonts w:cstheme="minorHAnsi"/>
                <w:sz w:val="24"/>
                <w:szCs w:val="24"/>
              </w:rPr>
              <w:t>Osobowickie</w:t>
            </w:r>
            <w:proofErr w:type="spellEnd"/>
            <w:r w:rsidRPr="00121D0C">
              <w:rPr>
                <w:rFonts w:cstheme="minorHAnsi"/>
                <w:sz w:val="24"/>
                <w:szCs w:val="24"/>
              </w:rPr>
              <w:t xml:space="preserve"> - utrzymanie terenów podmokłych i związanej z nimi bioróżnorodności oraz utworzenie atrakcyjnego obszaru edukacyjno-rekreacyjnego dla mieszkańców Wrocławia, Dolnego Śląska i turystów</w:t>
            </w:r>
          </w:p>
          <w:p w:rsidR="00375785" w:rsidRPr="00121D0C" w:rsidRDefault="00375785" w:rsidP="00121D0C">
            <w:pPr>
              <w:pStyle w:val="Akapitzlist"/>
              <w:numPr>
                <w:ilvl w:val="0"/>
                <w:numId w:val="39"/>
              </w:numPr>
              <w:tabs>
                <w:tab w:val="left" w:pos="1872"/>
              </w:tabs>
              <w:spacing w:line="240" w:lineRule="auto"/>
              <w:jc w:val="left"/>
              <w:rPr>
                <w:rFonts w:cstheme="minorHAnsi"/>
                <w:sz w:val="24"/>
                <w:szCs w:val="24"/>
              </w:rPr>
            </w:pPr>
            <w:r w:rsidRPr="00121D0C">
              <w:rPr>
                <w:rFonts w:cstheme="minorHAnsi"/>
                <w:sz w:val="24"/>
                <w:szCs w:val="24"/>
              </w:rPr>
              <w:t>Park przy ul. Idzikowskiego - rekultywacja terenów zdegradowanych działalnością gospodarczą i przemysłową we Wrocławiu</w:t>
            </w:r>
          </w:p>
          <w:p w:rsidR="00375785" w:rsidRPr="00121D0C" w:rsidRDefault="00375785" w:rsidP="00121D0C">
            <w:pPr>
              <w:pStyle w:val="Akapitzlist"/>
              <w:numPr>
                <w:ilvl w:val="0"/>
                <w:numId w:val="39"/>
              </w:numPr>
              <w:spacing w:line="240" w:lineRule="auto"/>
              <w:jc w:val="left"/>
              <w:rPr>
                <w:rFonts w:ascii="Calibri" w:eastAsia="Calibri" w:hAnsi="Calibri" w:cs="Times New Roman"/>
                <w:b/>
                <w:sz w:val="24"/>
                <w:szCs w:val="24"/>
              </w:rPr>
            </w:pPr>
            <w:r w:rsidRPr="00121D0C">
              <w:rPr>
                <w:rFonts w:cstheme="minorHAnsi"/>
                <w:sz w:val="24"/>
                <w:szCs w:val="24"/>
              </w:rPr>
              <w:t>Żernicki Park Sportu i Rekreacji - Etap II - rekultywacja terenów zdegradowanych działalnością poprzemysłową we Wrocławiu</w:t>
            </w:r>
          </w:p>
          <w:p w:rsidR="00375785" w:rsidRPr="00121D0C" w:rsidRDefault="00375785" w:rsidP="00121D0C">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 xml:space="preserve">Projekty rezerwowe: </w:t>
            </w:r>
          </w:p>
          <w:p w:rsidR="00375785" w:rsidRPr="00121D0C" w:rsidRDefault="00375785" w:rsidP="00121D0C">
            <w:pPr>
              <w:pStyle w:val="Akapitzlist"/>
              <w:numPr>
                <w:ilvl w:val="0"/>
                <w:numId w:val="39"/>
              </w:numPr>
              <w:tabs>
                <w:tab w:val="left" w:pos="1872"/>
              </w:tabs>
              <w:spacing w:line="240" w:lineRule="auto"/>
              <w:jc w:val="left"/>
              <w:rPr>
                <w:rFonts w:cstheme="minorHAnsi"/>
                <w:sz w:val="24"/>
                <w:szCs w:val="24"/>
              </w:rPr>
            </w:pPr>
            <w:r w:rsidRPr="00121D0C">
              <w:rPr>
                <w:rFonts w:cstheme="minorHAnsi"/>
                <w:sz w:val="24"/>
                <w:szCs w:val="24"/>
              </w:rPr>
              <w:t>Przebudowa stawów w Gminie Żórawina</w:t>
            </w:r>
          </w:p>
          <w:p w:rsidR="00AA637C" w:rsidRPr="00121D0C" w:rsidRDefault="00375785" w:rsidP="00121D0C">
            <w:pPr>
              <w:pStyle w:val="Akapitzlist"/>
              <w:numPr>
                <w:ilvl w:val="0"/>
                <w:numId w:val="34"/>
              </w:numPr>
              <w:tabs>
                <w:tab w:val="left" w:pos="1872"/>
              </w:tabs>
              <w:spacing w:line="240" w:lineRule="auto"/>
              <w:jc w:val="left"/>
              <w:rPr>
                <w:rFonts w:cstheme="minorHAnsi"/>
                <w:sz w:val="24"/>
                <w:szCs w:val="24"/>
              </w:rPr>
            </w:pPr>
            <w:r w:rsidRPr="00121D0C">
              <w:rPr>
                <w:rFonts w:cstheme="minorHAnsi"/>
                <w:sz w:val="24"/>
                <w:szCs w:val="24"/>
              </w:rPr>
              <w:t>Park przy ul. Chałupniczej "Smocze uroczysko" we Wrocławiu</w:t>
            </w:r>
          </w:p>
        </w:tc>
      </w:tr>
      <w:tr w:rsidR="00AA637C" w:rsidRPr="00121D0C" w:rsidTr="00D06821">
        <w:trPr>
          <w:jc w:val="center"/>
        </w:trPr>
        <w:tc>
          <w:tcPr>
            <w:tcW w:w="1741"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Cel szczegółowy FEDS 2021-2027</w:t>
            </w:r>
          </w:p>
        </w:tc>
        <w:tc>
          <w:tcPr>
            <w:tcW w:w="7285" w:type="dxa"/>
            <w:vAlign w:val="center"/>
          </w:tcPr>
          <w:p w:rsidR="00AA637C" w:rsidRPr="00121D0C" w:rsidRDefault="00AA637C" w:rsidP="00A1431D">
            <w:pPr>
              <w:spacing w:line="240" w:lineRule="auto"/>
              <w:jc w:val="left"/>
              <w:rPr>
                <w:rFonts w:ascii="Calibri" w:eastAsia="Calibri" w:hAnsi="Calibri" w:cs="Times New Roman"/>
                <w:b/>
                <w:sz w:val="24"/>
                <w:szCs w:val="24"/>
              </w:rPr>
            </w:pPr>
            <w:r w:rsidRPr="00121D0C">
              <w:rPr>
                <w:rFonts w:ascii="Calibri" w:eastAsia="Calibri" w:hAnsi="Calibri" w:cs="Times New Roman"/>
                <w:b/>
                <w:sz w:val="24"/>
                <w:szCs w:val="24"/>
              </w:rPr>
              <w:t>RSO2.7. Wzmacnianie ochrony i zachowania przyrody, różnorodności biologicznej oraz zielonej infrastruktury, w tym na obszarach miejskich,</w:t>
            </w:r>
            <w:r w:rsidR="00A1431D">
              <w:rPr>
                <w:rFonts w:ascii="Calibri" w:eastAsia="Calibri" w:hAnsi="Calibri" w:cs="Times New Roman"/>
                <w:b/>
                <w:sz w:val="24"/>
                <w:szCs w:val="24"/>
              </w:rPr>
              <w:t xml:space="preserve"> </w:t>
            </w:r>
            <w:r w:rsidRPr="00121D0C">
              <w:rPr>
                <w:rFonts w:ascii="Calibri" w:eastAsia="Calibri" w:hAnsi="Calibri" w:cs="Times New Roman"/>
                <w:b/>
                <w:sz w:val="24"/>
                <w:szCs w:val="24"/>
              </w:rPr>
              <w:t>oraz ograniczanie wszelkich rodzajów zanieczyszczenia</w:t>
            </w:r>
          </w:p>
        </w:tc>
      </w:tr>
      <w:tr w:rsidR="00AA637C" w:rsidRPr="00121D0C" w:rsidTr="00D06821">
        <w:trPr>
          <w:jc w:val="center"/>
        </w:trPr>
        <w:tc>
          <w:tcPr>
            <w:tcW w:w="1741" w:type="dxa"/>
            <w:shd w:val="clear" w:color="auto" w:fill="F2F2F2"/>
            <w:vAlign w:val="center"/>
          </w:tcPr>
          <w:p w:rsidR="00AA637C" w:rsidRPr="00121D0C" w:rsidRDefault="00AA637C" w:rsidP="00121D0C">
            <w:pPr>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Uzasadnienie realizacji wiązki projektów</w:t>
            </w:r>
          </w:p>
        </w:tc>
        <w:tc>
          <w:tcPr>
            <w:tcW w:w="7285" w:type="dxa"/>
          </w:tcPr>
          <w:p w:rsidR="00F31D5A" w:rsidRPr="00121D0C" w:rsidRDefault="003E4D5C" w:rsidP="00121D0C">
            <w:pPr>
              <w:autoSpaceDE w:val="0"/>
              <w:autoSpaceDN w:val="0"/>
              <w:adjustRightInd w:val="0"/>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Z uwagi na postępujący kryzys klimatyczny, we WrOF kluczowe jest podjęcie działań z zakresu dostosowania obszaru do możliwych skutków zmian klimatu, wraz z działaniami w zakresie ochrony i jednoczesnego racjonalnego udostępniania zasobów przyrodniczych. Ze względu na rozwój osadnictwa i wzrost oczekiwań mieszkańców, istotne jest zwiększenie dostępności mieszkańców do terenów zieleni. Tereny zieleni poma</w:t>
            </w:r>
            <w:r w:rsidR="00063259" w:rsidRPr="00121D0C">
              <w:rPr>
                <w:rFonts w:ascii="Calibri" w:eastAsia="Calibri" w:hAnsi="Calibri" w:cs="Times New Roman"/>
                <w:sz w:val="24"/>
                <w:szCs w:val="24"/>
              </w:rPr>
              <w:t>gają w oczyszczaniu powietrza z </w:t>
            </w:r>
            <w:r w:rsidRPr="00121D0C">
              <w:rPr>
                <w:rFonts w:ascii="Calibri" w:eastAsia="Calibri" w:hAnsi="Calibri" w:cs="Times New Roman"/>
                <w:sz w:val="24"/>
                <w:szCs w:val="24"/>
              </w:rPr>
              <w:t>zanieczyszczeń oraz tworzą miejsca do bytowania dla licznych zwierząt. Przeznaczanie obszarów pod użytki zielone bezpośrednio wpływa na zwiększenie powierzchni biologicznie czynnej, która ma istotne znaczenie z punktu widzenia retencji oraz minimalizacji zagrożenia suszą. Do najistotniejszych działań technicznych należą te związane z budową i rozwojem błękitnej i zielonej infrastruktury, w tym z rozwojem form zieleni</w:t>
            </w:r>
            <w:r w:rsidR="007B5B6E" w:rsidRPr="00121D0C">
              <w:rPr>
                <w:rFonts w:ascii="Calibri" w:eastAsia="Calibri" w:hAnsi="Calibri" w:cs="Times New Roman"/>
                <w:sz w:val="24"/>
                <w:szCs w:val="24"/>
              </w:rPr>
              <w:t xml:space="preserve"> urządzonej i nieurządzonej, ze </w:t>
            </w:r>
            <w:r w:rsidRPr="00121D0C">
              <w:rPr>
                <w:rFonts w:ascii="Calibri" w:eastAsia="Calibri" w:hAnsi="Calibri" w:cs="Times New Roman"/>
                <w:sz w:val="24"/>
                <w:szCs w:val="24"/>
              </w:rPr>
              <w:t xml:space="preserve">szczególnym uwzględnieniem obiektów </w:t>
            </w:r>
            <w:proofErr w:type="spellStart"/>
            <w:r w:rsidRPr="00121D0C">
              <w:rPr>
                <w:rFonts w:ascii="Calibri" w:eastAsia="Calibri" w:hAnsi="Calibri" w:cs="Times New Roman"/>
                <w:sz w:val="24"/>
                <w:szCs w:val="24"/>
              </w:rPr>
              <w:t>mikroretencji</w:t>
            </w:r>
            <w:proofErr w:type="spellEnd"/>
            <w:r w:rsidR="00F31D5A" w:rsidRPr="00121D0C">
              <w:rPr>
                <w:rFonts w:ascii="Calibri" w:eastAsia="Calibri" w:hAnsi="Calibri" w:cs="Times New Roman"/>
                <w:sz w:val="24"/>
                <w:szCs w:val="24"/>
              </w:rPr>
              <w:t xml:space="preserve"> (które pozwalają ograniczyć skutki suszy, zwiększyć różnorodność biologiczną)</w:t>
            </w:r>
            <w:r w:rsidRPr="00121D0C">
              <w:rPr>
                <w:rFonts w:ascii="Calibri" w:eastAsia="Calibri" w:hAnsi="Calibri" w:cs="Times New Roman"/>
                <w:sz w:val="24"/>
                <w:szCs w:val="24"/>
              </w:rPr>
              <w:t xml:space="preserve">. </w:t>
            </w:r>
          </w:p>
          <w:p w:rsidR="00F31D5A" w:rsidRPr="00121D0C" w:rsidRDefault="00F31D5A" w:rsidP="00121D0C">
            <w:pPr>
              <w:autoSpaceDE w:val="0"/>
              <w:autoSpaceDN w:val="0"/>
              <w:adjustRightInd w:val="0"/>
              <w:spacing w:line="240" w:lineRule="auto"/>
              <w:jc w:val="left"/>
              <w:rPr>
                <w:rFonts w:ascii="Calibri" w:eastAsia="Calibri" w:hAnsi="Calibri" w:cs="Times New Roman"/>
                <w:sz w:val="24"/>
                <w:szCs w:val="24"/>
              </w:rPr>
            </w:pPr>
          </w:p>
          <w:p w:rsidR="003E4D5C" w:rsidRPr="00121D0C" w:rsidRDefault="003E4D5C" w:rsidP="00121D0C">
            <w:pPr>
              <w:autoSpaceDE w:val="0"/>
              <w:autoSpaceDN w:val="0"/>
              <w:adjustRightInd w:val="0"/>
              <w:spacing w:line="240" w:lineRule="auto"/>
              <w:jc w:val="left"/>
              <w:rPr>
                <w:rFonts w:ascii="Calibri" w:eastAsia="Calibri" w:hAnsi="Calibri" w:cs="Times New Roman"/>
                <w:sz w:val="24"/>
                <w:szCs w:val="24"/>
              </w:rPr>
            </w:pPr>
            <w:r w:rsidRPr="00121D0C">
              <w:rPr>
                <w:rFonts w:ascii="Calibri" w:eastAsia="Calibri" w:hAnsi="Calibri" w:cs="Times New Roman"/>
                <w:sz w:val="24"/>
                <w:szCs w:val="24"/>
              </w:rPr>
              <w:t>Zaproponowane w wiązce działania są ukierunkowane na rozwiązywanie wspólnych problemów  rozwojowych w obszarze środowiska na terenie WrOF.</w:t>
            </w:r>
          </w:p>
          <w:p w:rsidR="007E3DDE" w:rsidRPr="00121D0C" w:rsidRDefault="007E3DDE" w:rsidP="00121D0C">
            <w:pPr>
              <w:autoSpaceDE w:val="0"/>
              <w:autoSpaceDN w:val="0"/>
              <w:adjustRightInd w:val="0"/>
              <w:spacing w:line="240" w:lineRule="auto"/>
              <w:jc w:val="left"/>
              <w:rPr>
                <w:rFonts w:ascii="Calibri" w:eastAsia="Calibri" w:hAnsi="Calibri" w:cs="Times New Roman"/>
                <w:sz w:val="24"/>
                <w:szCs w:val="24"/>
              </w:rPr>
            </w:pPr>
          </w:p>
          <w:p w:rsidR="003E4D5C" w:rsidRPr="00121D0C" w:rsidRDefault="003E4D5C" w:rsidP="00121D0C">
            <w:pPr>
              <w:pStyle w:val="Default"/>
              <w:rPr>
                <w:rFonts w:cs="Arial"/>
                <w:bCs/>
              </w:rPr>
            </w:pPr>
            <w:r w:rsidRPr="00121D0C">
              <w:rPr>
                <w:rFonts w:cs="Arial"/>
                <w:bCs/>
              </w:rPr>
              <w:t>Projekty wchodzące w skład wiązki spełniają wymogi definicji projektu zintegrowanego, tj. wpisują się w cele rozwoju obszaru funkcjonalnego objętego instrumentem tj. Strategii ZIT WrOF (</w:t>
            </w:r>
            <w:r w:rsidRPr="00121D0C">
              <w:rPr>
                <w:rFonts w:asciiTheme="minorHAnsi" w:hAnsiTheme="minorHAnsi" w:cstheme="minorHAnsi"/>
                <w:bCs/>
                <w:color w:val="auto"/>
              </w:rPr>
              <w:t>Cel strategiczny 3. Ochrona środowiska naturalnego i adaptacja WrOF do zmian klimatu, Priorytet 12. Ochrona zasobów środowiska i jego bioróżnorodności, Kierunek działania 12.2 Ochrona różnorodności biologicznej oraz ad</w:t>
            </w:r>
            <w:r w:rsidR="00063259" w:rsidRPr="00121D0C">
              <w:rPr>
                <w:rFonts w:asciiTheme="minorHAnsi" w:hAnsiTheme="minorHAnsi" w:cstheme="minorHAnsi"/>
                <w:bCs/>
                <w:color w:val="auto"/>
              </w:rPr>
              <w:t>aptacja do zmian klimatu wraz z </w:t>
            </w:r>
            <w:r w:rsidRPr="00121D0C">
              <w:rPr>
                <w:rFonts w:asciiTheme="minorHAnsi" w:hAnsiTheme="minorHAnsi" w:cstheme="minorHAnsi"/>
                <w:bCs/>
                <w:color w:val="auto"/>
              </w:rPr>
              <w:t>zabezpieczeniem i zwiększeniem odporności na klęski żywiołowe) i są</w:t>
            </w:r>
            <w:r w:rsidRPr="00121D0C">
              <w:rPr>
                <w:rFonts w:asciiTheme="minorHAnsi" w:hAnsiTheme="minorHAnsi" w:cstheme="minorHAnsi"/>
                <w:bCs/>
                <w:color w:val="000000" w:themeColor="text1"/>
              </w:rPr>
              <w:t xml:space="preserve"> ukierunkowany na rozwiązywanie wsp</w:t>
            </w:r>
            <w:r w:rsidR="00063259" w:rsidRPr="00121D0C">
              <w:rPr>
                <w:rFonts w:asciiTheme="minorHAnsi" w:hAnsiTheme="minorHAnsi" w:cstheme="minorHAnsi"/>
                <w:bCs/>
                <w:color w:val="000000" w:themeColor="text1"/>
              </w:rPr>
              <w:t>ólnych problemów  rozwojowych w </w:t>
            </w:r>
            <w:r w:rsidRPr="00121D0C">
              <w:rPr>
                <w:rFonts w:asciiTheme="minorHAnsi" w:hAnsiTheme="minorHAnsi" w:cstheme="minorHAnsi"/>
                <w:bCs/>
                <w:color w:val="000000" w:themeColor="text1"/>
              </w:rPr>
              <w:t xml:space="preserve">obszarze środowiska.  Realizacja projektów jest uzasadniona zarówno w części diagnostycznej, jak i kierunkowej strategii ZIT WrOF.  </w:t>
            </w:r>
            <w:r w:rsidRPr="00121D0C">
              <w:rPr>
                <w:rFonts w:cs="Arial"/>
                <w:bCs/>
              </w:rPr>
              <w:t xml:space="preserve">Efektem wspólnym projektów będzie </w:t>
            </w:r>
            <w:r w:rsidRPr="00121D0C">
              <w:rPr>
                <w:rFonts w:cstheme="minorHAnsi"/>
                <w:bCs/>
              </w:rPr>
              <w:t>rozwój terenów zielonych i obszarów cennych przyrodniczo</w:t>
            </w:r>
            <w:r w:rsidRPr="00121D0C">
              <w:rPr>
                <w:rFonts w:cs="Arial"/>
                <w:bCs/>
              </w:rPr>
              <w:t xml:space="preserve">. </w:t>
            </w:r>
          </w:p>
          <w:p w:rsidR="003E4D5C" w:rsidRPr="00121D0C" w:rsidRDefault="003E4D5C" w:rsidP="00121D0C">
            <w:pPr>
              <w:pStyle w:val="Default"/>
              <w:rPr>
                <w:rFonts w:cs="Arial"/>
                <w:bCs/>
              </w:rPr>
            </w:pPr>
          </w:p>
          <w:p w:rsidR="003E4D5C" w:rsidRPr="00121D0C" w:rsidRDefault="003E4D5C" w:rsidP="00121D0C">
            <w:pPr>
              <w:pStyle w:val="Default"/>
              <w:rPr>
                <w:rFonts w:asciiTheme="minorHAnsi" w:hAnsiTheme="minorHAnsi" w:cstheme="minorHAnsi"/>
                <w:bCs/>
                <w:color w:val="000000" w:themeColor="text1"/>
              </w:rPr>
            </w:pPr>
            <w:r w:rsidRPr="00121D0C">
              <w:rPr>
                <w:rFonts w:asciiTheme="minorHAnsi" w:hAnsiTheme="minorHAnsi" w:cstheme="minorHAnsi"/>
                <w:bCs/>
              </w:rPr>
              <w:t>Zgodnie z częścią diagnostyczną Strategii adaptacja do zmian klimatycznych, poprawa jakości środowiska i jego ochrona są kluczowymi problemami strategicznymi Obszaru. Ma to związek m.in. z koniecznością ochrony terenów cennych przyrodniczo (w tym ochroną różnorodności biologicznej, dziedzictwa naturalnego i zasobów naturalnych), zapewnieniem racjonalnego udostępniania terenów atrakcyjnych przyrodniczo, w tym kanalizacją ruchu turystycznego.</w:t>
            </w:r>
          </w:p>
          <w:p w:rsidR="003E4D5C" w:rsidRPr="00121D0C" w:rsidRDefault="005255DE" w:rsidP="00121D0C">
            <w:pPr>
              <w:pStyle w:val="Default"/>
            </w:pPr>
            <w:r w:rsidRPr="00121D0C">
              <w:t xml:space="preserve">Wiązka projektów  spełnia  warunki  projektu zintegrowanego tj. stanowi grupę projektów powiązanych ze sobą merytorycznie (zawiera podobne typy  projektów) oraz funkcjonalnie (zintegrowany wpływ realizacji </w:t>
            </w:r>
            <w:r w:rsidR="007B5B6E" w:rsidRPr="00121D0C">
              <w:t>projektów  na obszar  ZIT).  Na </w:t>
            </w:r>
            <w:r w:rsidRPr="00121D0C">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5C069A" w:rsidRPr="00121D0C" w:rsidRDefault="005C069A" w:rsidP="00121D0C">
            <w:pPr>
              <w:pStyle w:val="Default"/>
              <w:rPr>
                <w:rFonts w:asciiTheme="minorHAnsi" w:hAnsiTheme="minorHAnsi" w:cstheme="minorHAnsi"/>
                <w:bCs/>
                <w:color w:val="000000" w:themeColor="text1"/>
              </w:rPr>
            </w:pPr>
          </w:p>
          <w:p w:rsidR="007B5B6E" w:rsidRPr="00121D0C" w:rsidRDefault="003E4D5C" w:rsidP="00121D0C">
            <w:pPr>
              <w:pStyle w:val="Default"/>
              <w:rPr>
                <w:rFonts w:asciiTheme="minorHAnsi" w:hAnsiTheme="minorHAnsi" w:cstheme="minorHAnsi"/>
                <w:bCs/>
                <w:color w:val="000000" w:themeColor="text1"/>
              </w:rPr>
            </w:pPr>
            <w:r w:rsidRPr="00121D0C">
              <w:rPr>
                <w:rFonts w:asciiTheme="minorHAnsi" w:hAnsiTheme="minorHAnsi" w:cstheme="minorHAnsi"/>
                <w:bCs/>
                <w:color w:val="000000" w:themeColor="text1"/>
              </w:rPr>
              <w:t xml:space="preserve">Projekty wchodzące w skład wiązki będą realizować założenia </w:t>
            </w:r>
          </w:p>
          <w:p w:rsidR="007B5B6E" w:rsidRPr="00121D0C" w:rsidRDefault="003E4D5C" w:rsidP="00121D0C">
            <w:pPr>
              <w:pStyle w:val="Default"/>
              <w:rPr>
                <w:rFonts w:asciiTheme="minorHAnsi" w:hAnsiTheme="minorHAnsi" w:cstheme="minorHAnsi"/>
                <w:b/>
                <w:bCs/>
                <w:color w:val="auto"/>
              </w:rPr>
            </w:pPr>
            <w:r w:rsidRPr="00121D0C">
              <w:rPr>
                <w:rFonts w:asciiTheme="minorHAnsi" w:hAnsiTheme="minorHAnsi" w:cstheme="minorHAnsi"/>
                <w:b/>
                <w:bCs/>
                <w:color w:val="auto"/>
              </w:rPr>
              <w:t xml:space="preserve">Celu strategicznego 3. Ochrona środowiska naturalnego i adaptacja WrOF do zmian klimatu, </w:t>
            </w:r>
          </w:p>
          <w:p w:rsidR="007B5B6E" w:rsidRPr="00121D0C" w:rsidRDefault="003E4D5C" w:rsidP="00121D0C">
            <w:pPr>
              <w:pStyle w:val="Default"/>
              <w:rPr>
                <w:rFonts w:asciiTheme="minorHAnsi" w:hAnsiTheme="minorHAnsi" w:cstheme="minorHAnsi"/>
                <w:b/>
                <w:bCs/>
                <w:color w:val="auto"/>
              </w:rPr>
            </w:pPr>
            <w:r w:rsidRPr="00121D0C">
              <w:rPr>
                <w:rFonts w:asciiTheme="minorHAnsi" w:hAnsiTheme="minorHAnsi" w:cstheme="minorHAnsi"/>
                <w:b/>
                <w:bCs/>
                <w:color w:val="auto"/>
              </w:rPr>
              <w:t>Priorytet</w:t>
            </w:r>
            <w:r w:rsidR="007B5B6E" w:rsidRPr="00121D0C">
              <w:rPr>
                <w:rFonts w:asciiTheme="minorHAnsi" w:hAnsiTheme="minorHAnsi" w:cstheme="minorHAnsi"/>
                <w:b/>
                <w:bCs/>
                <w:color w:val="auto"/>
              </w:rPr>
              <w:t>u</w:t>
            </w:r>
            <w:r w:rsidRPr="00121D0C">
              <w:rPr>
                <w:rFonts w:asciiTheme="minorHAnsi" w:hAnsiTheme="minorHAnsi" w:cstheme="minorHAnsi"/>
                <w:b/>
                <w:bCs/>
                <w:color w:val="auto"/>
              </w:rPr>
              <w:t xml:space="preserve"> 12. Ochrona zasobów środowiska i jego bioróżnorodności, </w:t>
            </w:r>
          </w:p>
          <w:p w:rsidR="003E4D5C" w:rsidRPr="00121D0C" w:rsidRDefault="003E4D5C" w:rsidP="00121D0C">
            <w:pPr>
              <w:pStyle w:val="Default"/>
              <w:rPr>
                <w:rFonts w:asciiTheme="minorHAnsi" w:hAnsiTheme="minorHAnsi" w:cstheme="minorHAnsi"/>
                <w:b/>
                <w:bCs/>
                <w:color w:val="auto"/>
              </w:rPr>
            </w:pPr>
            <w:r w:rsidRPr="00121D0C">
              <w:rPr>
                <w:rFonts w:asciiTheme="minorHAnsi" w:hAnsiTheme="minorHAnsi" w:cstheme="minorHAnsi"/>
                <w:b/>
                <w:bCs/>
                <w:color w:val="auto"/>
              </w:rPr>
              <w:t>Kierun</w:t>
            </w:r>
            <w:r w:rsidR="007B5B6E" w:rsidRPr="00121D0C">
              <w:rPr>
                <w:rFonts w:asciiTheme="minorHAnsi" w:hAnsiTheme="minorHAnsi" w:cstheme="minorHAnsi"/>
                <w:b/>
                <w:bCs/>
                <w:color w:val="auto"/>
              </w:rPr>
              <w:t>ku</w:t>
            </w:r>
            <w:r w:rsidRPr="00121D0C">
              <w:rPr>
                <w:rFonts w:asciiTheme="minorHAnsi" w:hAnsiTheme="minorHAnsi" w:cstheme="minorHAnsi"/>
                <w:b/>
                <w:bCs/>
                <w:color w:val="auto"/>
              </w:rPr>
              <w:t xml:space="preserve"> działania 12.2 Ochrona różnorodności biologicznej oraz adaptacja do zmian klimatu wraz z zabezpieczeniem i zwiększeniem odporności na klęski żywiołowe</w:t>
            </w:r>
          </w:p>
          <w:p w:rsidR="003E4D5C" w:rsidRPr="00121D0C" w:rsidRDefault="003E4D5C" w:rsidP="00121D0C">
            <w:pPr>
              <w:pStyle w:val="Default"/>
              <w:rPr>
                <w:rFonts w:asciiTheme="minorHAnsi" w:hAnsiTheme="minorHAnsi" w:cstheme="minorHAnsi"/>
                <w:bCs/>
                <w:color w:val="000000" w:themeColor="text1"/>
              </w:rPr>
            </w:pPr>
          </w:p>
          <w:p w:rsidR="003E4D5C" w:rsidRPr="00121D0C" w:rsidRDefault="003E4D5C" w:rsidP="00121D0C">
            <w:pPr>
              <w:spacing w:line="240" w:lineRule="auto"/>
              <w:jc w:val="left"/>
              <w:rPr>
                <w:rFonts w:cstheme="minorHAnsi"/>
                <w:bCs/>
                <w:sz w:val="24"/>
                <w:szCs w:val="24"/>
              </w:rPr>
            </w:pPr>
            <w:r w:rsidRPr="00121D0C">
              <w:rPr>
                <w:rFonts w:cstheme="minorHAnsi"/>
                <w:bCs/>
                <w:sz w:val="24"/>
                <w:szCs w:val="24"/>
              </w:rPr>
              <w:t>W Kierunku działania 12.2 kładzie się szczególny nacisk na ochronę różnorodności biologicznej, w tym wszelkich występujących na obszarze form ochrony przyrody, które stanowią szczególną wartość obszaru. Kluczowe jest dbanie o stan środowiska naturalnego oraz ochrona bioróżnorodności wraz z racjonalnym wykorzystaniem i udostępnianiem zasobów np. w cel</w:t>
            </w:r>
            <w:r w:rsidR="007B5B6E" w:rsidRPr="00121D0C">
              <w:rPr>
                <w:rFonts w:cstheme="minorHAnsi"/>
                <w:bCs/>
                <w:sz w:val="24"/>
                <w:szCs w:val="24"/>
              </w:rPr>
              <w:t>ach edukacyjnych, turystycznych</w:t>
            </w:r>
            <w:r w:rsidRPr="00121D0C">
              <w:rPr>
                <w:rFonts w:cstheme="minorHAnsi"/>
                <w:bCs/>
                <w:sz w:val="24"/>
                <w:szCs w:val="24"/>
              </w:rPr>
              <w:t xml:space="preserve"> czy rekreacyjnych. Niezwykle istotne jest dbanie o zasoby przyrodnicze, ochrona gatunkowa oraz siedliskowa oraz zmniejszenie antropopresji na środowisko naturalne. Realizacja działań powinna mieć na celu dbałość o walory przyrodnicze, ale również odtwarzanie zdegradowanych siedlisk oraz ochrona siedlisk przed degradacją.</w:t>
            </w:r>
          </w:p>
          <w:p w:rsidR="003E4D5C" w:rsidRPr="00121D0C" w:rsidRDefault="003E4D5C" w:rsidP="00121D0C">
            <w:pPr>
              <w:spacing w:line="240" w:lineRule="auto"/>
              <w:jc w:val="left"/>
              <w:rPr>
                <w:rFonts w:cs="Arial"/>
                <w:bCs/>
                <w:sz w:val="24"/>
                <w:szCs w:val="24"/>
              </w:rPr>
            </w:pPr>
          </w:p>
          <w:p w:rsidR="003E4D5C" w:rsidRPr="00121D0C" w:rsidRDefault="003E4D5C" w:rsidP="00121D0C">
            <w:pPr>
              <w:spacing w:line="240" w:lineRule="auto"/>
              <w:jc w:val="left"/>
              <w:rPr>
                <w:rFonts w:cstheme="minorHAnsi"/>
                <w:bCs/>
                <w:color w:val="000000" w:themeColor="text1"/>
                <w:sz w:val="24"/>
                <w:szCs w:val="24"/>
              </w:rPr>
            </w:pPr>
            <w:r w:rsidRPr="00121D0C">
              <w:rPr>
                <w:rFonts w:cstheme="minorHAnsi"/>
                <w:color w:val="000000" w:themeColor="text1"/>
                <w:sz w:val="24"/>
                <w:szCs w:val="24"/>
              </w:rPr>
              <w:t>Zdefiniowane w wiązce „Rozwój terenów zielonych we Wrocławskim Obszarze Funkcjonalnym” projekty związane są m.in. z d</w:t>
            </w:r>
            <w:r w:rsidR="00063259" w:rsidRPr="00121D0C">
              <w:rPr>
                <w:rFonts w:cstheme="minorHAnsi"/>
                <w:color w:val="000000" w:themeColor="text1"/>
                <w:sz w:val="24"/>
                <w:szCs w:val="24"/>
              </w:rPr>
              <w:t>ziałaniami w zakresie ochrony i </w:t>
            </w:r>
            <w:r w:rsidRPr="00121D0C">
              <w:rPr>
                <w:rFonts w:cstheme="minorHAnsi"/>
                <w:color w:val="000000" w:themeColor="text1"/>
                <w:sz w:val="24"/>
                <w:szCs w:val="24"/>
              </w:rPr>
              <w:t>udostępniania zasobów przyrodniczy</w:t>
            </w:r>
            <w:r w:rsidR="00063259" w:rsidRPr="00121D0C">
              <w:rPr>
                <w:rFonts w:cstheme="minorHAnsi"/>
                <w:color w:val="000000" w:themeColor="text1"/>
                <w:sz w:val="24"/>
                <w:szCs w:val="24"/>
              </w:rPr>
              <w:t xml:space="preserve">ch, działaniami ograniczającymi </w:t>
            </w:r>
            <w:r w:rsidRPr="00121D0C">
              <w:rPr>
                <w:rFonts w:cstheme="minorHAnsi"/>
                <w:color w:val="000000" w:themeColor="text1"/>
                <w:sz w:val="24"/>
                <w:szCs w:val="24"/>
              </w:rPr>
              <w:t xml:space="preserve">antropopresję. </w:t>
            </w:r>
            <w:r w:rsidRPr="00121D0C">
              <w:rPr>
                <w:rFonts w:cstheme="minorHAnsi"/>
                <w:bCs/>
                <w:color w:val="000000" w:themeColor="text1"/>
                <w:sz w:val="24"/>
                <w:szCs w:val="24"/>
              </w:rPr>
              <w:t>Projekty wchodzące w skład wiązki mają wpływ na więcej niż jedną gminę we WrOF, gdyż przyczyniają się do poprawy stanu środowiska (w tym mają</w:t>
            </w:r>
            <w:r w:rsidRPr="00121D0C">
              <w:rPr>
                <w:rFonts w:cstheme="minorHAnsi"/>
                <w:color w:val="000000" w:themeColor="text1"/>
                <w:sz w:val="24"/>
                <w:szCs w:val="24"/>
              </w:rPr>
              <w:t xml:space="preserve"> ograniczać antropopresję)</w:t>
            </w:r>
            <w:r w:rsidRPr="00121D0C">
              <w:rPr>
                <w:rFonts w:cstheme="minorHAnsi"/>
                <w:bCs/>
                <w:color w:val="000000" w:themeColor="text1"/>
                <w:sz w:val="24"/>
                <w:szCs w:val="24"/>
              </w:rPr>
              <w:t xml:space="preserve"> obszaru WrOF. </w:t>
            </w:r>
          </w:p>
          <w:p w:rsidR="00AA637C" w:rsidRPr="00121D0C" w:rsidRDefault="003E4D5C" w:rsidP="00121D0C">
            <w:pPr>
              <w:spacing w:line="240" w:lineRule="auto"/>
              <w:jc w:val="left"/>
              <w:rPr>
                <w:rFonts w:cstheme="minorHAnsi"/>
                <w:bCs/>
                <w:color w:val="000000" w:themeColor="text1"/>
                <w:sz w:val="24"/>
                <w:szCs w:val="24"/>
              </w:rPr>
            </w:pPr>
            <w:r w:rsidRPr="00121D0C">
              <w:rPr>
                <w:rFonts w:cstheme="minorHAnsi"/>
                <w:bCs/>
                <w:color w:val="000000" w:themeColor="text1"/>
                <w:sz w:val="24"/>
                <w:szCs w:val="24"/>
              </w:rPr>
              <w:t>Zaproponowana wiązka projektów wykazuje pełną wewnętrzną komplementarność i synergię w zakresie tematycznym, ponieważ przedmiotem projektów jest poprawa stanu środowiska oraz w zakresie obszarowym, gdyż  rzeczowa realizacja projektów zaplanowana jest na terenie gmin ZIT WrOF.</w:t>
            </w:r>
          </w:p>
        </w:tc>
      </w:tr>
    </w:tbl>
    <w:p w:rsidR="00D72C00" w:rsidRDefault="00D72C00" w:rsidP="00AA637C">
      <w:pPr>
        <w:spacing w:after="200" w:line="276" w:lineRule="auto"/>
        <w:jc w:val="left"/>
        <w:rPr>
          <w:rFonts w:ascii="Calibri" w:eastAsia="Calibri" w:hAnsi="Calibri" w:cs="Times New Roman"/>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Wiązka projektów 7"/>
        <w:tblDescription w:val="Budowa lub rozbudowa dróg, ścieżek, tras rowerowych oraz ciągów pieszo-rowerowych na terenie Wrocławskiego Obszaru Funkcjonalnego"/>
      </w:tblPr>
      <w:tblGrid>
        <w:gridCol w:w="1702"/>
        <w:gridCol w:w="7370"/>
      </w:tblGrid>
      <w:tr w:rsidR="00D06821" w:rsidRPr="00D06821" w:rsidTr="00D06821">
        <w:trPr>
          <w:trHeight w:val="794"/>
          <w:tblHeader/>
          <w:jc w:val="center"/>
        </w:trPr>
        <w:tc>
          <w:tcPr>
            <w:tcW w:w="1701" w:type="dxa"/>
            <w:shd w:val="clear" w:color="auto" w:fill="D9D9D9"/>
            <w:vAlign w:val="center"/>
          </w:tcPr>
          <w:p w:rsidR="00D06821" w:rsidRPr="00D06821" w:rsidRDefault="00D06821" w:rsidP="00D06821">
            <w:pPr>
              <w:spacing w:line="240" w:lineRule="auto"/>
              <w:jc w:val="left"/>
              <w:rPr>
                <w:rFonts w:ascii="Calibri" w:eastAsia="Calibri" w:hAnsi="Calibri" w:cs="Times New Roman"/>
                <w:b/>
                <w:sz w:val="24"/>
                <w:szCs w:val="24"/>
                <w:highlight w:val="yellow"/>
              </w:rPr>
            </w:pPr>
            <w:r w:rsidRPr="00D06821">
              <w:rPr>
                <w:rFonts w:eastAsia="Calibri" w:cstheme="minorHAnsi"/>
                <w:b/>
                <w:sz w:val="24"/>
                <w:szCs w:val="24"/>
              </w:rPr>
              <w:t>Wiązka projektów</w:t>
            </w:r>
            <w:r>
              <w:rPr>
                <w:rFonts w:eastAsia="Calibri" w:cstheme="minorHAnsi"/>
                <w:b/>
                <w:sz w:val="24"/>
                <w:szCs w:val="24"/>
              </w:rPr>
              <w:t xml:space="preserve"> 7</w:t>
            </w:r>
          </w:p>
        </w:tc>
        <w:tc>
          <w:tcPr>
            <w:tcW w:w="7366" w:type="dxa"/>
            <w:shd w:val="clear" w:color="auto" w:fill="D9D9D9"/>
            <w:vAlign w:val="center"/>
          </w:tcPr>
          <w:p w:rsidR="00D06821" w:rsidRPr="00D06821" w:rsidRDefault="00D06821" w:rsidP="00D06821">
            <w:pPr>
              <w:spacing w:line="240" w:lineRule="auto"/>
              <w:jc w:val="left"/>
              <w:rPr>
                <w:rFonts w:ascii="Calibri" w:eastAsia="Calibri" w:hAnsi="Calibri" w:cs="Times New Roman"/>
                <w:b/>
                <w:sz w:val="24"/>
                <w:szCs w:val="24"/>
                <w:highlight w:val="yellow"/>
              </w:rPr>
            </w:pPr>
            <w:r w:rsidRPr="00D06821">
              <w:rPr>
                <w:rFonts w:eastAsia="Calibri" w:cstheme="minorHAnsi"/>
                <w:b/>
                <w:sz w:val="24"/>
                <w:szCs w:val="24"/>
              </w:rPr>
              <w:t>Budowa lub rozbudowa dróg, ścieżek, tras rowerowych oraz ciągów pieszo-rowerowych na terenie Wrocławskiego Obszaru Funkcjonalnego</w:t>
            </w:r>
          </w:p>
        </w:tc>
      </w:tr>
      <w:tr w:rsidR="00AA637C" w:rsidRPr="00D06821" w:rsidTr="00D06821">
        <w:trPr>
          <w:jc w:val="center"/>
        </w:trPr>
        <w:tc>
          <w:tcPr>
            <w:tcW w:w="1701"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Projekty w wiązce</w:t>
            </w:r>
          </w:p>
        </w:tc>
        <w:tc>
          <w:tcPr>
            <w:tcW w:w="7366" w:type="dxa"/>
          </w:tcPr>
          <w:p w:rsidR="009D6F22" w:rsidRPr="00D06821" w:rsidRDefault="009D6F22" w:rsidP="00D06821">
            <w:pPr>
              <w:spacing w:line="240" w:lineRule="auto"/>
              <w:jc w:val="left"/>
              <w:rPr>
                <w:rFonts w:ascii="Calibri" w:eastAsia="Calibri" w:hAnsi="Calibri" w:cs="Times New Roman"/>
                <w:b/>
                <w:sz w:val="24"/>
                <w:szCs w:val="24"/>
              </w:rPr>
            </w:pPr>
            <w:r w:rsidRPr="00D06821">
              <w:rPr>
                <w:rFonts w:ascii="Calibri" w:eastAsia="Calibri" w:hAnsi="Calibri" w:cs="Times New Roman"/>
                <w:b/>
                <w:sz w:val="24"/>
                <w:szCs w:val="24"/>
              </w:rPr>
              <w:t>Projekty podstawowe:</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ciągu pieszo-rowerowego przy drodze powiatowej nr 1368D relacji Malin – Ligota Piękna, gm. Wisznia Mała</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i oznakowanie tras rowerowych, dróg rowerowych i ciągów pieszo-rowerowych na terenie Gminy Kobierzyce</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Spójna sieć tras rowerowych we Wro</w:t>
            </w:r>
            <w:r w:rsidR="007B5B6E" w:rsidRPr="00D06821">
              <w:rPr>
                <w:rFonts w:cstheme="minorHAnsi"/>
                <w:sz w:val="24"/>
                <w:szCs w:val="24"/>
              </w:rPr>
              <w:t>cławiu dla mieszkańców miasta i </w:t>
            </w:r>
            <w:r w:rsidRPr="00D06821">
              <w:rPr>
                <w:rFonts w:cstheme="minorHAnsi"/>
                <w:sz w:val="24"/>
                <w:szCs w:val="24"/>
              </w:rPr>
              <w:t>aglomeracji wraz z budową systemu badania natężenia ruchu na drogach dla rowerów – etap I</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dróg pieszo-rowerowych na terenie Gminy Zawonia – etap I (odcinek Zawonia-Złotówek)</w:t>
            </w:r>
          </w:p>
          <w:p w:rsidR="009D6F22" w:rsidRPr="00D06821" w:rsidRDefault="009D6F22" w:rsidP="00D06821">
            <w:pPr>
              <w:pStyle w:val="Akapitzlist"/>
              <w:numPr>
                <w:ilvl w:val="0"/>
                <w:numId w:val="39"/>
              </w:numPr>
              <w:spacing w:line="240" w:lineRule="auto"/>
              <w:jc w:val="left"/>
              <w:rPr>
                <w:rFonts w:ascii="Calibri" w:eastAsia="Calibri" w:hAnsi="Calibri" w:cs="Times New Roman"/>
                <w:b/>
                <w:sz w:val="24"/>
                <w:szCs w:val="24"/>
              </w:rPr>
            </w:pPr>
            <w:r w:rsidRPr="00D06821">
              <w:rPr>
                <w:rFonts w:cstheme="minorHAnsi"/>
                <w:sz w:val="24"/>
                <w:szCs w:val="24"/>
              </w:rPr>
              <w:t>Budowa i oznakowanie dróg rowerowych i ciągów pieszo-rowerowych na terenie Gminy Długołęka</w:t>
            </w:r>
          </w:p>
          <w:p w:rsidR="009D6F22" w:rsidRPr="00D06821" w:rsidRDefault="009D6F22" w:rsidP="00D06821">
            <w:pPr>
              <w:spacing w:line="240" w:lineRule="auto"/>
              <w:jc w:val="left"/>
              <w:rPr>
                <w:rFonts w:ascii="Calibri" w:eastAsia="Calibri" w:hAnsi="Calibri" w:cs="Times New Roman"/>
                <w:b/>
                <w:sz w:val="24"/>
                <w:szCs w:val="24"/>
              </w:rPr>
            </w:pPr>
            <w:r w:rsidRPr="00D06821">
              <w:rPr>
                <w:rFonts w:ascii="Calibri" w:eastAsia="Calibri" w:hAnsi="Calibri" w:cs="Times New Roman"/>
                <w:b/>
                <w:sz w:val="24"/>
                <w:szCs w:val="24"/>
              </w:rPr>
              <w:t xml:space="preserve">Projekty rezerwowe: </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 xml:space="preserve">Budowa sieci dróg dla rowerów wraz </w:t>
            </w:r>
            <w:r w:rsidR="007B5B6E" w:rsidRPr="00D06821">
              <w:rPr>
                <w:rFonts w:cstheme="minorHAnsi"/>
                <w:sz w:val="24"/>
                <w:szCs w:val="24"/>
              </w:rPr>
              <w:t>z infrastrukturą towarzyszącą w </w:t>
            </w:r>
            <w:r w:rsidRPr="00D06821">
              <w:rPr>
                <w:rFonts w:cstheme="minorHAnsi"/>
                <w:sz w:val="24"/>
                <w:szCs w:val="24"/>
              </w:rPr>
              <w:t>Gminie Mieście Oleśnicy</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chodników i ścieżki rowerowej w ramach rozbudowy drogi gminnej nr 107184D (od przejazdu kolejowego w Smolcu do drogi wojewódzkiej)</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ścieżki rowerowej Mrozów – Błonie</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 xml:space="preserve">Budowa dróg pieszo-rowerowych na terenie Gminy Zawonia </w:t>
            </w:r>
            <w:r w:rsidR="007B5B6E" w:rsidRPr="00D06821">
              <w:rPr>
                <w:rFonts w:cstheme="minorHAnsi"/>
                <w:sz w:val="24"/>
                <w:szCs w:val="24"/>
              </w:rPr>
              <w:t xml:space="preserve">– </w:t>
            </w:r>
            <w:r w:rsidRPr="00D06821">
              <w:rPr>
                <w:rFonts w:cstheme="minorHAnsi"/>
                <w:sz w:val="24"/>
                <w:szCs w:val="24"/>
              </w:rPr>
              <w:t>etap II (odcinek Złotówek-Czeszów oraz Zawonia-</w:t>
            </w:r>
            <w:proofErr w:type="spellStart"/>
            <w:r w:rsidRPr="00D06821">
              <w:rPr>
                <w:rFonts w:cstheme="minorHAnsi"/>
                <w:sz w:val="24"/>
                <w:szCs w:val="24"/>
              </w:rPr>
              <w:t>Pstrzejowice</w:t>
            </w:r>
            <w:proofErr w:type="spellEnd"/>
            <w:r w:rsidRPr="00D06821">
              <w:rPr>
                <w:rFonts w:cstheme="minorHAnsi"/>
                <w:sz w:val="24"/>
                <w:szCs w:val="24"/>
              </w:rPr>
              <w:t>)</w:t>
            </w:r>
          </w:p>
          <w:p w:rsidR="00AA637C" w:rsidRPr="00D06821" w:rsidRDefault="009D6F22" w:rsidP="00D06821">
            <w:pPr>
              <w:pStyle w:val="Akapitzlist"/>
              <w:numPr>
                <w:ilvl w:val="0"/>
                <w:numId w:val="34"/>
              </w:numPr>
              <w:tabs>
                <w:tab w:val="left" w:pos="1872"/>
              </w:tabs>
              <w:spacing w:line="240" w:lineRule="auto"/>
              <w:jc w:val="left"/>
              <w:rPr>
                <w:rFonts w:cstheme="minorHAnsi"/>
                <w:sz w:val="24"/>
                <w:szCs w:val="24"/>
              </w:rPr>
            </w:pPr>
            <w:r w:rsidRPr="00D06821">
              <w:rPr>
                <w:rFonts w:cstheme="minorHAnsi"/>
                <w:sz w:val="24"/>
                <w:szCs w:val="24"/>
              </w:rPr>
              <w:t>Budowa dróg rowerowych i ciągów pieszo-rowerowych na terenie miasta i gminy Jelcz-Laskowice</w:t>
            </w:r>
          </w:p>
        </w:tc>
      </w:tr>
      <w:tr w:rsidR="00AA637C" w:rsidRPr="00D06821" w:rsidTr="00D06821">
        <w:trPr>
          <w:jc w:val="center"/>
        </w:trPr>
        <w:tc>
          <w:tcPr>
            <w:tcW w:w="1701"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Cel szczegółowy FEDS 2021-2027</w:t>
            </w:r>
          </w:p>
        </w:tc>
        <w:tc>
          <w:tcPr>
            <w:tcW w:w="7366" w:type="dxa"/>
            <w:vAlign w:val="center"/>
          </w:tcPr>
          <w:p w:rsidR="00AA637C" w:rsidRPr="00D06821" w:rsidRDefault="00AA637C" w:rsidP="00D06821">
            <w:pPr>
              <w:spacing w:line="240" w:lineRule="auto"/>
              <w:jc w:val="left"/>
              <w:rPr>
                <w:rFonts w:ascii="Calibri" w:eastAsia="Calibri" w:hAnsi="Calibri" w:cs="Times New Roman"/>
                <w:b/>
                <w:sz w:val="24"/>
                <w:szCs w:val="24"/>
              </w:rPr>
            </w:pPr>
            <w:r w:rsidRPr="00D06821">
              <w:rPr>
                <w:rFonts w:ascii="Calibri" w:eastAsia="Calibri" w:hAnsi="Calibri" w:cs="Times New Roman"/>
                <w:b/>
                <w:sz w:val="24"/>
                <w:szCs w:val="24"/>
              </w:rPr>
              <w:t xml:space="preserve">RSO2.8. Wspieranie zrównoważonej multimodalnej mobilności miejskiej jako elementu transformacji w kierunku gospodarki </w:t>
            </w:r>
            <w:proofErr w:type="spellStart"/>
            <w:r w:rsidRPr="00D06821">
              <w:rPr>
                <w:rFonts w:ascii="Calibri" w:eastAsia="Calibri" w:hAnsi="Calibri" w:cs="Times New Roman"/>
                <w:b/>
                <w:sz w:val="24"/>
                <w:szCs w:val="24"/>
              </w:rPr>
              <w:t>zeroemisyjnej</w:t>
            </w:r>
            <w:proofErr w:type="spellEnd"/>
          </w:p>
        </w:tc>
      </w:tr>
      <w:tr w:rsidR="00AA637C" w:rsidRPr="00D06821" w:rsidTr="00D06821">
        <w:trPr>
          <w:jc w:val="center"/>
        </w:trPr>
        <w:tc>
          <w:tcPr>
            <w:tcW w:w="1701"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Uzasadnienie realizacji wiązki projektów</w:t>
            </w:r>
          </w:p>
        </w:tc>
        <w:tc>
          <w:tcPr>
            <w:tcW w:w="7366" w:type="dxa"/>
          </w:tcPr>
          <w:p w:rsidR="00AC0773" w:rsidRPr="00D06821" w:rsidRDefault="00D61B18" w:rsidP="00D06821">
            <w:pPr>
              <w:spacing w:line="240" w:lineRule="auto"/>
              <w:jc w:val="left"/>
              <w:rPr>
                <w:rFonts w:cs="Arial"/>
                <w:bCs/>
                <w:sz w:val="24"/>
                <w:szCs w:val="24"/>
              </w:rPr>
            </w:pPr>
            <w:r w:rsidRPr="00D06821">
              <w:rPr>
                <w:rFonts w:cs="Arial"/>
                <w:bCs/>
                <w:sz w:val="24"/>
                <w:szCs w:val="24"/>
              </w:rPr>
              <w:t>Budowa nowych i modernizacja już istniejących tras rowerowych i pieszo-rowerowych wraz z towarzyszącą im infrastrukturą, w tym m.in. B&amp;R, oświetleniem,  kanalizacją deszczową, oraz, w niektórych lokal</w:t>
            </w:r>
            <w:r w:rsidR="007B5B6E" w:rsidRPr="00D06821">
              <w:rPr>
                <w:rFonts w:cs="Arial"/>
                <w:bCs/>
                <w:sz w:val="24"/>
                <w:szCs w:val="24"/>
              </w:rPr>
              <w:t xml:space="preserve">izacjach, punktami pomiarowymi </w:t>
            </w:r>
            <w:r w:rsidRPr="00D06821">
              <w:rPr>
                <w:rFonts w:cs="Arial"/>
                <w:bCs/>
                <w:sz w:val="24"/>
                <w:szCs w:val="24"/>
              </w:rPr>
              <w:t>automatycznie zliczającymi ruch rowerowy na wskazanych odcinkach tras rowerowych i pieszo-rowerowych,</w:t>
            </w:r>
            <w:r w:rsidR="007B5B6E" w:rsidRPr="00D06821">
              <w:rPr>
                <w:rFonts w:cs="Arial"/>
                <w:bCs/>
                <w:sz w:val="24"/>
                <w:szCs w:val="24"/>
              </w:rPr>
              <w:t xml:space="preserve"> </w:t>
            </w:r>
            <w:r w:rsidRPr="00D06821">
              <w:rPr>
                <w:rFonts w:cs="Arial"/>
                <w:bCs/>
                <w:sz w:val="24"/>
                <w:szCs w:val="24"/>
              </w:rPr>
              <w:t>za</w:t>
            </w:r>
            <w:r w:rsidR="00C507DF" w:rsidRPr="00D06821">
              <w:rPr>
                <w:rFonts w:cs="Arial"/>
                <w:bCs/>
                <w:sz w:val="24"/>
                <w:szCs w:val="24"/>
              </w:rPr>
              <w:t>pewni spójność tych tras na tere</w:t>
            </w:r>
            <w:r w:rsidRPr="00D06821">
              <w:rPr>
                <w:rFonts w:cs="Arial"/>
                <w:bCs/>
                <w:sz w:val="24"/>
                <w:szCs w:val="24"/>
              </w:rPr>
              <w:t xml:space="preserve">nie WrOF. </w:t>
            </w:r>
            <w:r w:rsidR="00A42344" w:rsidRPr="00D06821">
              <w:rPr>
                <w:rFonts w:cs="Arial"/>
                <w:bCs/>
                <w:sz w:val="24"/>
                <w:szCs w:val="24"/>
              </w:rPr>
              <w:t>Ponadto wzrost znacze</w:t>
            </w:r>
            <w:r w:rsidR="000D6904" w:rsidRPr="00D06821">
              <w:rPr>
                <w:rFonts w:cs="Arial"/>
                <w:bCs/>
                <w:sz w:val="24"/>
                <w:szCs w:val="24"/>
              </w:rPr>
              <w:t xml:space="preserve">nia podróży wykonywanych pieszo, </w:t>
            </w:r>
            <w:r w:rsidR="00A42344" w:rsidRPr="00D06821">
              <w:rPr>
                <w:rFonts w:cs="Arial"/>
                <w:bCs/>
                <w:sz w:val="24"/>
                <w:szCs w:val="24"/>
              </w:rPr>
              <w:t xml:space="preserve"> rowerem, czy też urząd</w:t>
            </w:r>
            <w:r w:rsidR="00D97C09" w:rsidRPr="00D06821">
              <w:rPr>
                <w:rFonts w:cs="Arial"/>
                <w:bCs/>
                <w:sz w:val="24"/>
                <w:szCs w:val="24"/>
              </w:rPr>
              <w:t>zeniami transportu osobistego (</w:t>
            </w:r>
            <w:r w:rsidR="00A42344" w:rsidRPr="00D06821">
              <w:rPr>
                <w:rFonts w:cs="Arial"/>
                <w:bCs/>
                <w:sz w:val="24"/>
                <w:szCs w:val="24"/>
              </w:rPr>
              <w:t xml:space="preserve">UTO) </w:t>
            </w:r>
            <w:r w:rsidR="00D97C09" w:rsidRPr="00D06821">
              <w:rPr>
                <w:rFonts w:cs="Arial"/>
                <w:bCs/>
                <w:sz w:val="24"/>
                <w:szCs w:val="24"/>
              </w:rPr>
              <w:t xml:space="preserve">musi </w:t>
            </w:r>
            <w:r w:rsidR="00A42344" w:rsidRPr="00D06821">
              <w:rPr>
                <w:rFonts w:cs="Arial"/>
                <w:bCs/>
                <w:sz w:val="24"/>
                <w:szCs w:val="24"/>
              </w:rPr>
              <w:t>przekłada</w:t>
            </w:r>
            <w:r w:rsidR="00D97C09" w:rsidRPr="00D06821">
              <w:rPr>
                <w:rFonts w:cs="Arial"/>
                <w:bCs/>
                <w:sz w:val="24"/>
                <w:szCs w:val="24"/>
              </w:rPr>
              <w:t>ć</w:t>
            </w:r>
            <w:r w:rsidR="00A42344" w:rsidRPr="00D06821">
              <w:rPr>
                <w:rFonts w:cs="Arial"/>
                <w:bCs/>
                <w:sz w:val="24"/>
                <w:szCs w:val="24"/>
              </w:rPr>
              <w:t xml:space="preserve"> się  na ciągły rozwój  infrastruktury związanej z tymi środkami transportu</w:t>
            </w:r>
            <w:r w:rsidR="00063259" w:rsidRPr="00D06821">
              <w:rPr>
                <w:rFonts w:cs="Arial"/>
                <w:bCs/>
                <w:sz w:val="24"/>
                <w:szCs w:val="24"/>
              </w:rPr>
              <w:t>. Tworzenie  jednolitej i </w:t>
            </w:r>
            <w:r w:rsidRPr="00D06821">
              <w:rPr>
                <w:rFonts w:cs="Arial"/>
                <w:bCs/>
                <w:sz w:val="24"/>
                <w:szCs w:val="24"/>
              </w:rPr>
              <w:t xml:space="preserve">powszechnie dostępnej na terenie całego obszaru WrOF sieci połączeń  rowerowych przyczyni się do obniżenia niskiej emisji oraz rozwiązania aglomeracyjnych problemów komunikacyjnych. </w:t>
            </w:r>
            <w:r w:rsidRPr="00D06821">
              <w:rPr>
                <w:rFonts w:cs="Arial"/>
                <w:b/>
                <w:bCs/>
                <w:sz w:val="24"/>
                <w:szCs w:val="24"/>
              </w:rPr>
              <w:t>Projekty  wchodzące w skład wiązki mają wpływ na więcej niż jedną gminę we WrOF</w:t>
            </w:r>
            <w:r w:rsidR="0010187E" w:rsidRPr="00D06821">
              <w:rPr>
                <w:rFonts w:cs="Arial"/>
                <w:bCs/>
                <w:sz w:val="24"/>
                <w:szCs w:val="24"/>
              </w:rPr>
              <w:t>,</w:t>
            </w:r>
            <w:r w:rsidR="007B5B6E" w:rsidRPr="00D06821">
              <w:rPr>
                <w:rFonts w:cs="Arial"/>
                <w:bCs/>
                <w:sz w:val="24"/>
                <w:szCs w:val="24"/>
              </w:rPr>
              <w:t xml:space="preserve"> </w:t>
            </w:r>
            <w:r w:rsidR="0010187E" w:rsidRPr="00D06821">
              <w:rPr>
                <w:rFonts w:cs="Arial"/>
                <w:bCs/>
                <w:sz w:val="24"/>
                <w:szCs w:val="24"/>
              </w:rPr>
              <w:t>ponieważ budowa infrastruktury rowerowej oraz pieszo</w:t>
            </w:r>
            <w:r w:rsidR="007B5B6E" w:rsidRPr="00D06821">
              <w:rPr>
                <w:rFonts w:cs="Arial"/>
                <w:bCs/>
                <w:sz w:val="24"/>
                <w:szCs w:val="24"/>
              </w:rPr>
              <w:t>-rowerowej, w tym kładek pieszo-</w:t>
            </w:r>
            <w:r w:rsidR="0010187E" w:rsidRPr="00D06821">
              <w:rPr>
                <w:rFonts w:cs="Arial"/>
                <w:bCs/>
                <w:sz w:val="24"/>
                <w:szCs w:val="24"/>
              </w:rPr>
              <w:t xml:space="preserve">rowerowych, </w:t>
            </w:r>
            <w:r w:rsidRPr="00D06821">
              <w:rPr>
                <w:rFonts w:cs="Arial"/>
                <w:bCs/>
                <w:sz w:val="24"/>
                <w:szCs w:val="24"/>
              </w:rPr>
              <w:t xml:space="preserve"> budowa wielu tras rowerowych z</w:t>
            </w:r>
            <w:r w:rsidR="00063259" w:rsidRPr="00D06821">
              <w:rPr>
                <w:rFonts w:cs="Arial"/>
                <w:bCs/>
                <w:sz w:val="24"/>
                <w:szCs w:val="24"/>
              </w:rPr>
              <w:t>apewniających połączenie tras w </w:t>
            </w:r>
            <w:r w:rsidRPr="00D06821">
              <w:rPr>
                <w:rFonts w:cs="Arial"/>
                <w:bCs/>
                <w:sz w:val="24"/>
                <w:szCs w:val="24"/>
              </w:rPr>
              <w:t>centrum Wrocławia i poza nim, podłączenie osiedli do sieci tras, podłączenie gmin sąsiednich do sieci tras</w:t>
            </w:r>
            <w:r w:rsidR="0010187E" w:rsidRPr="00D06821">
              <w:rPr>
                <w:rFonts w:cs="Arial"/>
                <w:bCs/>
                <w:sz w:val="24"/>
                <w:szCs w:val="24"/>
              </w:rPr>
              <w:t xml:space="preserve"> i inwes</w:t>
            </w:r>
            <w:r w:rsidR="00063259" w:rsidRPr="00D06821">
              <w:rPr>
                <w:rFonts w:cs="Arial"/>
                <w:bCs/>
                <w:sz w:val="24"/>
                <w:szCs w:val="24"/>
              </w:rPr>
              <w:t>tycje w ich wewnętrzną spójność</w:t>
            </w:r>
            <w:r w:rsidRPr="00D06821">
              <w:rPr>
                <w:rFonts w:cs="Arial"/>
                <w:bCs/>
                <w:sz w:val="24"/>
                <w:szCs w:val="24"/>
              </w:rPr>
              <w:t xml:space="preserve">, modernizację istniejących tras, w tym przy dworcach i przystankach  PKP, przystankach komunikacji autobusowej,  umożliwi mieszkańcom WrOF korzystanie z multimodalnych połączeń na  obszarze ZIT i podniesie poziom wewnętrznego skomunikowania gmin. </w:t>
            </w:r>
          </w:p>
          <w:p w:rsidR="00AC0773" w:rsidRPr="00D06821" w:rsidRDefault="00D61B18" w:rsidP="00D06821">
            <w:pPr>
              <w:pStyle w:val="Default"/>
              <w:spacing w:after="59"/>
              <w:rPr>
                <w:color w:val="FF0000"/>
              </w:rPr>
            </w:pPr>
            <w:r w:rsidRPr="00D06821">
              <w:rPr>
                <w:rFonts w:cs="Arial"/>
                <w:bCs/>
              </w:rPr>
              <w:t xml:space="preserve">Zaproponowana </w:t>
            </w:r>
            <w:r w:rsidRPr="00D06821">
              <w:rPr>
                <w:rFonts w:cs="Arial"/>
                <w:b/>
                <w:bCs/>
              </w:rPr>
              <w:t>wiązka projektów</w:t>
            </w:r>
            <w:r w:rsidRPr="00D06821">
              <w:rPr>
                <w:rFonts w:cs="Arial"/>
                <w:bCs/>
              </w:rPr>
              <w:t xml:space="preserve"> wykazuje pełną </w:t>
            </w:r>
            <w:r w:rsidRPr="00D06821">
              <w:rPr>
                <w:rFonts w:cs="Arial"/>
                <w:b/>
                <w:bCs/>
              </w:rPr>
              <w:t>wewnętrzną  komplementarność i synergię w zakresie tematycznym</w:t>
            </w:r>
            <w:r w:rsidRPr="00D06821">
              <w:rPr>
                <w:rFonts w:cs="Arial"/>
                <w:bCs/>
              </w:rPr>
              <w:t xml:space="preserve">,  gdyż przedmiotem projektów jest budowa lub modernizacja tras rowerowych i pieszo-rowerowych wraz z  inną niezbędną infrastrukturą </w:t>
            </w:r>
            <w:r w:rsidRPr="00D06821">
              <w:rPr>
                <w:rFonts w:cs="Arial"/>
                <w:b/>
                <w:bCs/>
              </w:rPr>
              <w:t>oraz w zakresie obszarowym</w:t>
            </w:r>
            <w:r w:rsidRPr="00D06821">
              <w:rPr>
                <w:rFonts w:cs="Arial"/>
                <w:bCs/>
              </w:rPr>
              <w:t xml:space="preserve">, ponieważ  rzeczowa realizacja projektów zaplanowana jest  na terenie gmin  ZIT WrOF oraz obszarze,  dla którego opracowano  PZM MOFW. </w:t>
            </w:r>
          </w:p>
          <w:p w:rsidR="00AC0773" w:rsidRPr="00D06821" w:rsidRDefault="00D61B18" w:rsidP="00D06821">
            <w:pPr>
              <w:spacing w:line="240" w:lineRule="auto"/>
              <w:jc w:val="left"/>
              <w:rPr>
                <w:rFonts w:cs="Arial"/>
                <w:bCs/>
                <w:sz w:val="24"/>
                <w:szCs w:val="24"/>
              </w:rPr>
            </w:pPr>
            <w:r w:rsidRPr="00D06821">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5255DE" w:rsidRPr="00D06821" w:rsidRDefault="005255DE" w:rsidP="00D06821">
            <w:pPr>
              <w:pStyle w:val="Default"/>
            </w:pPr>
            <w:r w:rsidRPr="00D06821">
              <w:t xml:space="preserve">Wiązka projektów  spełnia  warunki  projektu zintegrowanego tj. stanowi grupę projektów powiązanych ze sobą merytorycznie (zawiera podobne typy  projektów) oraz funkcjonalnie (zintegrowany wpływ realizacji </w:t>
            </w:r>
            <w:r w:rsidR="00D97C09" w:rsidRPr="00D06821">
              <w:t>projektów  na obszar  ZIT).  Na </w:t>
            </w:r>
            <w:r w:rsidRPr="00D06821">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w:t>
            </w:r>
            <w:r w:rsidR="00D97C09" w:rsidRPr="00D06821">
              <w:t>ez nie określonych w Strategii c</w:t>
            </w:r>
            <w:r w:rsidRPr="00D06821">
              <w:t>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AC0773" w:rsidRPr="00D06821" w:rsidRDefault="00D61B18" w:rsidP="00D06821">
            <w:pPr>
              <w:pStyle w:val="Default"/>
              <w:rPr>
                <w:rFonts w:asciiTheme="minorHAnsi" w:hAnsiTheme="minorHAnsi" w:cs="Arial"/>
                <w:bCs/>
                <w:color w:val="auto"/>
              </w:rPr>
            </w:pPr>
            <w:r w:rsidRPr="00D06821">
              <w:rPr>
                <w:rFonts w:asciiTheme="minorHAnsi" w:hAnsiTheme="minorHAnsi" w:cs="Arial"/>
                <w:bCs/>
                <w:color w:val="auto"/>
              </w:rPr>
              <w:t xml:space="preserve">Realizacja projektów stanowiących wiązkę wynika z części kierunkowej Strategii ZIT WrOF,  tj.: </w:t>
            </w:r>
          </w:p>
          <w:p w:rsidR="00AC0773" w:rsidRPr="00D06821" w:rsidRDefault="00D61B18" w:rsidP="00D06821">
            <w:pPr>
              <w:pStyle w:val="Default"/>
              <w:rPr>
                <w:rFonts w:asciiTheme="minorHAnsi" w:hAnsiTheme="minorHAnsi" w:cs="Arial"/>
                <w:b/>
                <w:bCs/>
                <w:color w:val="auto"/>
              </w:rPr>
            </w:pPr>
            <w:r w:rsidRPr="00D06821">
              <w:rPr>
                <w:rFonts w:asciiTheme="minorHAnsi" w:hAnsiTheme="minorHAnsi" w:cs="Arial"/>
                <w:b/>
                <w:bCs/>
                <w:color w:val="auto"/>
              </w:rPr>
              <w:t xml:space="preserve">Cel strategiczny 3- Ochrona środowiska naturalnego i adaptacja WrOF do zmian </w:t>
            </w:r>
            <w:r w:rsidR="009D3AAC" w:rsidRPr="00D06821">
              <w:rPr>
                <w:rFonts w:asciiTheme="minorHAnsi" w:hAnsiTheme="minorHAnsi" w:cs="Arial"/>
                <w:b/>
                <w:bCs/>
                <w:color w:val="auto"/>
              </w:rPr>
              <w:t>klimatu</w:t>
            </w:r>
          </w:p>
          <w:p w:rsidR="00AC0773" w:rsidRPr="00D06821" w:rsidRDefault="00D61B18" w:rsidP="00D06821">
            <w:pPr>
              <w:pStyle w:val="Default"/>
              <w:rPr>
                <w:rFonts w:asciiTheme="minorHAnsi" w:hAnsiTheme="minorHAnsi" w:cs="Arial"/>
                <w:b/>
                <w:color w:val="auto"/>
              </w:rPr>
            </w:pPr>
            <w:r w:rsidRPr="00D06821">
              <w:rPr>
                <w:rFonts w:asciiTheme="minorHAnsi" w:hAnsiTheme="minorHAnsi" w:cs="Arial"/>
                <w:b/>
                <w:color w:val="auto"/>
              </w:rPr>
              <w:t xml:space="preserve">Priorytet 13. Zrównoważona mobilność </w:t>
            </w:r>
          </w:p>
          <w:p w:rsidR="00AC0773" w:rsidRPr="00D06821" w:rsidRDefault="00D61B18" w:rsidP="00D06821">
            <w:pPr>
              <w:pStyle w:val="Default"/>
              <w:rPr>
                <w:rFonts w:asciiTheme="minorHAnsi" w:hAnsiTheme="minorHAnsi" w:cs="Arial"/>
                <w:b/>
                <w:bCs/>
                <w:color w:val="auto"/>
              </w:rPr>
            </w:pPr>
            <w:r w:rsidRPr="00D06821">
              <w:rPr>
                <w:rFonts w:asciiTheme="minorHAnsi" w:hAnsiTheme="minorHAnsi" w:cs="Arial"/>
                <w:b/>
                <w:bCs/>
                <w:color w:val="auto"/>
              </w:rPr>
              <w:t>Kierunek działania 13.1  Zwiększenie konkurenc</w:t>
            </w:r>
            <w:r w:rsidR="00063259" w:rsidRPr="00D06821">
              <w:rPr>
                <w:rFonts w:asciiTheme="minorHAnsi" w:hAnsiTheme="minorHAnsi" w:cs="Arial"/>
                <w:b/>
                <w:bCs/>
                <w:color w:val="auto"/>
              </w:rPr>
              <w:t>yjności transportu zbiorowego i </w:t>
            </w:r>
            <w:r w:rsidRPr="00D06821">
              <w:rPr>
                <w:rFonts w:asciiTheme="minorHAnsi" w:hAnsiTheme="minorHAnsi" w:cs="Arial"/>
                <w:b/>
                <w:bCs/>
                <w:color w:val="auto"/>
              </w:rPr>
              <w:t>niskoemisyjnych form przemieszczania się</w:t>
            </w:r>
          </w:p>
          <w:p w:rsidR="00AC0773" w:rsidRPr="00D06821" w:rsidRDefault="00AC0773" w:rsidP="00D06821">
            <w:pPr>
              <w:pStyle w:val="Default"/>
              <w:keepNext/>
              <w:keepLines/>
              <w:spacing w:before="40"/>
              <w:outlineLvl w:val="2"/>
              <w:rPr>
                <w:rFonts w:asciiTheme="minorHAnsi" w:hAnsiTheme="minorHAnsi"/>
                <w:color w:val="FF0000"/>
              </w:rPr>
            </w:pPr>
          </w:p>
          <w:p w:rsidR="00AC0773" w:rsidRPr="00D06821" w:rsidRDefault="00D61B18" w:rsidP="00D06821">
            <w:pPr>
              <w:spacing w:line="240" w:lineRule="auto"/>
              <w:jc w:val="left"/>
              <w:rPr>
                <w:rFonts w:cstheme="minorHAnsi"/>
                <w:sz w:val="24"/>
                <w:szCs w:val="24"/>
              </w:rPr>
            </w:pPr>
            <w:r w:rsidRPr="00D06821">
              <w:rPr>
                <w:rFonts w:cs="Arial"/>
                <w:bCs/>
                <w:sz w:val="24"/>
                <w:szCs w:val="24"/>
              </w:rPr>
              <w:t xml:space="preserve">Natomiast w </w:t>
            </w:r>
            <w:r w:rsidR="009E20A1" w:rsidRPr="00D06821">
              <w:rPr>
                <w:rFonts w:cs="Arial"/>
                <w:b/>
                <w:bCs/>
                <w:sz w:val="24"/>
                <w:szCs w:val="24"/>
              </w:rPr>
              <w:t>części  II.</w:t>
            </w:r>
            <w:r w:rsidR="007B5B6E" w:rsidRPr="00D06821">
              <w:rPr>
                <w:rFonts w:cs="Arial"/>
                <w:b/>
                <w:bCs/>
                <w:sz w:val="24"/>
                <w:szCs w:val="24"/>
              </w:rPr>
              <w:t xml:space="preserve"> </w:t>
            </w:r>
            <w:r w:rsidRPr="00D06821">
              <w:rPr>
                <w:rFonts w:cstheme="minorHAnsi"/>
                <w:b/>
                <w:sz w:val="24"/>
                <w:szCs w:val="24"/>
              </w:rPr>
              <w:t>Synteza diagnozy strategicznej obszaru WrOF</w:t>
            </w:r>
            <w:r w:rsidRPr="00D06821">
              <w:rPr>
                <w:rFonts w:cs="Arial"/>
                <w:bCs/>
                <w:sz w:val="24"/>
                <w:szCs w:val="24"/>
              </w:rPr>
              <w:t xml:space="preserve">, w opisie analizy </w:t>
            </w:r>
            <w:r w:rsidRPr="00D06821">
              <w:rPr>
                <w:rFonts w:cs="Arial"/>
                <w:b/>
                <w:bCs/>
                <w:sz w:val="24"/>
                <w:szCs w:val="24"/>
              </w:rPr>
              <w:t xml:space="preserve">mobilności  </w:t>
            </w:r>
            <w:r w:rsidRPr="00D06821">
              <w:rPr>
                <w:rFonts w:cs="Arial"/>
                <w:bCs/>
                <w:sz w:val="24"/>
                <w:szCs w:val="24"/>
              </w:rPr>
              <w:t xml:space="preserve">wskazano, iż mimo </w:t>
            </w:r>
            <w:r w:rsidRPr="00D06821">
              <w:rPr>
                <w:rFonts w:cstheme="minorHAnsi"/>
                <w:sz w:val="24"/>
                <w:szCs w:val="24"/>
              </w:rPr>
              <w:t xml:space="preserve">dostępności komunikacyjnej obszaru  </w:t>
            </w:r>
            <w:r w:rsidR="00063259" w:rsidRPr="00D06821">
              <w:rPr>
                <w:rFonts w:cstheme="minorHAnsi"/>
                <w:sz w:val="24"/>
                <w:szCs w:val="24"/>
              </w:rPr>
              <w:br/>
            </w:r>
            <w:r w:rsidRPr="00D06821">
              <w:rPr>
                <w:rFonts w:cstheme="minorHAnsi"/>
                <w:sz w:val="24"/>
                <w:szCs w:val="24"/>
              </w:rPr>
              <w:t>(z uwagi na obecność wielu systemów transportu: drogowego, kolejowego,</w:t>
            </w:r>
            <w:r w:rsidR="009E20A1" w:rsidRPr="00D06821">
              <w:rPr>
                <w:rFonts w:cstheme="minorHAnsi"/>
                <w:sz w:val="24"/>
                <w:szCs w:val="24"/>
              </w:rPr>
              <w:t xml:space="preserve"> tramwajowego, </w:t>
            </w:r>
            <w:r w:rsidRPr="00D06821">
              <w:rPr>
                <w:rFonts w:cstheme="minorHAnsi"/>
                <w:sz w:val="24"/>
                <w:szCs w:val="24"/>
              </w:rPr>
              <w:t xml:space="preserve"> lotniczego i rowerowego)</w:t>
            </w:r>
            <w:r w:rsidR="00D97C09" w:rsidRPr="00D06821">
              <w:rPr>
                <w:rFonts w:cstheme="minorHAnsi"/>
                <w:sz w:val="24"/>
                <w:szCs w:val="24"/>
              </w:rPr>
              <w:t xml:space="preserve"> </w:t>
            </w:r>
            <w:r w:rsidRPr="00D06821">
              <w:rPr>
                <w:rFonts w:cstheme="minorHAnsi"/>
                <w:sz w:val="24"/>
                <w:szCs w:val="24"/>
              </w:rPr>
              <w:t xml:space="preserve">nadal występuje problem niedostatecznego poziomu skomunikowania wewnątrz gmin WrOF.  W granicach WrOF wciąż funkcjonują jednostki, do których dotarcie za pośrednictwem komunikacji zbiorowej jest utrudnione. </w:t>
            </w:r>
            <w:bookmarkStart w:id="165" w:name="_Toc121148931"/>
            <w:bookmarkStart w:id="166" w:name="_Toc123538936"/>
          </w:p>
          <w:p w:rsidR="00AC0773" w:rsidRPr="00D06821" w:rsidRDefault="00D61B18" w:rsidP="00D06821">
            <w:pPr>
              <w:spacing w:line="240" w:lineRule="auto"/>
              <w:jc w:val="left"/>
              <w:rPr>
                <w:rFonts w:cs="Arial"/>
                <w:b/>
                <w:sz w:val="24"/>
                <w:szCs w:val="24"/>
              </w:rPr>
            </w:pPr>
            <w:r w:rsidRPr="00D06821">
              <w:rPr>
                <w:rFonts w:cstheme="minorHAnsi"/>
                <w:sz w:val="24"/>
                <w:szCs w:val="24"/>
              </w:rPr>
              <w:t xml:space="preserve">W części  </w:t>
            </w:r>
            <w:bookmarkEnd w:id="165"/>
            <w:bookmarkEnd w:id="166"/>
            <w:r w:rsidRPr="00D06821">
              <w:rPr>
                <w:rFonts w:cs="Calibri"/>
                <w:b/>
                <w:sz w:val="24"/>
                <w:szCs w:val="24"/>
              </w:rPr>
              <w:t xml:space="preserve">Kluczowe wyzwania strategiczne wpisano: </w:t>
            </w:r>
            <w:r w:rsidRPr="00D06821">
              <w:rPr>
                <w:rFonts w:cs="Calibri"/>
                <w:sz w:val="24"/>
                <w:szCs w:val="24"/>
              </w:rPr>
              <w:t>Wzrost znaczenia podróży wykonywanych pieszo, rowerem, czy też urządzeniami transportu osobistego (UTO) w celach rekreacyjnych i komunikacyjnych. Konieczne jest rozwijanie infrastruktury dedykowanej tym formom przemieszczenia (drogi dla rowerów, ciągi pieszo-rowerowe, chodniki, mosty kolejowe, przeprawy przez rzeki, punkty naprawcze, poprawa nawierzchni istniejącej infrastruktury, rozwój infrastruktury  itd.)</w:t>
            </w:r>
          </w:p>
          <w:p w:rsidR="00AC0773" w:rsidRPr="00D06821" w:rsidRDefault="00D61B18" w:rsidP="00D06821">
            <w:pPr>
              <w:spacing w:line="240" w:lineRule="auto"/>
              <w:jc w:val="left"/>
              <w:rPr>
                <w:sz w:val="24"/>
                <w:szCs w:val="24"/>
              </w:rPr>
            </w:pPr>
            <w:r w:rsidRPr="00D06821">
              <w:rPr>
                <w:rFonts w:cs="Arial"/>
                <w:bCs/>
                <w:sz w:val="24"/>
                <w:szCs w:val="24"/>
              </w:rPr>
              <w:t xml:space="preserve">Ponadto wiązka </w:t>
            </w:r>
            <w:r w:rsidRPr="00D06821">
              <w:rPr>
                <w:rFonts w:cs="Arial"/>
                <w:b/>
                <w:bCs/>
                <w:sz w:val="24"/>
                <w:szCs w:val="24"/>
              </w:rPr>
              <w:t xml:space="preserve">realizuje zapisy PZM MOFW.  </w:t>
            </w:r>
          </w:p>
          <w:p w:rsidR="00AC0773" w:rsidRPr="00D06821" w:rsidRDefault="00D61B18" w:rsidP="00D06821">
            <w:pPr>
              <w:spacing w:line="240" w:lineRule="auto"/>
              <w:jc w:val="left"/>
              <w:rPr>
                <w:rFonts w:cs="Arial"/>
                <w:sz w:val="24"/>
                <w:szCs w:val="24"/>
              </w:rPr>
            </w:pPr>
            <w:r w:rsidRPr="00D06821">
              <w:rPr>
                <w:rFonts w:cs="Arial"/>
                <w:bCs/>
                <w:sz w:val="24"/>
                <w:szCs w:val="24"/>
              </w:rPr>
              <w:t>Zaproponowane w powyższej wiązce projekty w</w:t>
            </w:r>
            <w:r w:rsidR="00063259" w:rsidRPr="00D06821">
              <w:rPr>
                <w:rFonts w:cs="Arial"/>
                <w:bCs/>
                <w:sz w:val="24"/>
                <w:szCs w:val="24"/>
              </w:rPr>
              <w:t>prost odpowiadają na wyzwania i </w:t>
            </w:r>
            <w:r w:rsidRPr="00D06821">
              <w:rPr>
                <w:rFonts w:cs="Arial"/>
                <w:bCs/>
                <w:sz w:val="24"/>
                <w:szCs w:val="24"/>
              </w:rPr>
              <w:t xml:space="preserve">cele zwarte w </w:t>
            </w:r>
            <w:r w:rsidRPr="00D06821">
              <w:rPr>
                <w:rFonts w:cs="Arial"/>
                <w:bCs/>
                <w:sz w:val="24"/>
                <w:szCs w:val="24"/>
                <w:u w:val="single"/>
              </w:rPr>
              <w:t>PZM MOFW, który integruje wszystkie działania dotyczące mobilności na terenie  MOFW.</w:t>
            </w:r>
          </w:p>
          <w:p w:rsidR="00AC0773" w:rsidRPr="00D06821" w:rsidRDefault="00D61B18" w:rsidP="00D06821">
            <w:pPr>
              <w:spacing w:line="240" w:lineRule="auto"/>
              <w:jc w:val="left"/>
              <w:rPr>
                <w:rFonts w:cs="Arial"/>
                <w:bCs/>
                <w:sz w:val="24"/>
                <w:szCs w:val="24"/>
              </w:rPr>
            </w:pPr>
            <w:r w:rsidRPr="00D06821">
              <w:rPr>
                <w:rFonts w:cs="Arial"/>
                <w:bCs/>
                <w:sz w:val="24"/>
                <w:szCs w:val="24"/>
              </w:rPr>
              <w:t xml:space="preserve">Budowa </w:t>
            </w:r>
            <w:r w:rsidR="008728FD" w:rsidRPr="00D06821">
              <w:rPr>
                <w:rFonts w:cs="Arial"/>
                <w:bCs/>
                <w:sz w:val="24"/>
                <w:szCs w:val="24"/>
              </w:rPr>
              <w:t>infrastruktury rowerowej i pieszo-rowerowej</w:t>
            </w:r>
            <w:r w:rsidRPr="00D06821">
              <w:rPr>
                <w:rFonts w:cs="Arial"/>
                <w:bCs/>
                <w:sz w:val="24"/>
                <w:szCs w:val="24"/>
              </w:rPr>
              <w:t xml:space="preserve"> wpisuje się w Cel nadrzędny PZM MOFW tj. </w:t>
            </w:r>
            <w:r w:rsidRPr="00D06821">
              <w:rPr>
                <w:rFonts w:cs="Arial"/>
                <w:b/>
                <w:sz w:val="24"/>
                <w:szCs w:val="24"/>
              </w:rPr>
              <w:t xml:space="preserve">Poprawa dostępności transportowej. </w:t>
            </w:r>
            <w:r w:rsidRPr="00D06821">
              <w:rPr>
                <w:rFonts w:cs="Arial"/>
                <w:sz w:val="24"/>
                <w:szCs w:val="24"/>
              </w:rPr>
              <w:t xml:space="preserve">Ponadto </w:t>
            </w:r>
            <w:r w:rsidRPr="00D06821">
              <w:rPr>
                <w:rFonts w:cs="Arial"/>
                <w:bCs/>
                <w:sz w:val="24"/>
                <w:szCs w:val="24"/>
              </w:rPr>
              <w:t xml:space="preserve">jest ona wprost ujęta w Celu szczegółowym </w:t>
            </w:r>
            <w:r w:rsidR="008728FD" w:rsidRPr="00D06821">
              <w:rPr>
                <w:rFonts w:cs="Arial"/>
                <w:bCs/>
                <w:sz w:val="24"/>
                <w:szCs w:val="24"/>
              </w:rPr>
              <w:t xml:space="preserve">2. </w:t>
            </w:r>
            <w:r w:rsidRPr="00D06821">
              <w:rPr>
                <w:rFonts w:cs="Arial"/>
                <w:b/>
                <w:bCs/>
                <w:sz w:val="24"/>
                <w:szCs w:val="24"/>
              </w:rPr>
              <w:t xml:space="preserve">Zwiększenie konkurencyjności transportu </w:t>
            </w:r>
            <w:proofErr w:type="spellStart"/>
            <w:r w:rsidRPr="00D06821">
              <w:rPr>
                <w:rFonts w:cs="Arial"/>
                <w:b/>
                <w:bCs/>
                <w:sz w:val="24"/>
                <w:szCs w:val="24"/>
              </w:rPr>
              <w:t>niesamochodowego</w:t>
            </w:r>
            <w:proofErr w:type="spellEnd"/>
            <w:r w:rsidRPr="00D06821">
              <w:rPr>
                <w:rFonts w:cs="Arial"/>
                <w:b/>
                <w:bCs/>
                <w:sz w:val="24"/>
                <w:szCs w:val="24"/>
              </w:rPr>
              <w:t xml:space="preserve"> w codziennych przemieszczeniach w obszarze MOFW</w:t>
            </w:r>
            <w:r w:rsidRPr="00D06821">
              <w:rPr>
                <w:rFonts w:cs="Arial"/>
                <w:bCs/>
                <w:sz w:val="24"/>
                <w:szCs w:val="24"/>
              </w:rPr>
              <w:t xml:space="preserve">, gdzie jednym z </w:t>
            </w:r>
            <w:r w:rsidRPr="00D06821">
              <w:rPr>
                <w:rFonts w:cs="Arial"/>
                <w:b/>
                <w:bCs/>
                <w:sz w:val="24"/>
                <w:szCs w:val="24"/>
              </w:rPr>
              <w:t>pakietów działań</w:t>
            </w:r>
            <w:r w:rsidR="00063259" w:rsidRPr="00D06821">
              <w:rPr>
                <w:rFonts w:cs="Arial"/>
                <w:bCs/>
                <w:sz w:val="24"/>
                <w:szCs w:val="24"/>
              </w:rPr>
              <w:t xml:space="preserve"> o </w:t>
            </w:r>
            <w:r w:rsidRPr="00D06821">
              <w:rPr>
                <w:rFonts w:cs="Arial"/>
                <w:bCs/>
                <w:sz w:val="24"/>
                <w:szCs w:val="24"/>
              </w:rPr>
              <w:t xml:space="preserve">średnim priorytecie realizacji  jest „Aglomeracyjna sieć dróg rowerowych”. </w:t>
            </w:r>
          </w:p>
          <w:p w:rsidR="00A1431D" w:rsidRDefault="00D61B18" w:rsidP="00A1431D">
            <w:pPr>
              <w:pStyle w:val="Default"/>
              <w:rPr>
                <w:rFonts w:asciiTheme="minorHAnsi" w:hAnsiTheme="minorHAnsi" w:cs="Arial"/>
                <w:bCs/>
              </w:rPr>
            </w:pPr>
            <w:r w:rsidRPr="00D06821">
              <w:rPr>
                <w:rFonts w:asciiTheme="minorHAnsi" w:hAnsiTheme="minorHAnsi" w:cs="Arial"/>
                <w:bCs/>
              </w:rPr>
              <w:t xml:space="preserve">W </w:t>
            </w:r>
            <w:r w:rsidRPr="00D06821">
              <w:rPr>
                <w:rFonts w:asciiTheme="minorHAnsi" w:hAnsiTheme="minorHAnsi" w:cs="Arial"/>
                <w:b/>
                <w:bCs/>
              </w:rPr>
              <w:t>Rekomendacjach</w:t>
            </w:r>
            <w:r w:rsidRPr="00D06821">
              <w:rPr>
                <w:rFonts w:asciiTheme="minorHAnsi" w:hAnsiTheme="minorHAnsi" w:cs="Arial"/>
                <w:bCs/>
              </w:rPr>
              <w:t xml:space="preserve"> wykazana jest konieczność budowy m.in. ciągów pieszo-rowerowych i  rowerowych, tak by podróże rowerem stały się realn</w:t>
            </w:r>
            <w:r w:rsidR="00D97C09" w:rsidRPr="00D06821">
              <w:rPr>
                <w:rFonts w:asciiTheme="minorHAnsi" w:hAnsiTheme="minorHAnsi" w:cs="Arial"/>
                <w:bCs/>
              </w:rPr>
              <w:t>ą</w:t>
            </w:r>
            <w:r w:rsidRPr="00D06821">
              <w:rPr>
                <w:rFonts w:asciiTheme="minorHAnsi" w:hAnsiTheme="minorHAnsi" w:cs="Arial"/>
                <w:bCs/>
              </w:rPr>
              <w:t xml:space="preserve"> alternatywą  dla krótkich podróży  samochodem osobowym .</w:t>
            </w:r>
          </w:p>
          <w:p w:rsidR="00AA637C" w:rsidRPr="00D06821" w:rsidRDefault="00A1431D" w:rsidP="00A1431D">
            <w:pPr>
              <w:pStyle w:val="Default"/>
              <w:rPr>
                <w:rFonts w:cs="Arial"/>
                <w:bCs/>
              </w:rPr>
            </w:pPr>
            <w:r w:rsidRPr="00D06821">
              <w:rPr>
                <w:rFonts w:cs="Arial"/>
                <w:bCs/>
              </w:rPr>
              <w:t xml:space="preserve"> </w:t>
            </w:r>
            <w:r w:rsidR="00D61B18" w:rsidRPr="00D06821">
              <w:rPr>
                <w:rFonts w:cs="Arial"/>
                <w:bCs/>
              </w:rPr>
              <w:t xml:space="preserve">W PZM MOFW wskazano, że jako podstawowy kierunek w rozwoju systemu rowerowego powinno zostać przyjęte założenie utworzenia powiązań rowerowych pomiędzy miastem rdzeniem a sąsiednimi </w:t>
            </w:r>
            <w:r w:rsidR="00063259" w:rsidRPr="00D06821">
              <w:rPr>
                <w:rFonts w:cs="Arial"/>
                <w:bCs/>
              </w:rPr>
              <w:t>gminami, miastami powiatowymi a </w:t>
            </w:r>
            <w:r w:rsidR="00D61B18" w:rsidRPr="00D06821">
              <w:rPr>
                <w:rFonts w:cs="Arial"/>
                <w:bCs/>
              </w:rPr>
              <w:t>sąsiednimi gminami oraz jednej trasy rowerowej łączącej gminy Ringu I.</w:t>
            </w:r>
            <w:r w:rsidR="007B5B6E" w:rsidRPr="00D06821">
              <w:rPr>
                <w:rFonts w:cs="Arial"/>
                <w:bCs/>
              </w:rPr>
              <w:t xml:space="preserve"> </w:t>
            </w:r>
            <w:r w:rsidR="00D61B18" w:rsidRPr="00D06821">
              <w:rPr>
                <w:rFonts w:cs="Arial"/>
                <w:bCs/>
              </w:rPr>
              <w:t>Istotne dla promowania ruchu rowerowego byłoby także tworzenie bezpiecznych tras rowerowych dojazdowych do placówek oświatowych oraz do węzłów przesiadkowych, zwłaszcza tych z dostępem do transportu kolejowego.</w:t>
            </w:r>
          </w:p>
        </w:tc>
      </w:tr>
    </w:tbl>
    <w:p w:rsidR="00D72C00" w:rsidRPr="00D72C00" w:rsidRDefault="00D72C00">
      <w:pPr>
        <w:rPr>
          <w:sz w:val="2"/>
          <w:szCs w:val="2"/>
        </w:rPr>
      </w:pPr>
    </w:p>
    <w:tbl>
      <w:tblPr>
        <w:tblStyle w:val="Tabela-Siatka"/>
        <w:tblW w:w="9072" w:type="dxa"/>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8"/>
        <w:tblDescription w:val="Budowa infrastruktury rowerowej lub pieszo-rowerowej na terenie Wrocławskiego Obszaru Funkcjonalnego"/>
      </w:tblPr>
      <w:tblGrid>
        <w:gridCol w:w="1673"/>
        <w:gridCol w:w="7399"/>
      </w:tblGrid>
      <w:tr w:rsidR="00D06821" w:rsidRPr="00D06821" w:rsidTr="00D06821">
        <w:trPr>
          <w:trHeight w:val="794"/>
          <w:tblHeader/>
        </w:trPr>
        <w:tc>
          <w:tcPr>
            <w:tcW w:w="1673" w:type="dxa"/>
            <w:shd w:val="clear" w:color="auto" w:fill="D9D9D9"/>
            <w:vAlign w:val="center"/>
          </w:tcPr>
          <w:p w:rsidR="00D06821" w:rsidRPr="00D06821" w:rsidRDefault="00D06821" w:rsidP="00D06821">
            <w:pPr>
              <w:spacing w:line="240" w:lineRule="auto"/>
              <w:jc w:val="left"/>
              <w:rPr>
                <w:rFonts w:ascii="Calibri" w:eastAsia="Calibri" w:hAnsi="Calibri" w:cs="Times New Roman"/>
                <w:b/>
                <w:sz w:val="24"/>
                <w:szCs w:val="24"/>
                <w:highlight w:val="yellow"/>
              </w:rPr>
            </w:pPr>
            <w:r>
              <w:rPr>
                <w:rFonts w:ascii="Calibri" w:eastAsia="Calibri" w:hAnsi="Calibri" w:cs="Times New Roman"/>
                <w:b/>
                <w:sz w:val="24"/>
                <w:szCs w:val="24"/>
              </w:rPr>
              <w:t>Wiązka projektów 8</w:t>
            </w:r>
          </w:p>
        </w:tc>
        <w:tc>
          <w:tcPr>
            <w:tcW w:w="7399" w:type="dxa"/>
            <w:shd w:val="clear" w:color="auto" w:fill="D9D9D9"/>
            <w:vAlign w:val="center"/>
          </w:tcPr>
          <w:p w:rsidR="00D06821" w:rsidRPr="00D06821" w:rsidRDefault="00D06821" w:rsidP="00D06821">
            <w:pPr>
              <w:spacing w:line="240" w:lineRule="auto"/>
              <w:jc w:val="left"/>
              <w:rPr>
                <w:rFonts w:ascii="Calibri" w:eastAsia="Calibri" w:hAnsi="Calibri" w:cs="Times New Roman"/>
                <w:b/>
                <w:sz w:val="24"/>
                <w:szCs w:val="24"/>
                <w:highlight w:val="yellow"/>
              </w:rPr>
            </w:pPr>
            <w:r w:rsidRPr="00D06821">
              <w:rPr>
                <w:rFonts w:ascii="Calibri" w:eastAsia="Calibri" w:hAnsi="Calibri" w:cs="Times New Roman"/>
                <w:b/>
                <w:sz w:val="24"/>
                <w:szCs w:val="24"/>
              </w:rPr>
              <w:t>Budowa infrastruktury rowerowej lub pieszo-rowerowej na terenie Wrocławskiego Obszaru Funkcjonalnego</w:t>
            </w:r>
          </w:p>
        </w:tc>
      </w:tr>
      <w:tr w:rsidR="00AA637C" w:rsidRPr="00D06821" w:rsidTr="00D06821">
        <w:tc>
          <w:tcPr>
            <w:tcW w:w="1673"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Projekty w wiązce</w:t>
            </w:r>
          </w:p>
        </w:tc>
        <w:tc>
          <w:tcPr>
            <w:tcW w:w="7399" w:type="dxa"/>
          </w:tcPr>
          <w:p w:rsidR="009D6F22" w:rsidRPr="00D06821" w:rsidRDefault="009D6F22" w:rsidP="00D06821">
            <w:pPr>
              <w:spacing w:line="240" w:lineRule="auto"/>
              <w:jc w:val="left"/>
              <w:rPr>
                <w:rFonts w:ascii="Calibri" w:eastAsia="Calibri" w:hAnsi="Calibri" w:cs="Times New Roman"/>
                <w:b/>
                <w:sz w:val="24"/>
                <w:szCs w:val="24"/>
              </w:rPr>
            </w:pPr>
            <w:r w:rsidRPr="00D06821">
              <w:rPr>
                <w:rFonts w:ascii="Calibri" w:eastAsia="Calibri" w:hAnsi="Calibri" w:cs="Times New Roman"/>
                <w:b/>
                <w:sz w:val="24"/>
                <w:szCs w:val="24"/>
              </w:rPr>
              <w:t>Projekty podstawowe:</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Budowa dróg rowerowych na terenie Gminy Oborniki Śląskie</w:t>
            </w:r>
          </w:p>
          <w:p w:rsidR="009D6F22" w:rsidRPr="00D06821" w:rsidRDefault="009D6F22" w:rsidP="00D06821">
            <w:pPr>
              <w:pStyle w:val="Akapitzlist"/>
              <w:numPr>
                <w:ilvl w:val="0"/>
                <w:numId w:val="39"/>
              </w:numPr>
              <w:tabs>
                <w:tab w:val="left" w:pos="1872"/>
              </w:tabs>
              <w:spacing w:line="240" w:lineRule="auto"/>
              <w:jc w:val="left"/>
              <w:rPr>
                <w:rFonts w:cstheme="minorHAnsi"/>
                <w:sz w:val="24"/>
                <w:szCs w:val="24"/>
              </w:rPr>
            </w:pPr>
            <w:r w:rsidRPr="00D06821">
              <w:rPr>
                <w:rFonts w:cstheme="minorHAnsi"/>
                <w:sz w:val="24"/>
                <w:szCs w:val="24"/>
              </w:rPr>
              <w:t>Zielone trasy pieszo – rowerowe we Wrocławiu</w:t>
            </w:r>
          </w:p>
          <w:p w:rsidR="00AA637C" w:rsidRPr="00D06821" w:rsidRDefault="009D6F22" w:rsidP="00D06821">
            <w:pPr>
              <w:pStyle w:val="Akapitzlist"/>
              <w:numPr>
                <w:ilvl w:val="0"/>
                <w:numId w:val="30"/>
              </w:numPr>
              <w:tabs>
                <w:tab w:val="left" w:pos="1872"/>
              </w:tabs>
              <w:spacing w:line="240" w:lineRule="auto"/>
              <w:jc w:val="left"/>
              <w:rPr>
                <w:rFonts w:cstheme="minorHAnsi"/>
                <w:sz w:val="24"/>
                <w:szCs w:val="24"/>
              </w:rPr>
            </w:pPr>
            <w:r w:rsidRPr="00D06821">
              <w:rPr>
                <w:rFonts w:cstheme="minorHAnsi"/>
                <w:sz w:val="24"/>
                <w:szCs w:val="24"/>
              </w:rPr>
              <w:t>Budowa kładek pieszo-rowerowych we Wrocławiu – etap I</w:t>
            </w:r>
          </w:p>
        </w:tc>
      </w:tr>
      <w:tr w:rsidR="00AA637C" w:rsidRPr="00D06821" w:rsidTr="00D06821">
        <w:tc>
          <w:tcPr>
            <w:tcW w:w="1673"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Cel szczegółowy FEDS 2021-2027</w:t>
            </w:r>
          </w:p>
        </w:tc>
        <w:tc>
          <w:tcPr>
            <w:tcW w:w="7399" w:type="dxa"/>
            <w:vAlign w:val="center"/>
          </w:tcPr>
          <w:p w:rsidR="00AA637C" w:rsidRPr="00D06821" w:rsidRDefault="00AA637C" w:rsidP="00D06821">
            <w:pPr>
              <w:spacing w:line="240" w:lineRule="auto"/>
              <w:jc w:val="left"/>
              <w:rPr>
                <w:rFonts w:ascii="Calibri" w:eastAsia="Calibri" w:hAnsi="Calibri" w:cs="Times New Roman"/>
                <w:b/>
                <w:sz w:val="24"/>
                <w:szCs w:val="24"/>
              </w:rPr>
            </w:pPr>
            <w:r w:rsidRPr="00D06821">
              <w:rPr>
                <w:rFonts w:ascii="Calibri" w:eastAsia="Calibri" w:hAnsi="Calibri" w:cs="Times New Roman"/>
                <w:b/>
                <w:sz w:val="24"/>
                <w:szCs w:val="24"/>
              </w:rPr>
              <w:t>RSO5.1. Wspieranie zintegrowanego i sprzyjającego włączeniu społecznemu rozwoju społecznego, gospodarczego i środowiskowego, kultury, dziedzictwa naturalnego, zrównoważonej turystyki i bezpieczeństwa na obszarach miejskich</w:t>
            </w:r>
          </w:p>
        </w:tc>
      </w:tr>
      <w:tr w:rsidR="00AA637C" w:rsidRPr="00D06821" w:rsidTr="00D06821">
        <w:tc>
          <w:tcPr>
            <w:tcW w:w="1673" w:type="dxa"/>
            <w:shd w:val="clear" w:color="auto" w:fill="F2F2F2"/>
            <w:vAlign w:val="center"/>
          </w:tcPr>
          <w:p w:rsidR="00AA637C" w:rsidRPr="00D06821" w:rsidRDefault="00AA637C" w:rsidP="00D06821">
            <w:pPr>
              <w:spacing w:line="240" w:lineRule="auto"/>
              <w:jc w:val="left"/>
              <w:rPr>
                <w:rFonts w:ascii="Calibri" w:eastAsia="Calibri" w:hAnsi="Calibri" w:cs="Times New Roman"/>
                <w:sz w:val="24"/>
                <w:szCs w:val="24"/>
              </w:rPr>
            </w:pPr>
            <w:r w:rsidRPr="00D06821">
              <w:rPr>
                <w:rFonts w:ascii="Calibri" w:eastAsia="Calibri" w:hAnsi="Calibri" w:cs="Times New Roman"/>
                <w:sz w:val="24"/>
                <w:szCs w:val="24"/>
              </w:rPr>
              <w:t>Uzasadnienie realizacji wiązki projektów</w:t>
            </w:r>
          </w:p>
        </w:tc>
        <w:tc>
          <w:tcPr>
            <w:tcW w:w="7399" w:type="dxa"/>
          </w:tcPr>
          <w:p w:rsidR="00A1431D" w:rsidRDefault="00F93F64" w:rsidP="00D06821">
            <w:pPr>
              <w:spacing w:line="240" w:lineRule="auto"/>
              <w:jc w:val="left"/>
              <w:rPr>
                <w:rFonts w:cs="Arial"/>
                <w:bCs/>
                <w:sz w:val="24"/>
                <w:szCs w:val="24"/>
              </w:rPr>
            </w:pPr>
            <w:r w:rsidRPr="00D06821">
              <w:rPr>
                <w:rFonts w:cs="Arial"/>
                <w:bCs/>
                <w:sz w:val="24"/>
                <w:szCs w:val="24"/>
              </w:rPr>
              <w:t>Budowa nowych i modernizacja już istniejących tras rowerowych i pieszo-rowerowych</w:t>
            </w:r>
            <w:r w:rsidR="008C2FEB" w:rsidRPr="00D06821">
              <w:rPr>
                <w:rFonts w:cs="Arial"/>
                <w:bCs/>
                <w:sz w:val="24"/>
                <w:szCs w:val="24"/>
              </w:rPr>
              <w:t>,</w:t>
            </w:r>
            <w:r w:rsidR="005D1661" w:rsidRPr="00D06821">
              <w:rPr>
                <w:rFonts w:cstheme="minorHAnsi"/>
                <w:bCs/>
                <w:color w:val="000000" w:themeColor="text1"/>
                <w:sz w:val="24"/>
                <w:szCs w:val="24"/>
              </w:rPr>
              <w:t xml:space="preserve"> budow</w:t>
            </w:r>
            <w:r w:rsidR="00BB66FE" w:rsidRPr="00D06821">
              <w:rPr>
                <w:rFonts w:cstheme="minorHAnsi"/>
                <w:bCs/>
                <w:color w:val="000000" w:themeColor="text1"/>
                <w:sz w:val="24"/>
                <w:szCs w:val="24"/>
              </w:rPr>
              <w:t>a</w:t>
            </w:r>
            <w:r w:rsidR="005D1661" w:rsidRPr="00D06821">
              <w:rPr>
                <w:rFonts w:cstheme="minorHAnsi"/>
                <w:bCs/>
                <w:color w:val="000000" w:themeColor="text1"/>
                <w:sz w:val="24"/>
                <w:szCs w:val="24"/>
              </w:rPr>
              <w:t xml:space="preserve"> komunikacyjny</w:t>
            </w:r>
            <w:r w:rsidR="00D97C09" w:rsidRPr="00D06821">
              <w:rPr>
                <w:rFonts w:cstheme="minorHAnsi"/>
                <w:bCs/>
                <w:color w:val="000000" w:themeColor="text1"/>
                <w:sz w:val="24"/>
                <w:szCs w:val="24"/>
              </w:rPr>
              <w:t>ch tras rowerowych biegnących w </w:t>
            </w:r>
            <w:r w:rsidR="005D1661" w:rsidRPr="00D06821">
              <w:rPr>
                <w:rFonts w:cstheme="minorHAnsi"/>
                <w:bCs/>
                <w:color w:val="000000" w:themeColor="text1"/>
                <w:sz w:val="24"/>
                <w:szCs w:val="24"/>
              </w:rPr>
              <w:t xml:space="preserve">sąsiedztwie terenów zielonych, </w:t>
            </w:r>
            <w:r w:rsidR="008C2FEB" w:rsidRPr="00D06821">
              <w:rPr>
                <w:rFonts w:cstheme="minorHAnsi"/>
                <w:bCs/>
                <w:color w:val="000000" w:themeColor="text1"/>
                <w:sz w:val="24"/>
                <w:szCs w:val="24"/>
              </w:rPr>
              <w:t>integracja (połączeni</w:t>
            </w:r>
            <w:r w:rsidR="00D97C09" w:rsidRPr="00D06821">
              <w:rPr>
                <w:rFonts w:cstheme="minorHAnsi"/>
                <w:bCs/>
                <w:color w:val="000000" w:themeColor="text1"/>
                <w:sz w:val="24"/>
                <w:szCs w:val="24"/>
              </w:rPr>
              <w:t>e</w:t>
            </w:r>
            <w:r w:rsidR="008C2FEB" w:rsidRPr="00D06821">
              <w:rPr>
                <w:rFonts w:cstheme="minorHAnsi"/>
                <w:bCs/>
                <w:color w:val="000000" w:themeColor="text1"/>
                <w:sz w:val="24"/>
                <w:szCs w:val="24"/>
              </w:rPr>
              <w:t xml:space="preserve">) </w:t>
            </w:r>
            <w:r w:rsidR="005D1661" w:rsidRPr="00D06821">
              <w:rPr>
                <w:rFonts w:cstheme="minorHAnsi"/>
                <w:bCs/>
                <w:color w:val="000000" w:themeColor="text1"/>
                <w:sz w:val="24"/>
                <w:szCs w:val="24"/>
              </w:rPr>
              <w:t>brakujących odcinków tras rowerowych i pieszo-rowerowych,</w:t>
            </w:r>
            <w:r w:rsidR="008C2FEB" w:rsidRPr="00D06821">
              <w:rPr>
                <w:rFonts w:cstheme="minorHAnsi"/>
                <w:bCs/>
                <w:color w:val="000000" w:themeColor="text1"/>
                <w:sz w:val="24"/>
                <w:szCs w:val="24"/>
              </w:rPr>
              <w:t xml:space="preserve"> ciągów komunikacyjnych</w:t>
            </w:r>
            <w:r w:rsidR="00D60B48" w:rsidRPr="00D06821">
              <w:rPr>
                <w:rFonts w:cstheme="minorHAnsi"/>
                <w:bCs/>
                <w:color w:val="000000" w:themeColor="text1"/>
                <w:sz w:val="24"/>
                <w:szCs w:val="24"/>
              </w:rPr>
              <w:t xml:space="preserve"> i rekreacyjnych</w:t>
            </w:r>
            <w:r w:rsidR="008C2FEB" w:rsidRPr="00D06821">
              <w:rPr>
                <w:rFonts w:cstheme="minorHAnsi"/>
                <w:bCs/>
                <w:color w:val="000000" w:themeColor="text1"/>
                <w:sz w:val="24"/>
                <w:szCs w:val="24"/>
              </w:rPr>
              <w:t xml:space="preserve">, które aktualnie ograniczone są przez naturalne bariery np. w postaci rzek </w:t>
            </w:r>
            <w:r w:rsidR="00063259" w:rsidRPr="00D06821">
              <w:rPr>
                <w:rFonts w:cs="Arial"/>
                <w:bCs/>
                <w:sz w:val="24"/>
                <w:szCs w:val="24"/>
              </w:rPr>
              <w:t>wraz z </w:t>
            </w:r>
            <w:r w:rsidRPr="00D06821">
              <w:rPr>
                <w:rFonts w:cs="Arial"/>
                <w:bCs/>
                <w:sz w:val="24"/>
                <w:szCs w:val="24"/>
              </w:rPr>
              <w:t>towarzyszącą im infrastrukturą,</w:t>
            </w:r>
            <w:r w:rsidR="00D97C09" w:rsidRPr="00D06821">
              <w:rPr>
                <w:rFonts w:cs="Arial"/>
                <w:bCs/>
                <w:sz w:val="24"/>
                <w:szCs w:val="24"/>
              </w:rPr>
              <w:t xml:space="preserve"> </w:t>
            </w:r>
            <w:r w:rsidRPr="00D06821">
              <w:rPr>
                <w:rFonts w:cs="Arial"/>
                <w:bCs/>
                <w:sz w:val="24"/>
                <w:szCs w:val="24"/>
              </w:rPr>
              <w:t>w tym m.in. B&amp;R, oświetleniem,  kanalizacją deszczową, oraz, w niektórych lokalizacjach, punktami pomiarowymi  automatycznie zliczającymi ruch rowerowy na wskazanych odcinkach tras rowerowych i pieszo-rowerowych,</w:t>
            </w:r>
            <w:r w:rsidR="00D97C09" w:rsidRPr="00D06821">
              <w:rPr>
                <w:rFonts w:cstheme="minorHAnsi"/>
                <w:bCs/>
                <w:color w:val="000000" w:themeColor="text1"/>
                <w:sz w:val="24"/>
                <w:szCs w:val="24"/>
              </w:rPr>
              <w:t xml:space="preserve"> </w:t>
            </w:r>
            <w:r w:rsidR="00BE4A7B" w:rsidRPr="00D06821">
              <w:rPr>
                <w:rFonts w:cstheme="minorHAnsi"/>
                <w:bCs/>
                <w:color w:val="000000" w:themeColor="text1"/>
                <w:sz w:val="24"/>
                <w:szCs w:val="24"/>
              </w:rPr>
              <w:t xml:space="preserve">stworzenie alternatywnych korytarzy rowerowych biegnących niezależnie od istniejącej sieci drogowej – w ciągu rzek (trasy na wałach), linii kolejowych oraz  przez ogrody działkowe </w:t>
            </w:r>
            <w:r w:rsidRPr="00D06821">
              <w:rPr>
                <w:rFonts w:cs="Arial"/>
                <w:bCs/>
                <w:sz w:val="24"/>
                <w:szCs w:val="24"/>
              </w:rPr>
              <w:t>zapewni spójność tych tras na teranie WrOF. Przełoży się ona również</w:t>
            </w:r>
            <w:r w:rsidR="00D61B18" w:rsidRPr="00D06821">
              <w:rPr>
                <w:rFonts w:cs="Arial"/>
                <w:bCs/>
                <w:sz w:val="24"/>
                <w:szCs w:val="24"/>
              </w:rPr>
              <w:t xml:space="preserve"> na przewagę konkurencyjną transportu publicznego nad indywidualnym transportem samochodowym umożliwiając bezpieczny dojazd do przystanków komunikacji zbiorowej. Tworzenie  jednolitej i powszechnie dostępnej na terenie całego obszaru WrOF sieci połączeń  rowerowych przyczyni się do obniżenia niskiej emisji oraz rozwiązania aglomeracyjnych problemów komunikacyjnych. </w:t>
            </w:r>
            <w:r w:rsidR="00D61B18" w:rsidRPr="00D06821">
              <w:rPr>
                <w:rFonts w:cs="Arial"/>
                <w:b/>
                <w:bCs/>
                <w:sz w:val="24"/>
                <w:szCs w:val="24"/>
              </w:rPr>
              <w:t>Projekty  wchodzące w skład wiązki mają wpływ na więcej niż jedną gminę we WrOF</w:t>
            </w:r>
            <w:r w:rsidR="00D61B18" w:rsidRPr="00D06821">
              <w:rPr>
                <w:rFonts w:cs="Arial"/>
                <w:bCs/>
                <w:sz w:val="24"/>
                <w:szCs w:val="24"/>
              </w:rPr>
              <w:t xml:space="preserve"> ponieważ budowa wielu tras rowerowych zapewniających połączenie tras w c</w:t>
            </w:r>
            <w:r w:rsidR="00D97C09" w:rsidRPr="00D06821">
              <w:rPr>
                <w:rFonts w:cs="Arial"/>
                <w:bCs/>
                <w:sz w:val="24"/>
                <w:szCs w:val="24"/>
              </w:rPr>
              <w:t>entrum Wrocławia i poza nim, po</w:t>
            </w:r>
            <w:r w:rsidR="00D61B18" w:rsidRPr="00D06821">
              <w:rPr>
                <w:rFonts w:cs="Arial"/>
                <w:bCs/>
                <w:sz w:val="24"/>
                <w:szCs w:val="24"/>
              </w:rPr>
              <w:t>łąc</w:t>
            </w:r>
            <w:r w:rsidR="00D97C09" w:rsidRPr="00D06821">
              <w:rPr>
                <w:rFonts w:cs="Arial"/>
                <w:bCs/>
                <w:sz w:val="24"/>
                <w:szCs w:val="24"/>
              </w:rPr>
              <w:t>zenie osiedli do sieci tras, po</w:t>
            </w:r>
            <w:r w:rsidR="00D61B18" w:rsidRPr="00D06821">
              <w:rPr>
                <w:rFonts w:cs="Arial"/>
                <w:bCs/>
                <w:sz w:val="24"/>
                <w:szCs w:val="24"/>
              </w:rPr>
              <w:t>łączenie gmin sąsiednich do sieci tras, modernizację istniejących tras., w tym przy dworcach PKP, przystankach komunikacji autobusowej,  umożliwi mieszkańcom WrOF korzystanie z multimodalny</w:t>
            </w:r>
            <w:r w:rsidR="00063259" w:rsidRPr="00D06821">
              <w:rPr>
                <w:rFonts w:cs="Arial"/>
                <w:bCs/>
                <w:sz w:val="24"/>
                <w:szCs w:val="24"/>
              </w:rPr>
              <w:t>ch połączeń  na  obszarze ZIT i </w:t>
            </w:r>
            <w:r w:rsidR="00D61B18" w:rsidRPr="00D06821">
              <w:rPr>
                <w:rFonts w:cs="Arial"/>
                <w:bCs/>
                <w:sz w:val="24"/>
                <w:szCs w:val="24"/>
              </w:rPr>
              <w:t>podniesie poziom wewnętrznego skomunikowania gmin.</w:t>
            </w:r>
          </w:p>
          <w:p w:rsidR="00AF28BF" w:rsidRPr="00D06821" w:rsidRDefault="00A1431D" w:rsidP="00D06821">
            <w:pPr>
              <w:spacing w:line="240" w:lineRule="auto"/>
              <w:jc w:val="left"/>
              <w:rPr>
                <w:rFonts w:cs="Arial"/>
                <w:bCs/>
                <w:sz w:val="24"/>
                <w:szCs w:val="24"/>
              </w:rPr>
            </w:pPr>
            <w:r w:rsidRPr="00D06821">
              <w:rPr>
                <w:rFonts w:cs="Arial"/>
                <w:bCs/>
                <w:sz w:val="24"/>
                <w:szCs w:val="24"/>
              </w:rPr>
              <w:t xml:space="preserve"> </w:t>
            </w:r>
            <w:r w:rsidR="00D61B18" w:rsidRPr="00D06821">
              <w:rPr>
                <w:rFonts w:cs="Arial"/>
                <w:bCs/>
                <w:sz w:val="24"/>
                <w:szCs w:val="24"/>
              </w:rPr>
              <w:t xml:space="preserve">Zaproponowana </w:t>
            </w:r>
            <w:r w:rsidR="00D61B18" w:rsidRPr="00D06821">
              <w:rPr>
                <w:rFonts w:cs="Arial"/>
                <w:b/>
                <w:bCs/>
                <w:sz w:val="24"/>
                <w:szCs w:val="24"/>
              </w:rPr>
              <w:t>wiązka projektów</w:t>
            </w:r>
            <w:r w:rsidR="00D61B18" w:rsidRPr="00D06821">
              <w:rPr>
                <w:rFonts w:cs="Arial"/>
                <w:bCs/>
                <w:sz w:val="24"/>
                <w:szCs w:val="24"/>
              </w:rPr>
              <w:t xml:space="preserve"> wykazuje pełną </w:t>
            </w:r>
            <w:r w:rsidR="00D61B18" w:rsidRPr="00D06821">
              <w:rPr>
                <w:rFonts w:cs="Arial"/>
                <w:b/>
                <w:bCs/>
                <w:sz w:val="24"/>
                <w:szCs w:val="24"/>
              </w:rPr>
              <w:t>wewnętrzną  komplementarność i synergię w zakresie tematycznym</w:t>
            </w:r>
            <w:r w:rsidR="00D61B18" w:rsidRPr="00D06821">
              <w:rPr>
                <w:rFonts w:cs="Arial"/>
                <w:bCs/>
                <w:sz w:val="24"/>
                <w:szCs w:val="24"/>
              </w:rPr>
              <w:t xml:space="preserve">,  gdyż przedmiotem projektów jest budowa lub modernizacja tras rowerowych i pieszo-rowerowych wraz z  inną niezbędną infrastrukturą </w:t>
            </w:r>
            <w:r w:rsidR="00D61B18" w:rsidRPr="00D06821">
              <w:rPr>
                <w:rFonts w:cs="Arial"/>
                <w:b/>
                <w:bCs/>
                <w:sz w:val="24"/>
                <w:szCs w:val="24"/>
              </w:rPr>
              <w:t>oraz w zakresie obszarowym</w:t>
            </w:r>
            <w:r w:rsidR="00D61B18" w:rsidRPr="00D06821">
              <w:rPr>
                <w:rFonts w:cs="Arial"/>
                <w:bCs/>
                <w:sz w:val="24"/>
                <w:szCs w:val="24"/>
              </w:rPr>
              <w:t xml:space="preserve">, ponieważ  rzeczowa realizacja projektów zaplanowana jest  na terenie gmin  ZIT WrOF oraz obszarze,  dla którego opracowano  PZM MOFW. </w:t>
            </w:r>
          </w:p>
          <w:p w:rsidR="00AF28BF" w:rsidRPr="00D06821" w:rsidRDefault="00D61B18" w:rsidP="00D06821">
            <w:pPr>
              <w:spacing w:line="240" w:lineRule="auto"/>
              <w:jc w:val="left"/>
              <w:rPr>
                <w:rFonts w:cs="Arial"/>
                <w:bCs/>
                <w:sz w:val="24"/>
                <w:szCs w:val="24"/>
              </w:rPr>
            </w:pPr>
            <w:r w:rsidRPr="00D06821">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5255DE" w:rsidRPr="00D06821" w:rsidRDefault="005255DE" w:rsidP="00D06821">
            <w:pPr>
              <w:pStyle w:val="Default"/>
            </w:pPr>
            <w:r w:rsidRPr="00D06821">
              <w:t xml:space="preserve">Wiązka projektów  spełnia  warunki  projektu zintegrowanego tj. stanowi grupę projektów powiązanych ze sobą merytorycznie (zawiera podobne typy  projektów) oraz funkcjonalnie (zintegrowany wpływ realizacji </w:t>
            </w:r>
            <w:r w:rsidR="00D97C09" w:rsidRPr="00D06821">
              <w:t>projektów  na obszar  ZIT).  Na </w:t>
            </w:r>
            <w:r w:rsidRPr="00D06821">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w:t>
            </w:r>
            <w:r w:rsidR="00D97C09" w:rsidRPr="00D06821">
              <w:t>ji projekty będą synergiczne  w </w:t>
            </w:r>
            <w:r w:rsidRPr="00D06821">
              <w:t>ramach: okresu programowania i  wdra</w:t>
            </w:r>
            <w:r w:rsidR="00D97C09" w:rsidRPr="00D06821">
              <w:t>żane  w sposób skoordynowany w  </w:t>
            </w:r>
            <w:r w:rsidRPr="00D06821">
              <w:t>ramach obszaru ZIT WrOF, dla którego została opracowana Strategia  oraz powiązań w zakresie rzeczowym, które przełożą się na realizację zidentyfikowanych w strategii celów, priorytetów i kierunków działań, a docelowo  realizację wskaźników produktu i rezult</w:t>
            </w:r>
            <w:r w:rsidR="00D06821">
              <w:t>atu przewidzianych w Strategii.</w:t>
            </w:r>
          </w:p>
          <w:p w:rsidR="00AF28BF" w:rsidRPr="00D06821" w:rsidRDefault="00D61B18" w:rsidP="00D06821">
            <w:pPr>
              <w:pStyle w:val="Default"/>
              <w:rPr>
                <w:rFonts w:asciiTheme="minorHAnsi" w:hAnsiTheme="minorHAnsi" w:cs="Arial"/>
                <w:bCs/>
                <w:color w:val="auto"/>
              </w:rPr>
            </w:pPr>
            <w:r w:rsidRPr="00D06821">
              <w:rPr>
                <w:rFonts w:asciiTheme="minorHAnsi" w:hAnsiTheme="minorHAnsi" w:cs="Arial"/>
                <w:bCs/>
                <w:color w:val="auto"/>
              </w:rPr>
              <w:t>Realizacja projektów stanowiących wiązkę wynika z części kierunkowej Strategii ZIT WrOF,  tj.:</w:t>
            </w:r>
          </w:p>
          <w:p w:rsidR="00AF28BF" w:rsidRPr="00D06821" w:rsidRDefault="00D61B18" w:rsidP="00D06821">
            <w:pPr>
              <w:pStyle w:val="Default"/>
              <w:rPr>
                <w:rFonts w:asciiTheme="minorHAnsi" w:hAnsiTheme="minorHAnsi" w:cs="Arial"/>
                <w:b/>
                <w:bCs/>
                <w:color w:val="auto"/>
              </w:rPr>
            </w:pPr>
            <w:r w:rsidRPr="00D06821">
              <w:rPr>
                <w:rFonts w:asciiTheme="minorHAnsi" w:hAnsiTheme="minorHAnsi" w:cs="Arial"/>
                <w:b/>
                <w:bCs/>
                <w:color w:val="auto"/>
              </w:rPr>
              <w:t xml:space="preserve">Cel strategiczny 3- Ochrona środowiska naturalnego i adaptacja WrOF do zmian </w:t>
            </w:r>
            <w:r w:rsidR="009D3AAC" w:rsidRPr="00D06821">
              <w:rPr>
                <w:rFonts w:asciiTheme="minorHAnsi" w:hAnsiTheme="minorHAnsi" w:cs="Arial"/>
                <w:b/>
                <w:bCs/>
                <w:color w:val="auto"/>
              </w:rPr>
              <w:t>klimatu</w:t>
            </w:r>
          </w:p>
          <w:p w:rsidR="00AF28BF" w:rsidRPr="00D06821" w:rsidRDefault="00D61B18" w:rsidP="00D06821">
            <w:pPr>
              <w:pStyle w:val="Default"/>
              <w:rPr>
                <w:rFonts w:asciiTheme="minorHAnsi" w:hAnsiTheme="minorHAnsi" w:cs="Arial"/>
                <w:b/>
                <w:color w:val="auto"/>
              </w:rPr>
            </w:pPr>
            <w:r w:rsidRPr="00D06821">
              <w:rPr>
                <w:rFonts w:asciiTheme="minorHAnsi" w:hAnsiTheme="minorHAnsi" w:cs="Arial"/>
                <w:b/>
                <w:color w:val="auto"/>
              </w:rPr>
              <w:t xml:space="preserve">Priorytet 13. Zrównoważona mobilność </w:t>
            </w:r>
          </w:p>
          <w:p w:rsidR="00AF28BF" w:rsidRPr="00D06821" w:rsidRDefault="00D61B18" w:rsidP="00D06821">
            <w:pPr>
              <w:pStyle w:val="Default"/>
              <w:rPr>
                <w:rFonts w:asciiTheme="minorHAnsi" w:hAnsiTheme="minorHAnsi" w:cs="Arial"/>
                <w:b/>
                <w:bCs/>
                <w:color w:val="auto"/>
              </w:rPr>
            </w:pPr>
            <w:r w:rsidRPr="00D06821">
              <w:rPr>
                <w:rFonts w:asciiTheme="minorHAnsi" w:hAnsiTheme="minorHAnsi" w:cs="Arial"/>
                <w:b/>
                <w:bCs/>
                <w:color w:val="auto"/>
              </w:rPr>
              <w:t>Kierunek działania 13.1  Zwiększenie konkurencyjności transportu zbiorow</w:t>
            </w:r>
            <w:r w:rsidR="00063259" w:rsidRPr="00D06821">
              <w:rPr>
                <w:rFonts w:asciiTheme="minorHAnsi" w:hAnsiTheme="minorHAnsi" w:cs="Arial"/>
                <w:b/>
                <w:bCs/>
                <w:color w:val="auto"/>
              </w:rPr>
              <w:t>ego i </w:t>
            </w:r>
            <w:r w:rsidRPr="00D06821">
              <w:rPr>
                <w:rFonts w:asciiTheme="minorHAnsi" w:hAnsiTheme="minorHAnsi" w:cs="Arial"/>
                <w:b/>
                <w:bCs/>
                <w:color w:val="auto"/>
              </w:rPr>
              <w:t>niskoemisyjnych form przemieszczania się</w:t>
            </w:r>
          </w:p>
          <w:p w:rsidR="00AF28BF" w:rsidRPr="00D06821" w:rsidRDefault="00AF28BF" w:rsidP="00D06821">
            <w:pPr>
              <w:pStyle w:val="Default"/>
              <w:keepNext/>
              <w:keepLines/>
              <w:spacing w:before="40"/>
              <w:outlineLvl w:val="2"/>
              <w:rPr>
                <w:rFonts w:asciiTheme="minorHAnsi" w:hAnsiTheme="minorHAnsi"/>
                <w:color w:val="FF0000"/>
              </w:rPr>
            </w:pPr>
          </w:p>
          <w:p w:rsidR="00AF28BF" w:rsidRPr="00D06821" w:rsidRDefault="00D61B18" w:rsidP="00D06821">
            <w:pPr>
              <w:spacing w:line="240" w:lineRule="auto"/>
              <w:jc w:val="left"/>
              <w:rPr>
                <w:rFonts w:cstheme="minorHAnsi"/>
                <w:sz w:val="24"/>
                <w:szCs w:val="24"/>
              </w:rPr>
            </w:pPr>
            <w:r w:rsidRPr="00D06821">
              <w:rPr>
                <w:rFonts w:cs="Arial"/>
                <w:bCs/>
                <w:sz w:val="24"/>
                <w:szCs w:val="24"/>
              </w:rPr>
              <w:t xml:space="preserve">Natomiast w </w:t>
            </w:r>
            <w:r w:rsidR="0089002E" w:rsidRPr="00D06821">
              <w:rPr>
                <w:rFonts w:cs="Arial"/>
                <w:b/>
                <w:bCs/>
                <w:sz w:val="24"/>
                <w:szCs w:val="24"/>
              </w:rPr>
              <w:t>części  II.</w:t>
            </w:r>
            <w:r w:rsidR="00D97C09" w:rsidRPr="00D06821">
              <w:rPr>
                <w:rFonts w:cs="Arial"/>
                <w:b/>
                <w:bCs/>
                <w:sz w:val="24"/>
                <w:szCs w:val="24"/>
              </w:rPr>
              <w:t xml:space="preserve"> </w:t>
            </w:r>
            <w:r w:rsidRPr="00D06821">
              <w:rPr>
                <w:rFonts w:cstheme="minorHAnsi"/>
                <w:b/>
                <w:sz w:val="24"/>
                <w:szCs w:val="24"/>
              </w:rPr>
              <w:t>Synteza diagnozy strategicznej obszaru WrOF</w:t>
            </w:r>
            <w:r w:rsidRPr="00D06821">
              <w:rPr>
                <w:rFonts w:cs="Arial"/>
                <w:bCs/>
                <w:sz w:val="24"/>
                <w:szCs w:val="24"/>
              </w:rPr>
              <w:t xml:space="preserve">, w opisie </w:t>
            </w:r>
            <w:r w:rsidR="008C2FEB" w:rsidRPr="00D06821">
              <w:rPr>
                <w:rFonts w:cs="Arial"/>
                <w:bCs/>
                <w:sz w:val="24"/>
                <w:szCs w:val="24"/>
              </w:rPr>
              <w:t xml:space="preserve"> analizy </w:t>
            </w:r>
            <w:r w:rsidR="008C2FEB" w:rsidRPr="00D06821">
              <w:rPr>
                <w:rFonts w:cs="Arial"/>
                <w:b/>
                <w:bCs/>
                <w:sz w:val="24"/>
                <w:szCs w:val="24"/>
              </w:rPr>
              <w:t xml:space="preserve">mobilności </w:t>
            </w:r>
            <w:r w:rsidRPr="00D06821">
              <w:rPr>
                <w:rFonts w:cs="Arial"/>
                <w:bCs/>
                <w:sz w:val="24"/>
                <w:szCs w:val="24"/>
              </w:rPr>
              <w:t xml:space="preserve">wskazano, iż mimo </w:t>
            </w:r>
            <w:r w:rsidRPr="00D06821">
              <w:rPr>
                <w:rFonts w:cstheme="minorHAnsi"/>
                <w:sz w:val="24"/>
                <w:szCs w:val="24"/>
              </w:rPr>
              <w:t xml:space="preserve">dostępności komunikacyjnej obszaru  </w:t>
            </w:r>
            <w:r w:rsidR="00063259" w:rsidRPr="00D06821">
              <w:rPr>
                <w:rFonts w:cstheme="minorHAnsi"/>
                <w:sz w:val="24"/>
                <w:szCs w:val="24"/>
              </w:rPr>
              <w:br/>
            </w:r>
            <w:r w:rsidRPr="00D06821">
              <w:rPr>
                <w:rFonts w:cstheme="minorHAnsi"/>
                <w:sz w:val="24"/>
                <w:szCs w:val="24"/>
              </w:rPr>
              <w:t>(z uwagi na obecność wielu systemów transportu: drogowego, kolejowego,</w:t>
            </w:r>
            <w:r w:rsidR="0089002E" w:rsidRPr="00D06821">
              <w:rPr>
                <w:rFonts w:cstheme="minorHAnsi"/>
                <w:sz w:val="24"/>
                <w:szCs w:val="24"/>
              </w:rPr>
              <w:t xml:space="preserve"> tramwajowego, </w:t>
            </w:r>
            <w:r w:rsidR="00746757" w:rsidRPr="00D06821">
              <w:rPr>
                <w:rFonts w:cstheme="minorHAnsi"/>
                <w:sz w:val="24"/>
                <w:szCs w:val="24"/>
              </w:rPr>
              <w:t xml:space="preserve">lotniczego i </w:t>
            </w:r>
            <w:r w:rsidRPr="00D06821">
              <w:rPr>
                <w:rFonts w:cstheme="minorHAnsi"/>
                <w:sz w:val="24"/>
                <w:szCs w:val="24"/>
              </w:rPr>
              <w:t>rowerowego)</w:t>
            </w:r>
            <w:r w:rsidR="00D97C09" w:rsidRPr="00D06821">
              <w:rPr>
                <w:rFonts w:cstheme="minorHAnsi"/>
                <w:sz w:val="24"/>
                <w:szCs w:val="24"/>
              </w:rPr>
              <w:t xml:space="preserve"> </w:t>
            </w:r>
            <w:r w:rsidRPr="00D06821">
              <w:rPr>
                <w:rFonts w:cstheme="minorHAnsi"/>
                <w:sz w:val="24"/>
                <w:szCs w:val="24"/>
              </w:rPr>
              <w:t xml:space="preserve">nadal występuje problem niedostatecznego poziomu skomunikowania wewnątrz gmin WrOF.  W granicach WrOF wciąż funkcjonują jednostki, do których dotarcie za pośrednictwem komunikacji zbiorowej jest utrudnione. </w:t>
            </w:r>
          </w:p>
          <w:p w:rsidR="00AF28BF" w:rsidRPr="00D06821" w:rsidRDefault="00D61B18" w:rsidP="00D06821">
            <w:pPr>
              <w:spacing w:line="240" w:lineRule="auto"/>
              <w:jc w:val="left"/>
              <w:rPr>
                <w:rFonts w:cs="Arial"/>
                <w:b/>
                <w:sz w:val="24"/>
                <w:szCs w:val="24"/>
              </w:rPr>
            </w:pPr>
            <w:r w:rsidRPr="00D06821">
              <w:rPr>
                <w:rFonts w:cstheme="minorHAnsi"/>
                <w:sz w:val="24"/>
                <w:szCs w:val="24"/>
              </w:rPr>
              <w:t xml:space="preserve">W części  </w:t>
            </w:r>
            <w:r w:rsidRPr="00D06821">
              <w:rPr>
                <w:rFonts w:cs="Calibri"/>
                <w:b/>
                <w:sz w:val="24"/>
                <w:szCs w:val="24"/>
              </w:rPr>
              <w:t xml:space="preserve">Kluczowe wyzwania strategiczne wpisano: </w:t>
            </w:r>
            <w:r w:rsidRPr="00D06821">
              <w:rPr>
                <w:rFonts w:cs="Calibri"/>
                <w:sz w:val="24"/>
                <w:szCs w:val="24"/>
              </w:rPr>
              <w:t>Wzrost znaczenia podró</w:t>
            </w:r>
            <w:r w:rsidR="00746757" w:rsidRPr="00D06821">
              <w:rPr>
                <w:rFonts w:cs="Calibri"/>
                <w:sz w:val="24"/>
                <w:szCs w:val="24"/>
              </w:rPr>
              <w:t>ży wykonywanych pieszo, rowerem</w:t>
            </w:r>
            <w:r w:rsidRPr="00D06821">
              <w:rPr>
                <w:rFonts w:cs="Calibri"/>
                <w:sz w:val="24"/>
                <w:szCs w:val="24"/>
              </w:rPr>
              <w:t xml:space="preserve"> czy też urządzeniami transportu osobistego (UTO) w celach rekreacyjnych i komunikacyjnych. Konieczne jest rozwijanie infrastruktury dedykowanej tym formom przemieszczenia (drogi dla rowerów, ciągi pieszo-rowerowe, chodniki, mosty kolejowe, przeprawy przez rzeki, punkty naprawcze, poprawa nawierzchni istniejącej infrastruktury, rozwój infrastruktury  itd.)</w:t>
            </w:r>
          </w:p>
          <w:p w:rsidR="00AF28BF" w:rsidRPr="00D06821" w:rsidRDefault="00D61B18" w:rsidP="00D06821">
            <w:pPr>
              <w:spacing w:line="240" w:lineRule="auto"/>
              <w:jc w:val="left"/>
              <w:rPr>
                <w:sz w:val="24"/>
                <w:szCs w:val="24"/>
              </w:rPr>
            </w:pPr>
            <w:r w:rsidRPr="00D06821">
              <w:rPr>
                <w:rFonts w:cs="Arial"/>
                <w:bCs/>
                <w:sz w:val="24"/>
                <w:szCs w:val="24"/>
              </w:rPr>
              <w:t xml:space="preserve">Ponadto wiązka </w:t>
            </w:r>
            <w:r w:rsidRPr="00D06821">
              <w:rPr>
                <w:rFonts w:cs="Arial"/>
                <w:b/>
                <w:bCs/>
                <w:sz w:val="24"/>
                <w:szCs w:val="24"/>
              </w:rPr>
              <w:t xml:space="preserve">realizuje zapisy PZM MOFW.  </w:t>
            </w:r>
          </w:p>
          <w:p w:rsidR="00AF28BF" w:rsidRPr="00D06821" w:rsidRDefault="00D61B18" w:rsidP="00D06821">
            <w:pPr>
              <w:spacing w:line="240" w:lineRule="auto"/>
              <w:jc w:val="left"/>
              <w:rPr>
                <w:rFonts w:cs="Arial"/>
                <w:sz w:val="24"/>
                <w:szCs w:val="24"/>
              </w:rPr>
            </w:pPr>
            <w:r w:rsidRPr="00D06821">
              <w:rPr>
                <w:rFonts w:cs="Arial"/>
                <w:bCs/>
                <w:sz w:val="24"/>
                <w:szCs w:val="24"/>
              </w:rPr>
              <w:t>Zaproponowane w powyższej wiązce projekty w</w:t>
            </w:r>
            <w:r w:rsidR="00063259" w:rsidRPr="00D06821">
              <w:rPr>
                <w:rFonts w:cs="Arial"/>
                <w:bCs/>
                <w:sz w:val="24"/>
                <w:szCs w:val="24"/>
              </w:rPr>
              <w:t>prost odpowiadają na wyzwania i </w:t>
            </w:r>
            <w:r w:rsidRPr="00D06821">
              <w:rPr>
                <w:rFonts w:cs="Arial"/>
                <w:bCs/>
                <w:sz w:val="24"/>
                <w:szCs w:val="24"/>
              </w:rPr>
              <w:t xml:space="preserve">cele zwarte w </w:t>
            </w:r>
            <w:r w:rsidRPr="00D06821">
              <w:rPr>
                <w:rFonts w:cs="Arial"/>
                <w:bCs/>
                <w:sz w:val="24"/>
                <w:szCs w:val="24"/>
                <w:u w:val="single"/>
              </w:rPr>
              <w:t>PZM MOFW, który integruje wszystkie działania dotyczące mobilności na terenie  MOFW.</w:t>
            </w:r>
          </w:p>
          <w:p w:rsidR="00AF28BF" w:rsidRPr="00D06821" w:rsidRDefault="00D61B18" w:rsidP="00D06821">
            <w:pPr>
              <w:spacing w:line="240" w:lineRule="auto"/>
              <w:jc w:val="left"/>
              <w:rPr>
                <w:rFonts w:cs="Arial"/>
                <w:bCs/>
                <w:sz w:val="24"/>
                <w:szCs w:val="24"/>
              </w:rPr>
            </w:pPr>
            <w:r w:rsidRPr="00D06821">
              <w:rPr>
                <w:rFonts w:cs="Arial"/>
                <w:bCs/>
                <w:sz w:val="24"/>
                <w:szCs w:val="24"/>
              </w:rPr>
              <w:t xml:space="preserve">Budowa </w:t>
            </w:r>
            <w:r w:rsidR="00291248" w:rsidRPr="00D06821">
              <w:rPr>
                <w:rFonts w:cs="Arial"/>
                <w:bCs/>
                <w:sz w:val="24"/>
                <w:szCs w:val="24"/>
              </w:rPr>
              <w:t xml:space="preserve">infrastruktury rowerowej i pocieszko-rowerowej, </w:t>
            </w:r>
            <w:r w:rsidRPr="00D06821">
              <w:rPr>
                <w:rFonts w:cs="Arial"/>
                <w:bCs/>
                <w:sz w:val="24"/>
                <w:szCs w:val="24"/>
              </w:rPr>
              <w:t xml:space="preserve"> wpisuje się w Cel nadrzędny PZM MOFW tj. </w:t>
            </w:r>
            <w:r w:rsidRPr="00D06821">
              <w:rPr>
                <w:rFonts w:cs="Arial"/>
                <w:b/>
                <w:sz w:val="24"/>
                <w:szCs w:val="24"/>
              </w:rPr>
              <w:t xml:space="preserve">Poprawa dostępności transportowej. </w:t>
            </w:r>
            <w:r w:rsidRPr="00D06821">
              <w:rPr>
                <w:rFonts w:cs="Arial"/>
                <w:sz w:val="24"/>
                <w:szCs w:val="24"/>
              </w:rPr>
              <w:t xml:space="preserve">Ponadto </w:t>
            </w:r>
            <w:r w:rsidRPr="00D06821">
              <w:rPr>
                <w:rFonts w:cs="Arial"/>
                <w:bCs/>
                <w:sz w:val="24"/>
                <w:szCs w:val="24"/>
              </w:rPr>
              <w:t>jest</w:t>
            </w:r>
            <w:r w:rsidR="00D97C09" w:rsidRPr="00D06821">
              <w:rPr>
                <w:rFonts w:cs="Arial"/>
                <w:bCs/>
                <w:sz w:val="24"/>
                <w:szCs w:val="24"/>
              </w:rPr>
              <w:t xml:space="preserve"> </w:t>
            </w:r>
            <w:r w:rsidRPr="00D06821">
              <w:rPr>
                <w:rFonts w:cs="Arial"/>
                <w:bCs/>
                <w:sz w:val="24"/>
                <w:szCs w:val="24"/>
              </w:rPr>
              <w:t xml:space="preserve">ona wprost ujęta w Celu szczegółowym 2: </w:t>
            </w:r>
            <w:r w:rsidRPr="00D06821">
              <w:rPr>
                <w:rFonts w:cs="Arial"/>
                <w:b/>
                <w:bCs/>
                <w:sz w:val="24"/>
                <w:szCs w:val="24"/>
              </w:rPr>
              <w:t xml:space="preserve">Zwiększenie konkurencyjności transportu </w:t>
            </w:r>
            <w:proofErr w:type="spellStart"/>
            <w:r w:rsidRPr="00D06821">
              <w:rPr>
                <w:rFonts w:cs="Arial"/>
                <w:b/>
                <w:bCs/>
                <w:sz w:val="24"/>
                <w:szCs w:val="24"/>
              </w:rPr>
              <w:t>niesamochodowego</w:t>
            </w:r>
            <w:proofErr w:type="spellEnd"/>
            <w:r w:rsidRPr="00D06821">
              <w:rPr>
                <w:rFonts w:cs="Arial"/>
                <w:b/>
                <w:bCs/>
                <w:sz w:val="24"/>
                <w:szCs w:val="24"/>
              </w:rPr>
              <w:t xml:space="preserve"> w codziennych przemieszczeniach w obszarze MOFW</w:t>
            </w:r>
            <w:r w:rsidRPr="00D06821">
              <w:rPr>
                <w:rFonts w:cs="Arial"/>
                <w:bCs/>
                <w:sz w:val="24"/>
                <w:szCs w:val="24"/>
              </w:rPr>
              <w:t xml:space="preserve">, gdzie jednym z </w:t>
            </w:r>
            <w:r w:rsidRPr="00D06821">
              <w:rPr>
                <w:rFonts w:cs="Arial"/>
                <w:b/>
                <w:bCs/>
                <w:sz w:val="24"/>
                <w:szCs w:val="24"/>
              </w:rPr>
              <w:t>pakietów działań</w:t>
            </w:r>
            <w:r w:rsidR="00063259" w:rsidRPr="00D06821">
              <w:rPr>
                <w:rFonts w:cs="Arial"/>
                <w:bCs/>
                <w:sz w:val="24"/>
                <w:szCs w:val="24"/>
              </w:rPr>
              <w:t xml:space="preserve"> o </w:t>
            </w:r>
            <w:r w:rsidRPr="00D06821">
              <w:rPr>
                <w:rFonts w:cs="Arial"/>
                <w:bCs/>
                <w:sz w:val="24"/>
                <w:szCs w:val="24"/>
              </w:rPr>
              <w:t xml:space="preserve">średnim priorytecie realizacji  jest „Aglomeracyjna sieć dróg rowerowych”. </w:t>
            </w:r>
          </w:p>
          <w:p w:rsidR="00A1431D" w:rsidRDefault="00D61B18" w:rsidP="00A1431D">
            <w:pPr>
              <w:pStyle w:val="Default"/>
              <w:rPr>
                <w:rFonts w:asciiTheme="minorHAnsi" w:hAnsiTheme="minorHAnsi" w:cs="Arial"/>
                <w:bCs/>
              </w:rPr>
            </w:pPr>
            <w:r w:rsidRPr="00D06821">
              <w:rPr>
                <w:rFonts w:asciiTheme="minorHAnsi" w:hAnsiTheme="minorHAnsi" w:cs="Arial"/>
                <w:bCs/>
              </w:rPr>
              <w:t xml:space="preserve">W </w:t>
            </w:r>
            <w:r w:rsidRPr="00D06821">
              <w:rPr>
                <w:rFonts w:asciiTheme="minorHAnsi" w:hAnsiTheme="minorHAnsi" w:cs="Arial"/>
                <w:b/>
                <w:bCs/>
              </w:rPr>
              <w:t>Rekomendacjach</w:t>
            </w:r>
            <w:r w:rsidRPr="00D06821">
              <w:rPr>
                <w:rFonts w:asciiTheme="minorHAnsi" w:hAnsiTheme="minorHAnsi" w:cs="Arial"/>
                <w:bCs/>
              </w:rPr>
              <w:t xml:space="preserve"> wykazana jest konieczność budowy m.in. ciągów pieszo-rowerowych i  rowerowych, tak by podróże rowerem stały się realną alternatywą  dla krótkich podróży  samochodem osobowym .</w:t>
            </w:r>
          </w:p>
          <w:p w:rsidR="00A1431D" w:rsidRDefault="00A1431D" w:rsidP="00A1431D">
            <w:pPr>
              <w:pStyle w:val="Default"/>
              <w:rPr>
                <w:rFonts w:cs="Arial"/>
                <w:bCs/>
              </w:rPr>
            </w:pPr>
          </w:p>
          <w:p w:rsidR="00AA637C" w:rsidRPr="00D06821" w:rsidRDefault="00D61B18" w:rsidP="00A1431D">
            <w:pPr>
              <w:pStyle w:val="Default"/>
              <w:rPr>
                <w:rFonts w:cs="Arial"/>
                <w:bCs/>
              </w:rPr>
            </w:pPr>
            <w:r w:rsidRPr="00D06821">
              <w:rPr>
                <w:rFonts w:cs="Arial"/>
                <w:bCs/>
              </w:rPr>
              <w:t>W PZM MOFW wskazano, że jako podstawowy kierunek w rozwoju systemu rowerowego powinno zostać przyjęte założenie utworzenia powiązań rowerowych pomiędzy miastem rdzeniem a sąsiednimi gminami, miastami powiatowymi a sąsiednimi gminami oraz jednej trasy rowerowej łączącej gminy Ringu I.</w:t>
            </w:r>
            <w:r w:rsidR="00746757" w:rsidRPr="00D06821">
              <w:rPr>
                <w:rFonts w:cs="Arial"/>
                <w:bCs/>
              </w:rPr>
              <w:t xml:space="preserve"> </w:t>
            </w:r>
            <w:r w:rsidRPr="00D06821">
              <w:rPr>
                <w:rFonts w:cs="Arial"/>
                <w:bCs/>
              </w:rPr>
              <w:t>Istotne dla promowania ruchu rowerowego byłoby także tworzenie bezpiecznych tras rowerowych dojazdowych do placówek oświatowych oraz do węzłów przesiadkowych, zwłaszcza tych z dostępem do transportu kolejowego.</w:t>
            </w:r>
          </w:p>
        </w:tc>
      </w:tr>
    </w:tbl>
    <w:p w:rsidR="00D72C00" w:rsidRPr="00D72C00" w:rsidRDefault="00D72C00">
      <w:pPr>
        <w:rPr>
          <w:sz w:val="2"/>
          <w:szCs w:val="2"/>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9"/>
        <w:tblDescription w:val="Budowa lub rozbudowa centrów, węzłów przesiadkowych, P&amp;R oraz B&amp;R na terenie Wrocławskiego Obszaru Funkcjonalnego"/>
      </w:tblPr>
      <w:tblGrid>
        <w:gridCol w:w="1696"/>
        <w:gridCol w:w="7366"/>
      </w:tblGrid>
      <w:tr w:rsidR="00D06821" w:rsidRPr="00565D70" w:rsidTr="00565D70">
        <w:trPr>
          <w:trHeight w:val="794"/>
          <w:tblHeader/>
        </w:trPr>
        <w:tc>
          <w:tcPr>
            <w:tcW w:w="1696" w:type="dxa"/>
            <w:shd w:val="clear" w:color="auto" w:fill="D9D9D9"/>
            <w:vAlign w:val="center"/>
          </w:tcPr>
          <w:p w:rsidR="00D06821" w:rsidRPr="00565D70" w:rsidRDefault="00D06821"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sz w:val="24"/>
                <w:szCs w:val="24"/>
              </w:rPr>
              <w:br w:type="page"/>
            </w:r>
            <w:r w:rsidRPr="00565D70">
              <w:rPr>
                <w:rFonts w:eastAsia="Calibri" w:cstheme="minorHAnsi"/>
                <w:b/>
                <w:sz w:val="24"/>
                <w:szCs w:val="24"/>
              </w:rPr>
              <w:t>Wiązka projektów 9</w:t>
            </w:r>
          </w:p>
        </w:tc>
        <w:tc>
          <w:tcPr>
            <w:tcW w:w="7366" w:type="dxa"/>
            <w:shd w:val="clear" w:color="auto" w:fill="D9D9D9"/>
            <w:vAlign w:val="center"/>
          </w:tcPr>
          <w:p w:rsidR="00D06821" w:rsidRPr="00565D70" w:rsidRDefault="00D06821" w:rsidP="00565D70">
            <w:pPr>
              <w:spacing w:line="240" w:lineRule="auto"/>
              <w:jc w:val="left"/>
              <w:rPr>
                <w:rFonts w:ascii="Calibri" w:eastAsia="Calibri" w:hAnsi="Calibri" w:cs="Times New Roman"/>
                <w:b/>
                <w:sz w:val="24"/>
                <w:szCs w:val="24"/>
                <w:highlight w:val="yellow"/>
              </w:rPr>
            </w:pPr>
            <w:r w:rsidRPr="00565D70">
              <w:rPr>
                <w:rFonts w:eastAsia="Calibri" w:cstheme="minorHAnsi"/>
                <w:b/>
                <w:sz w:val="24"/>
                <w:szCs w:val="24"/>
              </w:rPr>
              <w:t>Budowa lub rozbudowa centrów, węzłów przesiadkowych, P&amp;R oraz B&amp;R na terenie Wrocławskiego Obszaru Funkcjonalnego</w:t>
            </w:r>
          </w:p>
        </w:tc>
      </w:tr>
      <w:tr w:rsidR="00AA637C" w:rsidRPr="00565D70" w:rsidTr="00D06821">
        <w:trPr>
          <w:trHeight w:val="340"/>
        </w:trPr>
        <w:tc>
          <w:tcPr>
            <w:tcW w:w="1696"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366" w:type="dxa"/>
          </w:tcPr>
          <w:p w:rsidR="001579A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  </w:t>
            </w:r>
            <w:r w:rsidR="001579AC" w:rsidRPr="00565D70">
              <w:rPr>
                <w:rFonts w:ascii="Calibri" w:eastAsia="Calibri" w:hAnsi="Calibri" w:cs="Times New Roman"/>
                <w:b/>
                <w:sz w:val="24"/>
                <w:szCs w:val="24"/>
              </w:rPr>
              <w:t>Projekty podstawowe: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Rozwój rowerowego systemu parkingowego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Budowa centrum przesiadkowego przy nowym przystanku kolejowym Oława Zachodnia</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Rozbudowa systemu Parkuj i jedź we Wrocławiu - Etap III</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Budowa Parkingu Park &amp; Drive (Parkuj i Jedź)  na ternie Gminy Oborniki Śląskie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Budowa węzła przesiadkowego P&amp;R i B&amp;R w Lizawicach przy stacji kolejowej oraz utworzenie ścieżki rowerowej</w:t>
            </w:r>
          </w:p>
          <w:p w:rsidR="001579AC" w:rsidRPr="00565D70" w:rsidRDefault="002A5957" w:rsidP="00565D70">
            <w:pPr>
              <w:pStyle w:val="Akapitzlist"/>
              <w:numPr>
                <w:ilvl w:val="0"/>
                <w:numId w:val="39"/>
              </w:numPr>
              <w:spacing w:line="240" w:lineRule="auto"/>
              <w:jc w:val="left"/>
              <w:rPr>
                <w:rFonts w:ascii="Calibri" w:eastAsia="Calibri" w:hAnsi="Calibri" w:cs="Times New Roman"/>
                <w:b/>
                <w:sz w:val="24"/>
                <w:szCs w:val="24"/>
              </w:rPr>
            </w:pPr>
            <w:proofErr w:type="spellStart"/>
            <w:r w:rsidRPr="00565D70">
              <w:rPr>
                <w:rFonts w:cstheme="minorHAnsi"/>
                <w:sz w:val="24"/>
                <w:szCs w:val="24"/>
              </w:rPr>
              <w:t>Algomeracyjno</w:t>
            </w:r>
            <w:proofErr w:type="spellEnd"/>
            <w:r w:rsidRPr="00565D70">
              <w:rPr>
                <w:rFonts w:cstheme="minorHAnsi"/>
                <w:sz w:val="24"/>
                <w:szCs w:val="24"/>
              </w:rPr>
              <w:t>-</w:t>
            </w:r>
            <w:r w:rsidR="001579AC" w:rsidRPr="00565D70">
              <w:rPr>
                <w:rFonts w:cstheme="minorHAnsi"/>
                <w:sz w:val="24"/>
                <w:szCs w:val="24"/>
              </w:rPr>
              <w:t>miejskie centrum przesiadkowe w gminie Czernica (Łany -  Wojnów)</w:t>
            </w:r>
          </w:p>
          <w:p w:rsidR="001579AC" w:rsidRPr="00565D70" w:rsidRDefault="001579A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AA637C" w:rsidRPr="00565D70" w:rsidRDefault="001579AC" w:rsidP="00565D70">
            <w:pPr>
              <w:pStyle w:val="Akapitzlist"/>
              <w:numPr>
                <w:ilvl w:val="0"/>
                <w:numId w:val="66"/>
              </w:numPr>
              <w:spacing w:line="240" w:lineRule="auto"/>
              <w:ind w:left="731" w:hanging="425"/>
              <w:jc w:val="left"/>
              <w:rPr>
                <w:rFonts w:cstheme="minorHAnsi"/>
                <w:sz w:val="24"/>
                <w:szCs w:val="24"/>
              </w:rPr>
            </w:pPr>
            <w:r w:rsidRPr="00565D70">
              <w:rPr>
                <w:rFonts w:cstheme="minorHAnsi"/>
                <w:sz w:val="24"/>
                <w:szCs w:val="24"/>
              </w:rPr>
              <w:t xml:space="preserve">Budowa </w:t>
            </w:r>
            <w:r w:rsidR="00A54C96" w:rsidRPr="00565D70">
              <w:rPr>
                <w:rFonts w:cstheme="minorHAnsi"/>
                <w:sz w:val="24"/>
                <w:szCs w:val="24"/>
              </w:rPr>
              <w:t>infrastruktury</w:t>
            </w:r>
            <w:r w:rsidRPr="00565D70">
              <w:rPr>
                <w:rFonts w:cstheme="minorHAnsi"/>
                <w:sz w:val="24"/>
                <w:szCs w:val="24"/>
              </w:rPr>
              <w:t xml:space="preserve"> przesiadkowe</w:t>
            </w:r>
            <w:r w:rsidR="00A54C96" w:rsidRPr="00565D70">
              <w:rPr>
                <w:rFonts w:cstheme="minorHAnsi"/>
                <w:sz w:val="24"/>
                <w:szCs w:val="24"/>
              </w:rPr>
              <w:t>j</w:t>
            </w:r>
            <w:r w:rsidRPr="00565D70">
              <w:rPr>
                <w:rFonts w:cstheme="minorHAnsi"/>
                <w:sz w:val="24"/>
                <w:szCs w:val="24"/>
              </w:rPr>
              <w:t xml:space="preserve"> P&amp;R oraz B&amp;R przy Dworcu Kolejowym w Oławie</w:t>
            </w:r>
          </w:p>
        </w:tc>
      </w:tr>
      <w:tr w:rsidR="00AA637C" w:rsidRPr="00565D70" w:rsidTr="00D06821">
        <w:tc>
          <w:tcPr>
            <w:tcW w:w="1696"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366" w:type="dxa"/>
            <w:vAlign w:val="center"/>
          </w:tcPr>
          <w:p w:rsidR="00AA637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RSO2.8. Wspieranie zrównoważonej multimodalnej mobilności miejskiej jako elementu transformacji w kierunku gospodarki </w:t>
            </w:r>
            <w:proofErr w:type="spellStart"/>
            <w:r w:rsidRPr="00565D70">
              <w:rPr>
                <w:rFonts w:ascii="Calibri" w:eastAsia="Calibri" w:hAnsi="Calibri" w:cs="Times New Roman"/>
                <w:b/>
                <w:sz w:val="24"/>
                <w:szCs w:val="24"/>
              </w:rPr>
              <w:t>zeroemisyjnej</w:t>
            </w:r>
            <w:proofErr w:type="spellEnd"/>
          </w:p>
        </w:tc>
      </w:tr>
      <w:tr w:rsidR="00AA637C" w:rsidRPr="00565D70" w:rsidTr="00D06821">
        <w:tc>
          <w:tcPr>
            <w:tcW w:w="1696"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366" w:type="dxa"/>
          </w:tcPr>
          <w:p w:rsidR="00AF28BF" w:rsidRPr="00565D70" w:rsidRDefault="00D61B18" w:rsidP="00565D70">
            <w:pPr>
              <w:spacing w:line="240" w:lineRule="auto"/>
              <w:jc w:val="left"/>
              <w:rPr>
                <w:rFonts w:cs="Arial"/>
                <w:bCs/>
                <w:sz w:val="24"/>
                <w:szCs w:val="24"/>
              </w:rPr>
            </w:pPr>
            <w:r w:rsidRPr="00565D70">
              <w:rPr>
                <w:rFonts w:cs="Arial"/>
                <w:bCs/>
                <w:sz w:val="24"/>
                <w:szCs w:val="24"/>
              </w:rPr>
              <w:t xml:space="preserve">Budowa centrów przystankowych obejmujących parkingi P&amp;R i towarzyszącą im infrastrukturę, w tym m.in. B&amp;R, oświetlenie,  kanalizacje deszczową, budowę infrastruktury drogowej (drogi, ciągi pieszo - rowerowe) oraz, w niektórych lokalizacjach, elementy informacji, monitoringu i nadzoru, zapewni przewagę konkurencyjną transportu publicznego nad indywidualnym transportem samochodowym. Tworzenie  jednolitej i powszechnie dostępnej na terenie całego obszaru WrOF sieci centrów przesiadkowych integrujących różne środki transportu staje się obecnie priorytetem w walce z niską emisją oraz aglomeracyjnymi problemami komunikacyjnymi. </w:t>
            </w:r>
            <w:r w:rsidR="00A42344" w:rsidRPr="00565D70">
              <w:rPr>
                <w:rFonts w:cs="Arial"/>
                <w:bCs/>
                <w:sz w:val="24"/>
                <w:szCs w:val="24"/>
              </w:rPr>
              <w:t>Projekty  wchodzące w skład wiązki mają wpływ na więcej niż jedną gminę we WrOF ponieważ budowa centrów/węzłów przesiadkowych, w tym przy dworcach PKP, przystankach komunikacji autobusowej,  umożliwi mieszkańcom WrOF korzystanie ze zintegrowanych  form transportu  na  obszarze ZIT i podniesie poziom wewnętrznego skomunikowania gmin.</w:t>
            </w:r>
            <w:r w:rsidR="00746757" w:rsidRPr="00565D70">
              <w:rPr>
                <w:rFonts w:cs="Arial"/>
                <w:bCs/>
                <w:sz w:val="24"/>
                <w:szCs w:val="24"/>
              </w:rPr>
              <w:t xml:space="preserve"> </w:t>
            </w:r>
            <w:r w:rsidRPr="00565D70">
              <w:rPr>
                <w:rFonts w:cs="Arial"/>
                <w:bCs/>
                <w:sz w:val="24"/>
                <w:szCs w:val="24"/>
              </w:rPr>
              <w:t xml:space="preserve">Ponadto przyczyni się do zatrzymania potoku osób chcących przemieszczać się do innej miejscowości, poprzez umożliwienie podróżnym pozostawienia pojazdu: samochodu, roweru  w miejscowości zamieszkania na P&amp;R lub B&amp;R  skorzystania z połączeń komunikacji publicznej. </w:t>
            </w:r>
          </w:p>
          <w:p w:rsidR="00AF28BF" w:rsidRPr="00565D70" w:rsidRDefault="00D61B18" w:rsidP="00565D70">
            <w:pPr>
              <w:spacing w:line="240" w:lineRule="auto"/>
              <w:jc w:val="left"/>
              <w:rPr>
                <w:rFonts w:cs="Arial"/>
                <w:bCs/>
                <w:sz w:val="24"/>
                <w:szCs w:val="24"/>
              </w:rPr>
            </w:pPr>
            <w:r w:rsidRPr="00565D70">
              <w:rPr>
                <w:rFonts w:cs="Arial"/>
                <w:bCs/>
                <w:sz w:val="24"/>
                <w:szCs w:val="24"/>
              </w:rPr>
              <w:t xml:space="preserve">Zaproponowana </w:t>
            </w:r>
            <w:r w:rsidRPr="00565D70">
              <w:rPr>
                <w:rFonts w:cs="Arial"/>
                <w:b/>
                <w:bCs/>
                <w:sz w:val="24"/>
                <w:szCs w:val="24"/>
              </w:rPr>
              <w:t>wiązka projektów</w:t>
            </w:r>
            <w:r w:rsidRPr="00565D70">
              <w:rPr>
                <w:rFonts w:cs="Arial"/>
                <w:bCs/>
                <w:sz w:val="24"/>
                <w:szCs w:val="24"/>
              </w:rPr>
              <w:t xml:space="preserve"> wykazuje pełną </w:t>
            </w:r>
            <w:r w:rsidRPr="00565D70">
              <w:rPr>
                <w:rFonts w:cs="Arial"/>
                <w:b/>
                <w:bCs/>
                <w:sz w:val="24"/>
                <w:szCs w:val="24"/>
              </w:rPr>
              <w:t>wewnętrzną  komplementarność i synergię w zakresie tematycznym</w:t>
            </w:r>
            <w:r w:rsidRPr="00565D70">
              <w:rPr>
                <w:rFonts w:cs="Arial"/>
                <w:bCs/>
                <w:sz w:val="24"/>
                <w:szCs w:val="24"/>
              </w:rPr>
              <w:t>,  gdyż przedmiotem projektów jest  budowa centrów przes</w:t>
            </w:r>
            <w:r w:rsidR="00063259" w:rsidRPr="00565D70">
              <w:rPr>
                <w:rFonts w:cs="Arial"/>
                <w:bCs/>
                <w:sz w:val="24"/>
                <w:szCs w:val="24"/>
              </w:rPr>
              <w:t>iadkowych wraz z m.in. P&amp;R, B&amp;R</w:t>
            </w:r>
            <w:r w:rsidRPr="00565D70">
              <w:rPr>
                <w:rFonts w:cs="Arial"/>
                <w:bCs/>
                <w:sz w:val="24"/>
                <w:szCs w:val="24"/>
              </w:rPr>
              <w:t xml:space="preserve">, odwodnieniem, oświetleniem  i inną niezbędną infrastrukturą </w:t>
            </w:r>
            <w:r w:rsidRPr="00565D70">
              <w:rPr>
                <w:rFonts w:cs="Arial"/>
                <w:b/>
                <w:bCs/>
                <w:sz w:val="24"/>
                <w:szCs w:val="24"/>
              </w:rPr>
              <w:t>oraz w zakresie obszarowym</w:t>
            </w:r>
            <w:r w:rsidRPr="00565D70">
              <w:rPr>
                <w:rFonts w:cs="Arial"/>
                <w:bCs/>
                <w:sz w:val="24"/>
                <w:szCs w:val="24"/>
              </w:rPr>
              <w:t xml:space="preserve">, ponieważ  rzeczowa realizacja projektów zaplanowana jest  na terenie gmin  ZIT WrOF oraz obszarze,  dla którego opracowano  PZM MOFW. </w:t>
            </w:r>
          </w:p>
          <w:p w:rsidR="00AF28BF" w:rsidRPr="00565D70" w:rsidRDefault="00D61B18" w:rsidP="00565D70">
            <w:pPr>
              <w:spacing w:line="240" w:lineRule="auto"/>
              <w:jc w:val="left"/>
              <w:rPr>
                <w:rFonts w:cs="Arial"/>
                <w:bCs/>
                <w:sz w:val="24"/>
                <w:szCs w:val="24"/>
              </w:rPr>
            </w:pPr>
            <w:r w:rsidRPr="00565D70">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5255DE" w:rsidRPr="00565D70" w:rsidRDefault="005255DE" w:rsidP="00565D70">
            <w:pPr>
              <w:pStyle w:val="Default"/>
            </w:pPr>
            <w:r w:rsidRPr="00565D70">
              <w:t xml:space="preserve">Wiązka projektów  spełnia  warunki  projektu zintegrowanego tj. stanowi grupę projektów powiązanych ze sobą merytorycznie (zawiera podobne typy  projektów) oraz funkcjonalnie (zintegrowany wpływ realizacji </w:t>
            </w:r>
            <w:r w:rsidR="00746757" w:rsidRPr="00565D70">
              <w:t>projektów  na obszar  ZIT).  Na </w:t>
            </w:r>
            <w:r w:rsidRPr="00565D70">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9B5180" w:rsidRPr="00565D70" w:rsidRDefault="00D61B18" w:rsidP="00565D70">
            <w:pPr>
              <w:pStyle w:val="Default"/>
              <w:rPr>
                <w:rFonts w:asciiTheme="minorHAnsi" w:hAnsiTheme="minorHAnsi" w:cs="Arial"/>
                <w:bCs/>
                <w:color w:val="auto"/>
              </w:rPr>
            </w:pPr>
            <w:r w:rsidRPr="00565D70">
              <w:rPr>
                <w:rFonts w:asciiTheme="minorHAnsi" w:hAnsiTheme="minorHAnsi" w:cs="Arial"/>
                <w:bCs/>
                <w:color w:val="auto"/>
              </w:rPr>
              <w:t>Realizacja projektów stanowiących wiązkę wynika z części kierunkowej Strategii ZIT WrOF,  tj.:</w:t>
            </w:r>
          </w:p>
          <w:p w:rsidR="00AF28BF" w:rsidRPr="00565D70" w:rsidRDefault="00D61B18" w:rsidP="00565D70">
            <w:pPr>
              <w:pStyle w:val="Default"/>
              <w:rPr>
                <w:rFonts w:asciiTheme="minorHAnsi" w:hAnsiTheme="minorHAnsi" w:cs="Arial"/>
                <w:b/>
                <w:bCs/>
                <w:color w:val="auto"/>
              </w:rPr>
            </w:pPr>
            <w:r w:rsidRPr="00565D70">
              <w:rPr>
                <w:rFonts w:asciiTheme="minorHAnsi" w:hAnsiTheme="minorHAnsi" w:cs="Arial"/>
                <w:b/>
                <w:bCs/>
                <w:color w:val="auto"/>
              </w:rPr>
              <w:t>Cel strategiczny 3- Ochrona środowiska naturalnego i adaptacja WrOF do zmian</w:t>
            </w:r>
            <w:r w:rsidR="00746757" w:rsidRPr="00565D70">
              <w:rPr>
                <w:rFonts w:asciiTheme="minorHAnsi" w:hAnsiTheme="minorHAnsi" w:cs="Arial"/>
                <w:b/>
                <w:bCs/>
                <w:color w:val="auto"/>
              </w:rPr>
              <w:t xml:space="preserve"> </w:t>
            </w:r>
            <w:r w:rsidR="009D3AAC" w:rsidRPr="00565D70">
              <w:rPr>
                <w:rFonts w:asciiTheme="minorHAnsi" w:hAnsiTheme="minorHAnsi" w:cs="Arial"/>
                <w:b/>
                <w:bCs/>
                <w:color w:val="auto"/>
              </w:rPr>
              <w:t xml:space="preserve">klimatu </w:t>
            </w:r>
          </w:p>
          <w:p w:rsidR="00AF28BF" w:rsidRPr="00565D70" w:rsidRDefault="00D61B18" w:rsidP="00565D70">
            <w:pPr>
              <w:pStyle w:val="Default"/>
              <w:rPr>
                <w:rFonts w:asciiTheme="minorHAnsi" w:hAnsiTheme="minorHAnsi" w:cs="Arial"/>
                <w:b/>
                <w:color w:val="auto"/>
              </w:rPr>
            </w:pPr>
            <w:r w:rsidRPr="00565D70">
              <w:rPr>
                <w:rFonts w:asciiTheme="minorHAnsi" w:hAnsiTheme="minorHAnsi" w:cs="Arial"/>
                <w:b/>
                <w:color w:val="auto"/>
              </w:rPr>
              <w:t xml:space="preserve">Priorytet 13. Zrównoważona mobilność </w:t>
            </w:r>
          </w:p>
          <w:p w:rsidR="00AF28BF" w:rsidRPr="00565D70" w:rsidRDefault="00D61B18" w:rsidP="00565D70">
            <w:pPr>
              <w:pStyle w:val="Default"/>
              <w:rPr>
                <w:rFonts w:asciiTheme="minorHAnsi" w:hAnsiTheme="minorHAnsi" w:cs="Arial"/>
                <w:b/>
                <w:bCs/>
                <w:color w:val="auto"/>
              </w:rPr>
            </w:pPr>
            <w:r w:rsidRPr="00565D70">
              <w:rPr>
                <w:rFonts w:asciiTheme="minorHAnsi" w:hAnsiTheme="minorHAnsi" w:cs="Arial"/>
                <w:b/>
                <w:bCs/>
                <w:color w:val="auto"/>
              </w:rPr>
              <w:t>Kierunek działania 13.2  Rozwój infrastruktury i działań wspierających osiągnięcie zrównoważonej mobilności</w:t>
            </w:r>
          </w:p>
          <w:p w:rsidR="00D54FEC" w:rsidRPr="00565D70" w:rsidRDefault="00D54FEC" w:rsidP="00565D70">
            <w:pPr>
              <w:pStyle w:val="Default"/>
              <w:keepNext/>
              <w:keepLines/>
              <w:spacing w:before="40"/>
              <w:outlineLvl w:val="2"/>
              <w:rPr>
                <w:rFonts w:asciiTheme="minorHAnsi" w:hAnsiTheme="minorHAnsi"/>
                <w:color w:val="FF0000"/>
              </w:rPr>
            </w:pPr>
          </w:p>
          <w:p w:rsidR="00A1431D" w:rsidRDefault="00D61B18" w:rsidP="00565D70">
            <w:pPr>
              <w:spacing w:line="240" w:lineRule="auto"/>
              <w:jc w:val="left"/>
              <w:rPr>
                <w:rFonts w:cs="Arial"/>
                <w:sz w:val="24"/>
                <w:szCs w:val="24"/>
              </w:rPr>
            </w:pPr>
            <w:r w:rsidRPr="00565D70">
              <w:rPr>
                <w:rFonts w:cs="Arial"/>
                <w:bCs/>
                <w:sz w:val="24"/>
                <w:szCs w:val="24"/>
              </w:rPr>
              <w:t>Natomiast w</w:t>
            </w:r>
            <w:r w:rsidR="00746757" w:rsidRPr="00565D70">
              <w:rPr>
                <w:rFonts w:cs="Arial"/>
                <w:bCs/>
                <w:sz w:val="24"/>
                <w:szCs w:val="24"/>
              </w:rPr>
              <w:t xml:space="preserve"> </w:t>
            </w:r>
            <w:r w:rsidR="0089002E" w:rsidRPr="00565D70">
              <w:rPr>
                <w:rFonts w:cs="Arial"/>
                <w:b/>
                <w:bCs/>
                <w:sz w:val="24"/>
                <w:szCs w:val="24"/>
              </w:rPr>
              <w:t>części  II.</w:t>
            </w:r>
            <w:r w:rsidR="00746757" w:rsidRPr="00565D70">
              <w:rPr>
                <w:rFonts w:cs="Arial"/>
                <w:b/>
                <w:bCs/>
                <w:sz w:val="24"/>
                <w:szCs w:val="24"/>
              </w:rPr>
              <w:t xml:space="preserve"> </w:t>
            </w:r>
            <w:r w:rsidRPr="00565D70">
              <w:rPr>
                <w:rFonts w:cs="Arial"/>
                <w:b/>
                <w:sz w:val="24"/>
                <w:szCs w:val="24"/>
              </w:rPr>
              <w:t>Synteza diagnozy strategicznej obszaru WrOF</w:t>
            </w:r>
            <w:r w:rsidRPr="00565D70">
              <w:rPr>
                <w:rFonts w:cs="Arial"/>
                <w:bCs/>
                <w:sz w:val="24"/>
                <w:szCs w:val="24"/>
              </w:rPr>
              <w:t xml:space="preserve">, w opisie analizy </w:t>
            </w:r>
            <w:r w:rsidR="00523090" w:rsidRPr="00565D70">
              <w:rPr>
                <w:rFonts w:cs="Arial"/>
                <w:b/>
                <w:bCs/>
                <w:sz w:val="24"/>
                <w:szCs w:val="24"/>
              </w:rPr>
              <w:t>mobilności</w:t>
            </w:r>
            <w:r w:rsidR="00746757" w:rsidRPr="00565D70">
              <w:rPr>
                <w:rFonts w:cs="Arial"/>
                <w:b/>
                <w:bCs/>
                <w:sz w:val="24"/>
                <w:szCs w:val="24"/>
              </w:rPr>
              <w:t xml:space="preserve"> </w:t>
            </w:r>
            <w:r w:rsidRPr="00565D70">
              <w:rPr>
                <w:rFonts w:cs="Arial"/>
                <w:bCs/>
                <w:sz w:val="24"/>
                <w:szCs w:val="24"/>
              </w:rPr>
              <w:t>wskazano, iż mimo</w:t>
            </w:r>
            <w:r w:rsidRPr="00565D70">
              <w:rPr>
                <w:rFonts w:cs="Arial"/>
                <w:sz w:val="24"/>
                <w:szCs w:val="24"/>
              </w:rPr>
              <w:t xml:space="preserve"> dostępn</w:t>
            </w:r>
            <w:r w:rsidR="00746757" w:rsidRPr="00565D70">
              <w:rPr>
                <w:rFonts w:cs="Arial"/>
                <w:sz w:val="24"/>
                <w:szCs w:val="24"/>
              </w:rPr>
              <w:t>ości komunikacyjnej obszaru  (z </w:t>
            </w:r>
            <w:r w:rsidRPr="00565D70">
              <w:rPr>
                <w:rFonts w:cs="Arial"/>
                <w:sz w:val="24"/>
                <w:szCs w:val="24"/>
              </w:rPr>
              <w:t>uwagi na obecność wielu systemów transportu: drogowego, kolejowego,</w:t>
            </w:r>
            <w:r w:rsidR="0089002E" w:rsidRPr="00565D70">
              <w:rPr>
                <w:rFonts w:cs="Arial"/>
                <w:sz w:val="24"/>
                <w:szCs w:val="24"/>
              </w:rPr>
              <w:t xml:space="preserve"> tramwajowego,</w:t>
            </w:r>
            <w:r w:rsidRPr="00565D70">
              <w:rPr>
                <w:rFonts w:cs="Arial"/>
                <w:sz w:val="24"/>
                <w:szCs w:val="24"/>
              </w:rPr>
              <w:t xml:space="preserve"> lotniczego i rowerowego)nadal występuje problem niedostatecznego poziomu skomunikowania wewnątrz gmin WrOF .</w:t>
            </w:r>
          </w:p>
          <w:p w:rsidR="00AF28BF" w:rsidRPr="00565D70" w:rsidRDefault="00A1431D" w:rsidP="00565D70">
            <w:pPr>
              <w:spacing w:line="240" w:lineRule="auto"/>
              <w:jc w:val="left"/>
              <w:rPr>
                <w:rFonts w:cs="Arial"/>
                <w:b/>
                <w:sz w:val="24"/>
                <w:szCs w:val="24"/>
              </w:rPr>
            </w:pPr>
            <w:r w:rsidRPr="00565D70">
              <w:rPr>
                <w:rFonts w:cs="Arial"/>
                <w:b/>
                <w:sz w:val="24"/>
                <w:szCs w:val="24"/>
              </w:rPr>
              <w:t xml:space="preserve"> </w:t>
            </w:r>
            <w:r w:rsidR="00D61B18" w:rsidRPr="00565D70">
              <w:rPr>
                <w:rFonts w:cs="Arial"/>
                <w:b/>
                <w:sz w:val="24"/>
                <w:szCs w:val="24"/>
              </w:rPr>
              <w:t>Kluczowe wyzwania strategiczne</w:t>
            </w:r>
          </w:p>
          <w:p w:rsidR="00AF28BF" w:rsidRPr="00565D70" w:rsidRDefault="00D61B18" w:rsidP="00565D70">
            <w:pPr>
              <w:spacing w:line="240" w:lineRule="auto"/>
              <w:jc w:val="left"/>
              <w:rPr>
                <w:b/>
                <w:sz w:val="24"/>
                <w:szCs w:val="24"/>
              </w:rPr>
            </w:pPr>
            <w:r w:rsidRPr="00565D70">
              <w:rPr>
                <w:b/>
                <w:sz w:val="24"/>
                <w:szCs w:val="24"/>
              </w:rPr>
              <w:t>Rozwój infrastruktury przesiadkowej, parkingów Park&amp;Ride oraz Bike&amp;Ride uwzględniający łączenie podróży realizowanych środkami transportu indywidualnego (samochód, rower) z komunikacją zbiorową</w:t>
            </w:r>
          </w:p>
          <w:p w:rsidR="00AF28BF" w:rsidRPr="00565D70" w:rsidRDefault="00AF28BF" w:rsidP="00565D70">
            <w:pPr>
              <w:pStyle w:val="Nagwek2"/>
              <w:spacing w:before="0" w:line="240" w:lineRule="auto"/>
              <w:jc w:val="left"/>
              <w:outlineLvl w:val="1"/>
              <w:rPr>
                <w:rFonts w:asciiTheme="minorHAnsi" w:hAnsiTheme="minorHAnsi" w:cstheme="minorHAnsi"/>
                <w:color w:val="auto"/>
                <w:sz w:val="24"/>
                <w:szCs w:val="24"/>
              </w:rPr>
            </w:pPr>
          </w:p>
          <w:p w:rsidR="00AF28BF" w:rsidRPr="00565D70" w:rsidRDefault="00D61B18" w:rsidP="00565D70">
            <w:pPr>
              <w:spacing w:line="240" w:lineRule="auto"/>
              <w:jc w:val="left"/>
              <w:rPr>
                <w:sz w:val="24"/>
                <w:szCs w:val="24"/>
              </w:rPr>
            </w:pPr>
            <w:r w:rsidRPr="00565D70">
              <w:rPr>
                <w:rFonts w:cs="Arial"/>
                <w:bCs/>
                <w:sz w:val="24"/>
                <w:szCs w:val="24"/>
              </w:rPr>
              <w:t xml:space="preserve">Ponadto wiązka </w:t>
            </w:r>
            <w:r w:rsidRPr="00565D70">
              <w:rPr>
                <w:rFonts w:cs="Arial"/>
                <w:b/>
                <w:bCs/>
                <w:sz w:val="24"/>
                <w:szCs w:val="24"/>
              </w:rPr>
              <w:t xml:space="preserve">realizuje zapisy PZM MOFW.  </w:t>
            </w:r>
          </w:p>
          <w:p w:rsidR="00AF28BF" w:rsidRPr="00565D70" w:rsidRDefault="00D61B18" w:rsidP="00565D70">
            <w:pPr>
              <w:spacing w:line="240" w:lineRule="auto"/>
              <w:jc w:val="left"/>
              <w:rPr>
                <w:rFonts w:cs="Arial"/>
                <w:sz w:val="24"/>
                <w:szCs w:val="24"/>
              </w:rPr>
            </w:pPr>
            <w:r w:rsidRPr="00565D70">
              <w:rPr>
                <w:rFonts w:cs="Arial"/>
                <w:bCs/>
                <w:sz w:val="24"/>
                <w:szCs w:val="24"/>
              </w:rPr>
              <w:t>Zaproponowane w powyższej wiązce projekty w</w:t>
            </w:r>
            <w:r w:rsidR="00173E0D" w:rsidRPr="00565D70">
              <w:rPr>
                <w:rFonts w:cs="Arial"/>
                <w:bCs/>
                <w:sz w:val="24"/>
                <w:szCs w:val="24"/>
              </w:rPr>
              <w:t>prost odpowiadają na wyzwania i </w:t>
            </w:r>
            <w:r w:rsidRPr="00565D70">
              <w:rPr>
                <w:rFonts w:cs="Arial"/>
                <w:bCs/>
                <w:sz w:val="24"/>
                <w:szCs w:val="24"/>
              </w:rPr>
              <w:t xml:space="preserve">cele zwarte w </w:t>
            </w:r>
            <w:r w:rsidRPr="00565D70">
              <w:rPr>
                <w:rFonts w:cs="Arial"/>
                <w:bCs/>
                <w:sz w:val="24"/>
                <w:szCs w:val="24"/>
                <w:u w:val="single"/>
              </w:rPr>
              <w:t>PZM MOFW, który integruje wszystkie działania dotyczące mobilności na terenie  MOFW.</w:t>
            </w:r>
          </w:p>
          <w:p w:rsidR="00AF28BF" w:rsidRPr="00565D70" w:rsidRDefault="00D61B18" w:rsidP="00565D70">
            <w:pPr>
              <w:spacing w:line="240" w:lineRule="auto"/>
              <w:jc w:val="left"/>
              <w:rPr>
                <w:rFonts w:cs="Arial"/>
                <w:bCs/>
                <w:sz w:val="24"/>
                <w:szCs w:val="24"/>
              </w:rPr>
            </w:pPr>
            <w:r w:rsidRPr="00565D70">
              <w:rPr>
                <w:rFonts w:cs="Arial"/>
                <w:bCs/>
                <w:sz w:val="24"/>
                <w:szCs w:val="24"/>
              </w:rPr>
              <w:t xml:space="preserve">Budowa parkingów P&amp;R wpisuje się w Cel nadrzędny PZM MOFW tj. </w:t>
            </w:r>
            <w:r w:rsidRPr="00565D70">
              <w:rPr>
                <w:rFonts w:cs="Arial"/>
                <w:b/>
                <w:sz w:val="24"/>
                <w:szCs w:val="24"/>
              </w:rPr>
              <w:t xml:space="preserve">Poprawa dostępności transportowej. </w:t>
            </w:r>
            <w:r w:rsidRPr="00565D70">
              <w:rPr>
                <w:rFonts w:cs="Arial"/>
                <w:sz w:val="24"/>
                <w:szCs w:val="24"/>
              </w:rPr>
              <w:t xml:space="preserve">Ponadto </w:t>
            </w:r>
            <w:r w:rsidRPr="00565D70">
              <w:rPr>
                <w:rFonts w:cs="Arial"/>
                <w:bCs/>
                <w:sz w:val="24"/>
                <w:szCs w:val="24"/>
              </w:rPr>
              <w:t>jest</w:t>
            </w:r>
            <w:r w:rsidR="00746757" w:rsidRPr="00565D70">
              <w:rPr>
                <w:rFonts w:cs="Arial"/>
                <w:bCs/>
                <w:sz w:val="24"/>
                <w:szCs w:val="24"/>
              </w:rPr>
              <w:t xml:space="preserve"> </w:t>
            </w:r>
            <w:r w:rsidRPr="00565D70">
              <w:rPr>
                <w:rFonts w:cs="Arial"/>
                <w:bCs/>
                <w:sz w:val="24"/>
                <w:szCs w:val="24"/>
              </w:rPr>
              <w:t xml:space="preserve">ona wprost ujęta w Celu szczegółowym 2: </w:t>
            </w:r>
            <w:r w:rsidRPr="00565D70">
              <w:rPr>
                <w:rFonts w:cs="Arial"/>
                <w:b/>
                <w:bCs/>
                <w:sz w:val="24"/>
                <w:szCs w:val="24"/>
              </w:rPr>
              <w:t xml:space="preserve">Zwiększenie konkurencyjności transportu </w:t>
            </w:r>
            <w:proofErr w:type="spellStart"/>
            <w:r w:rsidRPr="00565D70">
              <w:rPr>
                <w:rFonts w:cs="Arial"/>
                <w:b/>
                <w:bCs/>
                <w:sz w:val="24"/>
                <w:szCs w:val="24"/>
              </w:rPr>
              <w:t>niesamochodowego</w:t>
            </w:r>
            <w:proofErr w:type="spellEnd"/>
            <w:r w:rsidRPr="00565D70">
              <w:rPr>
                <w:rFonts w:cs="Arial"/>
                <w:b/>
                <w:bCs/>
                <w:sz w:val="24"/>
                <w:szCs w:val="24"/>
              </w:rPr>
              <w:t xml:space="preserve"> w codziennych przemieszczeniach w obszarze MOFW</w:t>
            </w:r>
            <w:r w:rsidRPr="00565D70">
              <w:rPr>
                <w:rFonts w:cs="Arial"/>
                <w:bCs/>
                <w:sz w:val="24"/>
                <w:szCs w:val="24"/>
              </w:rPr>
              <w:t xml:space="preserve">, gdzie jednym z </w:t>
            </w:r>
            <w:r w:rsidRPr="00565D70">
              <w:rPr>
                <w:rFonts w:cs="Arial"/>
                <w:b/>
                <w:bCs/>
                <w:sz w:val="24"/>
                <w:szCs w:val="24"/>
              </w:rPr>
              <w:t>pakietów działań</w:t>
            </w:r>
            <w:r w:rsidR="00173E0D" w:rsidRPr="00565D70">
              <w:rPr>
                <w:rFonts w:cs="Arial"/>
                <w:bCs/>
                <w:sz w:val="24"/>
                <w:szCs w:val="24"/>
              </w:rPr>
              <w:t xml:space="preserve"> o </w:t>
            </w:r>
            <w:r w:rsidRPr="00565D70">
              <w:rPr>
                <w:rFonts w:cs="Arial"/>
                <w:bCs/>
                <w:sz w:val="24"/>
                <w:szCs w:val="24"/>
              </w:rPr>
              <w:t xml:space="preserve">wysokim priorytecie realizacji  jest „Sieć parkingów Park&amp;Ride”. </w:t>
            </w:r>
          </w:p>
          <w:p w:rsidR="00AF28BF" w:rsidRPr="00565D70" w:rsidRDefault="00D61B18" w:rsidP="00565D70">
            <w:pPr>
              <w:pStyle w:val="Default"/>
              <w:rPr>
                <w:rFonts w:asciiTheme="minorHAnsi" w:hAnsiTheme="minorHAnsi" w:cstheme="minorBidi"/>
                <w:color w:val="auto"/>
              </w:rPr>
            </w:pPr>
            <w:r w:rsidRPr="00565D70">
              <w:rPr>
                <w:rFonts w:asciiTheme="minorHAnsi" w:hAnsiTheme="minorHAnsi" w:cs="Arial"/>
                <w:bCs/>
              </w:rPr>
              <w:t xml:space="preserve">W </w:t>
            </w:r>
            <w:r w:rsidRPr="00565D70">
              <w:rPr>
                <w:rFonts w:asciiTheme="minorHAnsi" w:hAnsiTheme="minorHAnsi" w:cs="Arial"/>
                <w:b/>
                <w:bCs/>
              </w:rPr>
              <w:t>Rekomendacjach</w:t>
            </w:r>
            <w:r w:rsidRPr="00565D70">
              <w:rPr>
                <w:rFonts w:asciiTheme="minorHAnsi" w:hAnsiTheme="minorHAnsi" w:cs="Arial"/>
                <w:bCs/>
              </w:rPr>
              <w:t xml:space="preserve"> wykazana jest konieczność  budowy węzłów przesiadkowych w powiązaniu z główną  stacją kolejową w miastach satelickich oraz, w pozostałych gminach, </w:t>
            </w:r>
            <w:r w:rsidRPr="00565D70">
              <w:rPr>
                <w:rFonts w:asciiTheme="minorHAnsi" w:hAnsiTheme="minorHAnsi"/>
              </w:rPr>
              <w:t xml:space="preserve">budowa parkingów w systemie P&amp;R przy węźle głównym oraz w formie parkingów przesiadkowych towarzyszących przy węzłach pomocniczych, zależnie od potrzeb. </w:t>
            </w:r>
          </w:p>
          <w:p w:rsidR="00AF28BF" w:rsidRPr="00565D70" w:rsidRDefault="00AF28BF" w:rsidP="00565D70">
            <w:pPr>
              <w:pStyle w:val="Default"/>
              <w:keepNext/>
              <w:keepLines/>
              <w:spacing w:before="40"/>
              <w:outlineLvl w:val="2"/>
              <w:rPr>
                <w:rFonts w:asciiTheme="minorHAnsi" w:hAnsiTheme="minorHAnsi" w:cstheme="minorBidi"/>
                <w:color w:val="auto"/>
              </w:rPr>
            </w:pPr>
          </w:p>
          <w:p w:rsidR="00AA637C" w:rsidRPr="00565D70" w:rsidRDefault="00D61B18" w:rsidP="00565D70">
            <w:pPr>
              <w:spacing w:line="240" w:lineRule="auto"/>
              <w:jc w:val="left"/>
              <w:rPr>
                <w:rFonts w:cs="Arial"/>
                <w:bCs/>
                <w:sz w:val="24"/>
                <w:szCs w:val="24"/>
              </w:rPr>
            </w:pPr>
            <w:r w:rsidRPr="00565D70">
              <w:rPr>
                <w:rFonts w:cs="Arial"/>
                <w:bCs/>
                <w:sz w:val="24"/>
                <w:szCs w:val="24"/>
              </w:rPr>
              <w:t>W PZM MOFW wskazano, że Parkingi Park&amp;Ride zapewnią przewagę konkurencyjną nad samochodem, dlatego tworzenie jednolitej i powszechnie dostępnej sieci parkingów P&amp;R na terenie całego obszaru MOFW powinno być wprowadzane w pełnej integracji taryfowej z systemem transportu publicznego na terenie MOFW.</w:t>
            </w:r>
            <w:r w:rsidR="00746757" w:rsidRPr="00565D70">
              <w:rPr>
                <w:rFonts w:cs="Arial"/>
                <w:bCs/>
                <w:sz w:val="24"/>
                <w:szCs w:val="24"/>
              </w:rPr>
              <w:t xml:space="preserve"> </w:t>
            </w:r>
            <w:r w:rsidRPr="00565D70">
              <w:rPr>
                <w:rFonts w:cs="Arial"/>
                <w:bCs/>
                <w:sz w:val="24"/>
                <w:szCs w:val="24"/>
              </w:rPr>
              <w:t>Przedmiotowe parkingi</w:t>
            </w:r>
            <w:r w:rsidR="00173E0D" w:rsidRPr="00565D70">
              <w:rPr>
                <w:rFonts w:cs="Arial"/>
                <w:bCs/>
                <w:sz w:val="24"/>
                <w:szCs w:val="24"/>
              </w:rPr>
              <w:t xml:space="preserve"> powinny być także wyposażone w </w:t>
            </w:r>
            <w:r w:rsidRPr="00565D70">
              <w:rPr>
                <w:rFonts w:cs="Arial"/>
                <w:bCs/>
                <w:sz w:val="24"/>
                <w:szCs w:val="24"/>
              </w:rPr>
              <w:t>zadaszone miejsca postojowe dla rowerów (Bike&amp;Ride). Takie parkingi powinny być integralną częścią węzłów przesiadkowych nadrzędnych oraz głównych jako element integrujący transport indywidualny i zbiorowy oraz  stanowić ważne punkty styczne dla innych systemów, w szczególności rowerowego.  Dojazd rowerowy do miejsc węzłowych należałoby umożliwić, łącząc węzeł przesiadkowy z przebiegającą w pobliżu główną trasą rowerową.</w:t>
            </w:r>
          </w:p>
        </w:tc>
      </w:tr>
    </w:tbl>
    <w:p w:rsidR="00565D70" w:rsidRDefault="00565D70" w:rsidP="00AA637C">
      <w:pPr>
        <w:spacing w:after="200" w:line="276" w:lineRule="auto"/>
        <w:jc w:val="left"/>
        <w:rPr>
          <w:rFonts w:ascii="Calibri" w:eastAsia="Calibri" w:hAnsi="Calibri" w:cs="Times New Roman"/>
          <w:sz w:val="16"/>
          <w:szCs w:val="16"/>
        </w:rPr>
      </w:pPr>
    </w:p>
    <w:tbl>
      <w:tblPr>
        <w:tblStyle w:val="Tabela-Siatka"/>
        <w:tblW w:w="0" w:type="auto"/>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Projekt zintegrowany z listy rezerwowej"/>
        <w:tblDescription w:val="Realizacja i aktualizacja  Planu Zrównoważonej Mobilności dla Miejskiego Obszaru Funkcjonalnego Wrocławia"/>
      </w:tblPr>
      <w:tblGrid>
        <w:gridCol w:w="1815"/>
        <w:gridCol w:w="7224"/>
      </w:tblGrid>
      <w:tr w:rsidR="00565D70" w:rsidRPr="00565D70" w:rsidTr="00565D70">
        <w:trPr>
          <w:trHeight w:val="20"/>
          <w:tblHeader/>
        </w:trPr>
        <w:tc>
          <w:tcPr>
            <w:tcW w:w="1815"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Projekt z</w:t>
            </w:r>
            <w:r>
              <w:rPr>
                <w:rFonts w:ascii="Calibri" w:eastAsia="Calibri" w:hAnsi="Calibri" w:cs="Times New Roman"/>
                <w:b/>
                <w:sz w:val="24"/>
                <w:szCs w:val="24"/>
              </w:rPr>
              <w:t>integrowany z listy rezerwowej</w:t>
            </w:r>
          </w:p>
        </w:tc>
        <w:tc>
          <w:tcPr>
            <w:tcW w:w="7224"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Realizacja i aktualizacja  Planu Zrównoważonej Mobilności dla Miejskiego Obszaru Funkcjonalnego Wrocławia</w:t>
            </w:r>
          </w:p>
        </w:tc>
      </w:tr>
      <w:tr w:rsidR="00AA637C" w:rsidRPr="00565D70" w:rsidTr="00565D70">
        <w:trPr>
          <w:trHeight w:val="20"/>
        </w:trPr>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224" w:type="dxa"/>
            <w:vAlign w:val="center"/>
          </w:tcPr>
          <w:p w:rsidR="00AA637C" w:rsidRPr="00565D70" w:rsidRDefault="00AA637C" w:rsidP="00565D70">
            <w:pPr>
              <w:spacing w:line="240" w:lineRule="auto"/>
              <w:jc w:val="left"/>
              <w:rPr>
                <w:rFonts w:eastAsia="Calibri" w:cstheme="minorHAnsi"/>
                <w:b/>
                <w:sz w:val="24"/>
                <w:szCs w:val="24"/>
              </w:rPr>
            </w:pPr>
            <w:r w:rsidRPr="00565D70">
              <w:rPr>
                <w:rFonts w:eastAsia="Calibri" w:cstheme="minorHAnsi"/>
                <w:b/>
                <w:sz w:val="24"/>
                <w:szCs w:val="24"/>
              </w:rPr>
              <w:t xml:space="preserve">RSO2.8. Wspieranie zrównoważonej multimodalnej mobilności miejskiej jako elementu transformacji w kierunku gospodarki </w:t>
            </w:r>
            <w:proofErr w:type="spellStart"/>
            <w:r w:rsidRPr="00565D70">
              <w:rPr>
                <w:rFonts w:eastAsia="Calibri" w:cstheme="minorHAnsi"/>
                <w:b/>
                <w:sz w:val="24"/>
                <w:szCs w:val="24"/>
              </w:rPr>
              <w:t>zeroemisyjnej</w:t>
            </w:r>
            <w:proofErr w:type="spellEnd"/>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projektu</w:t>
            </w:r>
          </w:p>
        </w:tc>
        <w:tc>
          <w:tcPr>
            <w:tcW w:w="7224" w:type="dxa"/>
            <w:vAlign w:val="center"/>
          </w:tcPr>
          <w:p w:rsidR="00AF28BF" w:rsidRPr="00565D70" w:rsidRDefault="00D61B18" w:rsidP="00565D70">
            <w:pPr>
              <w:spacing w:line="240" w:lineRule="auto"/>
              <w:jc w:val="left"/>
              <w:rPr>
                <w:rFonts w:cstheme="minorHAnsi"/>
                <w:b/>
                <w:bCs/>
                <w:sz w:val="24"/>
                <w:szCs w:val="24"/>
              </w:rPr>
            </w:pPr>
            <w:r w:rsidRPr="00565D70">
              <w:rPr>
                <w:rFonts w:cstheme="minorHAnsi"/>
                <w:bCs/>
                <w:color w:val="000000" w:themeColor="text1"/>
                <w:sz w:val="24"/>
                <w:szCs w:val="24"/>
              </w:rPr>
              <w:t>Projekt jest projektem zintegrowanym, gdyż wpisuje się w jego definicję, t</w:t>
            </w:r>
            <w:r w:rsidR="00063259" w:rsidRPr="00565D70">
              <w:rPr>
                <w:rFonts w:cstheme="minorHAnsi"/>
                <w:bCs/>
                <w:color w:val="000000" w:themeColor="text1"/>
                <w:sz w:val="24"/>
                <w:szCs w:val="24"/>
              </w:rPr>
              <w:t>j. </w:t>
            </w:r>
            <w:r w:rsidRPr="00565D70">
              <w:rPr>
                <w:rFonts w:cstheme="minorHAnsi"/>
                <w:bCs/>
                <w:color w:val="000000" w:themeColor="text1"/>
                <w:sz w:val="24"/>
                <w:szCs w:val="24"/>
              </w:rPr>
              <w:t>wpisuje się w cele rozwoju obszaru funkcjonal</w:t>
            </w:r>
            <w:r w:rsidR="00063259" w:rsidRPr="00565D70">
              <w:rPr>
                <w:rFonts w:cstheme="minorHAnsi"/>
                <w:bCs/>
                <w:color w:val="000000" w:themeColor="text1"/>
                <w:sz w:val="24"/>
                <w:szCs w:val="24"/>
              </w:rPr>
              <w:t>nego objętego instrumentem, tj. </w:t>
            </w:r>
            <w:r w:rsidRPr="00565D70">
              <w:rPr>
                <w:rFonts w:cstheme="minorHAnsi"/>
                <w:bCs/>
                <w:color w:val="000000" w:themeColor="text1"/>
                <w:sz w:val="24"/>
                <w:szCs w:val="24"/>
              </w:rPr>
              <w:t>Strategii ZIT WrOF, i jest ukierunkowany na rozwiązywanie wspólnych problemów  rozwojowych. Ponadto jego realiz</w:t>
            </w:r>
            <w:r w:rsidR="00063259" w:rsidRPr="00565D70">
              <w:rPr>
                <w:rFonts w:cstheme="minorHAnsi"/>
                <w:bCs/>
                <w:color w:val="000000" w:themeColor="text1"/>
                <w:sz w:val="24"/>
                <w:szCs w:val="24"/>
              </w:rPr>
              <w:t>acja jest uzasadniona zarówno w </w:t>
            </w:r>
            <w:r w:rsidRPr="00565D70">
              <w:rPr>
                <w:rFonts w:cstheme="minorHAnsi"/>
                <w:bCs/>
                <w:color w:val="000000" w:themeColor="text1"/>
                <w:sz w:val="24"/>
                <w:szCs w:val="24"/>
              </w:rPr>
              <w:t>części diagnostycznej, jak i kierunkowej strategii ZIT WrOF.</w:t>
            </w:r>
            <w:r w:rsidRPr="00565D70">
              <w:rPr>
                <w:rFonts w:cstheme="minorHAnsi"/>
                <w:b/>
                <w:bCs/>
                <w:sz w:val="24"/>
                <w:szCs w:val="24"/>
              </w:rPr>
              <w:t xml:space="preserve"> Projekty  ma wpływ na więcej niż jedną gminę we WrOF, poniewa</w:t>
            </w:r>
            <w:r w:rsidR="00746757" w:rsidRPr="00565D70">
              <w:rPr>
                <w:rFonts w:cstheme="minorHAnsi"/>
                <w:b/>
                <w:bCs/>
                <w:sz w:val="24"/>
                <w:szCs w:val="24"/>
              </w:rPr>
              <w:t>ż PZM MOFW obejmuje obszar 38 </w:t>
            </w:r>
            <w:r w:rsidRPr="00565D70">
              <w:rPr>
                <w:rFonts w:cstheme="minorHAnsi"/>
                <w:b/>
                <w:bCs/>
                <w:sz w:val="24"/>
                <w:szCs w:val="24"/>
              </w:rPr>
              <w:t xml:space="preserve">Gmin, w tym wszystkich w obszaru ZIT WrOF . </w:t>
            </w:r>
          </w:p>
          <w:p w:rsidR="00AF28BF" w:rsidRPr="00565D70" w:rsidRDefault="00D61B18" w:rsidP="00565D70">
            <w:pPr>
              <w:spacing w:line="240" w:lineRule="auto"/>
              <w:jc w:val="left"/>
              <w:rPr>
                <w:rFonts w:cstheme="minorHAnsi"/>
                <w:bCs/>
                <w:sz w:val="24"/>
                <w:szCs w:val="24"/>
              </w:rPr>
            </w:pPr>
            <w:r w:rsidRPr="00565D70">
              <w:rPr>
                <w:rFonts w:cstheme="minorHAnsi"/>
                <w:bCs/>
                <w:sz w:val="24"/>
                <w:szCs w:val="24"/>
              </w:rPr>
              <w:t xml:space="preserve">Zaproponowany </w:t>
            </w:r>
            <w:r w:rsidRPr="00565D70">
              <w:rPr>
                <w:rFonts w:cstheme="minorHAnsi"/>
                <w:b/>
                <w:bCs/>
                <w:sz w:val="24"/>
                <w:szCs w:val="24"/>
              </w:rPr>
              <w:t>projekt</w:t>
            </w:r>
            <w:r w:rsidR="00D76FDC" w:rsidRPr="00565D70">
              <w:rPr>
                <w:rFonts w:cstheme="minorHAnsi"/>
                <w:bCs/>
                <w:sz w:val="24"/>
                <w:szCs w:val="24"/>
              </w:rPr>
              <w:t xml:space="preserve"> wykazuje </w:t>
            </w:r>
            <w:r w:rsidRPr="00565D70">
              <w:rPr>
                <w:rFonts w:cstheme="minorHAnsi"/>
                <w:bCs/>
                <w:sz w:val="24"/>
                <w:szCs w:val="24"/>
              </w:rPr>
              <w:t xml:space="preserve">pełną </w:t>
            </w:r>
            <w:r w:rsidR="00063259" w:rsidRPr="00565D70">
              <w:rPr>
                <w:rFonts w:cstheme="minorHAnsi"/>
                <w:b/>
                <w:bCs/>
                <w:sz w:val="24"/>
                <w:szCs w:val="24"/>
              </w:rPr>
              <w:t>wewnętrzną  komplementarność i </w:t>
            </w:r>
            <w:r w:rsidRPr="00565D70">
              <w:rPr>
                <w:rFonts w:cstheme="minorHAnsi"/>
                <w:b/>
                <w:bCs/>
                <w:sz w:val="24"/>
                <w:szCs w:val="24"/>
              </w:rPr>
              <w:t>synergię w zakresie tematycznym</w:t>
            </w:r>
            <w:r w:rsidRPr="00565D70">
              <w:rPr>
                <w:rFonts w:cstheme="minorHAnsi"/>
                <w:bCs/>
                <w:sz w:val="24"/>
                <w:szCs w:val="24"/>
              </w:rPr>
              <w:t xml:space="preserve">,  gdyż przedmiotem projektu jest realizacja analiz i opracowań </w:t>
            </w:r>
            <w:r w:rsidR="00D76FDC" w:rsidRPr="00565D70">
              <w:rPr>
                <w:rFonts w:cstheme="minorHAnsi"/>
                <w:bCs/>
                <w:sz w:val="24"/>
                <w:szCs w:val="24"/>
              </w:rPr>
              <w:t>wynikających z m.in. r</w:t>
            </w:r>
            <w:r w:rsidRPr="00565D70">
              <w:rPr>
                <w:rFonts w:cstheme="minorHAnsi"/>
                <w:bCs/>
                <w:sz w:val="24"/>
                <w:szCs w:val="24"/>
              </w:rPr>
              <w:t>ekomend</w:t>
            </w:r>
            <w:r w:rsidR="00063259" w:rsidRPr="00565D70">
              <w:rPr>
                <w:rFonts w:cstheme="minorHAnsi"/>
                <w:bCs/>
                <w:sz w:val="24"/>
                <w:szCs w:val="24"/>
              </w:rPr>
              <w:t>acj</w:t>
            </w:r>
            <w:r w:rsidR="00D76FDC" w:rsidRPr="00565D70">
              <w:rPr>
                <w:rFonts w:cstheme="minorHAnsi"/>
                <w:bCs/>
                <w:sz w:val="24"/>
                <w:szCs w:val="24"/>
              </w:rPr>
              <w:t>i  dla obszaru PZM MOFW,</w:t>
            </w:r>
            <w:r w:rsidR="00746757" w:rsidRPr="00565D70">
              <w:rPr>
                <w:rFonts w:cstheme="minorHAnsi"/>
                <w:bCs/>
                <w:sz w:val="24"/>
                <w:szCs w:val="24"/>
              </w:rPr>
              <w:t xml:space="preserve"> </w:t>
            </w:r>
            <w:r w:rsidR="00D76FDC" w:rsidRPr="00565D70">
              <w:rPr>
                <w:rFonts w:cstheme="minorHAnsi"/>
                <w:bCs/>
                <w:sz w:val="24"/>
                <w:szCs w:val="24"/>
              </w:rPr>
              <w:t>planowanej</w:t>
            </w:r>
            <w:r w:rsidR="00D76FDC" w:rsidRPr="00565D70">
              <w:rPr>
                <w:rFonts w:cstheme="minorHAnsi"/>
                <w:color w:val="000000" w:themeColor="text1"/>
                <w:sz w:val="24"/>
                <w:szCs w:val="24"/>
              </w:rPr>
              <w:t xml:space="preserve"> aktualizacji wytycznych oraz rozporządzeń UE dotyczących PZM MOFW</w:t>
            </w:r>
            <w:r w:rsidR="00980E6E" w:rsidRPr="00565D70">
              <w:rPr>
                <w:rFonts w:cstheme="minorHAnsi"/>
                <w:color w:val="000000" w:themeColor="text1"/>
                <w:sz w:val="24"/>
                <w:szCs w:val="24"/>
              </w:rPr>
              <w:t xml:space="preserve">, </w:t>
            </w:r>
            <w:r w:rsidR="00D76FDC" w:rsidRPr="00565D70">
              <w:rPr>
                <w:rFonts w:cstheme="minorHAnsi"/>
                <w:color w:val="000000" w:themeColor="text1"/>
                <w:sz w:val="24"/>
                <w:szCs w:val="24"/>
              </w:rPr>
              <w:t xml:space="preserve"> które finalnie przyczynią się do zaktualizowania PZM MOFW. Dodatkowo   </w:t>
            </w:r>
            <w:r w:rsidR="008D2740" w:rsidRPr="00565D70">
              <w:rPr>
                <w:rFonts w:cstheme="minorHAnsi"/>
                <w:color w:val="000000"/>
                <w:sz w:val="24"/>
                <w:szCs w:val="24"/>
              </w:rPr>
              <w:t>w</w:t>
            </w:r>
            <w:r w:rsidR="008D2740" w:rsidRPr="00565D70">
              <w:rPr>
                <w:rFonts w:cstheme="minorHAnsi"/>
                <w:bCs/>
                <w:sz w:val="24"/>
                <w:szCs w:val="24"/>
              </w:rPr>
              <w:t xml:space="preserve"> celu wsparcia gmin w opracowaniu danych do corocznie raportowanego wykonania wskaźników oraz ujednolicenia metodyki pozyskiwania danych, planowane jest  wykonanie pomiarów niektórych wartości wskaźników z PZM MOFW  dla każdej z gmin.</w:t>
            </w:r>
          </w:p>
          <w:p w:rsidR="00AF28BF" w:rsidRPr="00565D70" w:rsidRDefault="00D61B18" w:rsidP="00565D70">
            <w:pPr>
              <w:pStyle w:val="Default"/>
              <w:rPr>
                <w:rFonts w:asciiTheme="minorHAnsi" w:hAnsiTheme="minorHAnsi" w:cstheme="minorHAnsi"/>
                <w:b/>
                <w:bCs/>
                <w:color w:val="auto"/>
              </w:rPr>
            </w:pPr>
            <w:r w:rsidRPr="00565D70">
              <w:rPr>
                <w:rFonts w:asciiTheme="minorHAnsi" w:hAnsiTheme="minorHAnsi" w:cstheme="minorHAnsi"/>
                <w:b/>
                <w:bCs/>
                <w:color w:val="auto"/>
              </w:rPr>
              <w:t xml:space="preserve">Projekt wynika  z części kierunkowej Strategii ZIT WrOF,  tj.: </w:t>
            </w:r>
          </w:p>
          <w:p w:rsidR="00AF28BF" w:rsidRPr="00565D70" w:rsidRDefault="00D61B18" w:rsidP="00565D70">
            <w:pPr>
              <w:pStyle w:val="Default"/>
              <w:rPr>
                <w:rFonts w:asciiTheme="minorHAnsi" w:hAnsiTheme="minorHAnsi" w:cstheme="minorHAnsi"/>
                <w:b/>
                <w:bCs/>
                <w:color w:val="auto"/>
              </w:rPr>
            </w:pPr>
            <w:r w:rsidRPr="00565D70">
              <w:rPr>
                <w:rFonts w:asciiTheme="minorHAnsi" w:hAnsiTheme="minorHAnsi" w:cstheme="minorHAnsi"/>
                <w:b/>
                <w:bCs/>
                <w:color w:val="auto"/>
              </w:rPr>
              <w:t>Cel strategiczny 3- Ochrona środowiska naturalnego i adaptacja WrOF do zmian</w:t>
            </w:r>
            <w:r w:rsidR="009D3AAC" w:rsidRPr="00565D70">
              <w:rPr>
                <w:rFonts w:asciiTheme="minorHAnsi" w:hAnsiTheme="minorHAnsi" w:cstheme="minorHAnsi"/>
                <w:b/>
                <w:bCs/>
                <w:color w:val="auto"/>
              </w:rPr>
              <w:t xml:space="preserve"> klimatu</w:t>
            </w:r>
          </w:p>
          <w:p w:rsidR="00AF28BF" w:rsidRPr="00565D70" w:rsidRDefault="00D61B18" w:rsidP="00565D70">
            <w:pPr>
              <w:pStyle w:val="Default"/>
              <w:rPr>
                <w:rFonts w:asciiTheme="minorHAnsi" w:hAnsiTheme="minorHAnsi" w:cstheme="minorHAnsi"/>
                <w:b/>
                <w:color w:val="auto"/>
              </w:rPr>
            </w:pPr>
            <w:r w:rsidRPr="00565D70">
              <w:rPr>
                <w:rFonts w:asciiTheme="minorHAnsi" w:hAnsiTheme="minorHAnsi" w:cstheme="minorHAnsi"/>
                <w:b/>
                <w:color w:val="auto"/>
              </w:rPr>
              <w:t xml:space="preserve">Priorytet 13. Zrównoważona mobilność </w:t>
            </w:r>
          </w:p>
          <w:p w:rsidR="00AF28BF" w:rsidRPr="00565D70" w:rsidRDefault="00D61B18" w:rsidP="00565D70">
            <w:pPr>
              <w:spacing w:line="240" w:lineRule="auto"/>
              <w:jc w:val="left"/>
              <w:rPr>
                <w:rFonts w:cstheme="minorHAnsi"/>
                <w:b/>
                <w:bCs/>
                <w:sz w:val="24"/>
                <w:szCs w:val="24"/>
              </w:rPr>
            </w:pPr>
            <w:r w:rsidRPr="00565D70">
              <w:rPr>
                <w:rFonts w:cstheme="minorHAnsi"/>
                <w:b/>
                <w:bCs/>
                <w:sz w:val="24"/>
                <w:szCs w:val="24"/>
              </w:rPr>
              <w:t>Kierunek działania 13.2  Rozwój infrastruktury i działań wspierających osiągnięcie zrównoważonej mobilności</w:t>
            </w:r>
          </w:p>
          <w:p w:rsidR="00AF28BF" w:rsidRPr="00565D70" w:rsidRDefault="0089002E" w:rsidP="00565D70">
            <w:pPr>
              <w:spacing w:line="240" w:lineRule="auto"/>
              <w:jc w:val="left"/>
              <w:rPr>
                <w:rFonts w:cstheme="minorHAnsi"/>
                <w:sz w:val="24"/>
                <w:szCs w:val="24"/>
              </w:rPr>
            </w:pPr>
            <w:r w:rsidRPr="00565D70">
              <w:rPr>
                <w:rFonts w:cstheme="minorHAnsi"/>
                <w:bCs/>
                <w:sz w:val="24"/>
                <w:szCs w:val="24"/>
              </w:rPr>
              <w:t>Natomiast w</w:t>
            </w:r>
            <w:r w:rsidR="00746757" w:rsidRPr="00565D70">
              <w:rPr>
                <w:rFonts w:cstheme="minorHAnsi"/>
                <w:bCs/>
                <w:sz w:val="24"/>
                <w:szCs w:val="24"/>
              </w:rPr>
              <w:t xml:space="preserve"> </w:t>
            </w:r>
            <w:r w:rsidRPr="00565D70">
              <w:rPr>
                <w:rFonts w:cstheme="minorHAnsi"/>
                <w:bCs/>
                <w:sz w:val="24"/>
                <w:szCs w:val="24"/>
              </w:rPr>
              <w:t>części  II.</w:t>
            </w:r>
            <w:r w:rsidR="00746757" w:rsidRPr="00565D70">
              <w:rPr>
                <w:rFonts w:cstheme="minorHAnsi"/>
                <w:bCs/>
                <w:sz w:val="24"/>
                <w:szCs w:val="24"/>
              </w:rPr>
              <w:t xml:space="preserve"> </w:t>
            </w:r>
            <w:r w:rsidR="00D61B18" w:rsidRPr="00565D70">
              <w:rPr>
                <w:rFonts w:cstheme="minorHAnsi"/>
                <w:sz w:val="24"/>
                <w:szCs w:val="24"/>
              </w:rPr>
              <w:t>Synteza diagnozy strategicznej obszaru WrOF</w:t>
            </w:r>
            <w:r w:rsidR="00D61B18" w:rsidRPr="00565D70">
              <w:rPr>
                <w:rFonts w:cstheme="minorHAnsi"/>
                <w:bCs/>
                <w:sz w:val="24"/>
                <w:szCs w:val="24"/>
              </w:rPr>
              <w:t>, w opisie analizy obszaru mobilności wskazano, że</w:t>
            </w:r>
            <w:r w:rsidR="00D61B18" w:rsidRPr="00565D70">
              <w:rPr>
                <w:rFonts w:cstheme="minorHAnsi"/>
                <w:sz w:val="24"/>
                <w:szCs w:val="24"/>
              </w:rPr>
              <w:t xml:space="preserve"> na obszarze ZIT obowiązują dwa dokumenty: </w:t>
            </w:r>
            <w:r w:rsidR="00D61B18" w:rsidRPr="00565D70">
              <w:rPr>
                <w:rFonts w:cstheme="minorHAnsi"/>
                <w:color w:val="000000" w:themeColor="text1"/>
                <w:sz w:val="24"/>
                <w:szCs w:val="24"/>
              </w:rPr>
              <w:t>Plan Zrównoważonej Mobilności Miejskiej dla Wrocławia oraz Plan Zrównoważonej Mobilności dla Miejskiego Obszaru Funkcjonalnego Wrocławia. Są one względem siebie komplementarne oraz wskazują kierunki rozwoju oraz działania, które zostaną podjęte w celu osiągnięcia zrównoważonej mobilności miejskiej. Niniejszy projekt dotyczy zapisów i aktualizacji Planu  Zrównoważonej  Mobilności dla Miejskiego  Obszaru Funkcjonalnego Wrocławia</w:t>
            </w:r>
          </w:p>
          <w:p w:rsidR="00AF28BF" w:rsidRPr="00565D70" w:rsidRDefault="00D61B18" w:rsidP="00565D70">
            <w:pPr>
              <w:spacing w:line="240" w:lineRule="auto"/>
              <w:jc w:val="left"/>
              <w:rPr>
                <w:rFonts w:cstheme="minorHAnsi"/>
                <w:sz w:val="24"/>
                <w:szCs w:val="24"/>
              </w:rPr>
            </w:pPr>
            <w:r w:rsidRPr="00565D70">
              <w:rPr>
                <w:rFonts w:cstheme="minorHAnsi"/>
                <w:b/>
                <w:sz w:val="24"/>
                <w:szCs w:val="24"/>
              </w:rPr>
              <w:t>Kluczowe wyzwania strategiczne</w:t>
            </w:r>
            <w:r w:rsidRPr="00565D70">
              <w:rPr>
                <w:rFonts w:cstheme="minorHAnsi"/>
                <w:sz w:val="24"/>
                <w:szCs w:val="24"/>
              </w:rPr>
              <w:t xml:space="preserve"> Aktualizacja i przygotowanie dokumentów wspierających osiągniecie zrównoważonej mobilności miejskiej</w:t>
            </w:r>
          </w:p>
          <w:p w:rsidR="007D07F9" w:rsidRPr="00565D70" w:rsidRDefault="00D61B18" w:rsidP="00565D70">
            <w:pPr>
              <w:spacing w:line="240" w:lineRule="auto"/>
              <w:jc w:val="left"/>
              <w:rPr>
                <w:rFonts w:cstheme="minorHAnsi"/>
                <w:sz w:val="24"/>
                <w:szCs w:val="24"/>
              </w:rPr>
            </w:pPr>
            <w:r w:rsidRPr="00565D70">
              <w:rPr>
                <w:rFonts w:cstheme="minorHAnsi"/>
                <w:bCs/>
                <w:sz w:val="24"/>
                <w:szCs w:val="24"/>
              </w:rPr>
              <w:t xml:space="preserve">Ponadto projekt </w:t>
            </w:r>
            <w:r w:rsidRPr="00565D70">
              <w:rPr>
                <w:rFonts w:cstheme="minorHAnsi"/>
                <w:b/>
                <w:bCs/>
                <w:sz w:val="24"/>
                <w:szCs w:val="24"/>
              </w:rPr>
              <w:t>realizuje zapisy PZM MOFW</w:t>
            </w:r>
            <w:r w:rsidRPr="00565D70">
              <w:rPr>
                <w:rFonts w:cstheme="minorHAnsi"/>
                <w:bCs/>
                <w:sz w:val="24"/>
                <w:szCs w:val="24"/>
              </w:rPr>
              <w:t>, zap</w:t>
            </w:r>
            <w:r w:rsidR="00173E0D" w:rsidRPr="00565D70">
              <w:rPr>
                <w:rFonts w:cstheme="minorHAnsi"/>
                <w:bCs/>
                <w:sz w:val="24"/>
                <w:szCs w:val="24"/>
              </w:rPr>
              <w:t>ewniając realizację zawartych w </w:t>
            </w:r>
            <w:r w:rsidRPr="00565D70">
              <w:rPr>
                <w:rFonts w:cstheme="minorHAnsi"/>
                <w:bCs/>
                <w:sz w:val="24"/>
                <w:szCs w:val="24"/>
              </w:rPr>
              <w:t xml:space="preserve">nim rekomendacji i monitoringu wykonania Planu. </w:t>
            </w:r>
          </w:p>
        </w:tc>
      </w:tr>
    </w:tbl>
    <w:p w:rsidR="00746757" w:rsidRDefault="00746757" w:rsidP="00AA637C">
      <w:pPr>
        <w:spacing w:after="200" w:line="276" w:lineRule="auto"/>
        <w:jc w:val="left"/>
        <w:rPr>
          <w:rFonts w:ascii="Calibri" w:eastAsia="Calibri" w:hAnsi="Calibri" w:cs="Times New Roman"/>
        </w:rPr>
      </w:pPr>
    </w:p>
    <w:tbl>
      <w:tblPr>
        <w:tblStyle w:val="Tabela-Siatka"/>
        <w:tblW w:w="0" w:type="auto"/>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0"/>
        <w:tblDescription w:val="Fizyczna odnowa i bezpieczeństwo przestrzeni publicznej we Wrocławskim Obszarze Funkcjonalnym, w tym sprzyjająca aktywności fizycznej"/>
      </w:tblPr>
      <w:tblGrid>
        <w:gridCol w:w="1815"/>
        <w:gridCol w:w="7224"/>
      </w:tblGrid>
      <w:tr w:rsidR="00565D70" w:rsidRPr="00565D70" w:rsidTr="00565D70">
        <w:trPr>
          <w:trHeight w:val="794"/>
          <w:tblHeader/>
        </w:trPr>
        <w:tc>
          <w:tcPr>
            <w:tcW w:w="1815"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Wiązka projektów 10</w:t>
            </w:r>
          </w:p>
        </w:tc>
        <w:tc>
          <w:tcPr>
            <w:tcW w:w="7224"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Fizyczna odnowa i bezpieczeństwo przestrzeni publicznej we Wrocławskim Obszarze Funkcjonalnym, w tym sprzyjająca aktywności fizycznej</w:t>
            </w:r>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224" w:type="dxa"/>
            <w:vAlign w:val="center"/>
          </w:tcPr>
          <w:p w:rsidR="001579A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  </w:t>
            </w:r>
            <w:r w:rsidR="001579AC" w:rsidRPr="00565D70">
              <w:rPr>
                <w:rFonts w:ascii="Calibri" w:eastAsia="Calibri" w:hAnsi="Calibri" w:cs="Times New Roman"/>
                <w:b/>
                <w:sz w:val="24"/>
                <w:szCs w:val="24"/>
              </w:rPr>
              <w:t>Projekty podstawowe: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terenu przy ul. Ludwikowskiej – Park Południowy </w:t>
            </w:r>
            <w:r w:rsidR="00746757" w:rsidRPr="00565D70">
              <w:rPr>
                <w:rFonts w:cstheme="minorHAnsi"/>
                <w:sz w:val="24"/>
                <w:szCs w:val="24"/>
              </w:rPr>
              <w:br/>
            </w:r>
            <w:r w:rsidRPr="00565D70">
              <w:rPr>
                <w:rFonts w:cstheme="minorHAnsi"/>
                <w:sz w:val="24"/>
                <w:szCs w:val="24"/>
              </w:rPr>
              <w:t>w Oleśnicy</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w:t>
            </w:r>
            <w:r w:rsidR="00746757" w:rsidRPr="00565D70">
              <w:rPr>
                <w:rFonts w:cstheme="minorHAnsi"/>
                <w:sz w:val="24"/>
                <w:szCs w:val="24"/>
              </w:rPr>
              <w:t>go w obrębie ulic Rozbrat, Sępa-</w:t>
            </w:r>
            <w:r w:rsidRPr="00565D70">
              <w:rPr>
                <w:rFonts w:cstheme="minorHAnsi"/>
                <w:sz w:val="24"/>
                <w:szCs w:val="24"/>
              </w:rPr>
              <w:t>Szarzyńskiego, Prusa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podwórzowego Benedyktyńska, Sępa-Szarzyńskiego, Górnickiego, Sienkiewicza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Odnowa przestrzeni publicznej w celu stworzenie miejsc do wypoczynku </w:t>
            </w:r>
            <w:r w:rsidR="00746757" w:rsidRPr="00565D70">
              <w:rPr>
                <w:rFonts w:cstheme="minorHAnsi"/>
                <w:sz w:val="24"/>
                <w:szCs w:val="24"/>
              </w:rPr>
              <w:br/>
            </w:r>
            <w:r w:rsidRPr="00565D70">
              <w:rPr>
                <w:rFonts w:cstheme="minorHAnsi"/>
                <w:sz w:val="24"/>
                <w:szCs w:val="24"/>
              </w:rPr>
              <w:t>i rekreacji na terenie gminy Kąty Wrocławskie w tym poprzez rewitalizację parku gminnego w Smolcu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Rozwój infrastruktury sportowej i rekreacyjnej w gminie Miękinia</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Renowacja Parku w Żórawinie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Budowa obiektów małej architektury na terenie Szkoły Podstawowej </w:t>
            </w:r>
            <w:r w:rsidR="00746757" w:rsidRPr="00565D70">
              <w:rPr>
                <w:rFonts w:cstheme="minorHAnsi"/>
                <w:sz w:val="24"/>
                <w:szCs w:val="24"/>
              </w:rPr>
              <w:br/>
            </w:r>
            <w:r w:rsidRPr="00565D70">
              <w:rPr>
                <w:rFonts w:cstheme="minorHAnsi"/>
                <w:sz w:val="24"/>
                <w:szCs w:val="24"/>
              </w:rPr>
              <w:t xml:space="preserve">w Małkowicach – </w:t>
            </w:r>
            <w:r w:rsidR="00746757" w:rsidRPr="00565D70">
              <w:rPr>
                <w:rFonts w:cstheme="minorHAnsi"/>
                <w:sz w:val="24"/>
                <w:szCs w:val="24"/>
              </w:rPr>
              <w:t>s</w:t>
            </w:r>
            <w:r w:rsidRPr="00565D70">
              <w:rPr>
                <w:rFonts w:cstheme="minorHAnsi"/>
                <w:sz w:val="24"/>
                <w:szCs w:val="24"/>
              </w:rPr>
              <w:t>tworzenie miejsc do wypoczynku i rekreacji na terenie gminy Kąty Wrocławskie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podwórzowego Jaracza</w:t>
            </w:r>
            <w:r w:rsidR="00746757" w:rsidRPr="00565D70">
              <w:rPr>
                <w:rFonts w:cstheme="minorHAnsi"/>
                <w:sz w:val="24"/>
                <w:szCs w:val="24"/>
              </w:rPr>
              <w:t xml:space="preserve"> –</w:t>
            </w:r>
            <w:r w:rsidRPr="00565D70">
              <w:rPr>
                <w:rFonts w:cstheme="minorHAnsi"/>
                <w:sz w:val="24"/>
                <w:szCs w:val="24"/>
              </w:rPr>
              <w:t xml:space="preserve"> Orzeszkowej</w:t>
            </w:r>
            <w:r w:rsidR="00746757" w:rsidRPr="00565D70">
              <w:rPr>
                <w:rFonts w:cstheme="minorHAnsi"/>
                <w:sz w:val="24"/>
                <w:szCs w:val="24"/>
              </w:rPr>
              <w:t xml:space="preserve"> –</w:t>
            </w:r>
            <w:r w:rsidRPr="00565D70">
              <w:rPr>
                <w:rFonts w:cstheme="minorHAnsi"/>
                <w:sz w:val="24"/>
                <w:szCs w:val="24"/>
              </w:rPr>
              <w:t xml:space="preserve">Wyszyńskiego </w:t>
            </w:r>
            <w:r w:rsidR="00746757" w:rsidRPr="00565D70">
              <w:rPr>
                <w:rFonts w:cstheme="minorHAnsi"/>
                <w:sz w:val="24"/>
                <w:szCs w:val="24"/>
              </w:rPr>
              <w:t>–</w:t>
            </w:r>
            <w:r w:rsidRPr="00565D70">
              <w:rPr>
                <w:rFonts w:cstheme="minorHAnsi"/>
                <w:sz w:val="24"/>
                <w:szCs w:val="24"/>
              </w:rPr>
              <w:t xml:space="preserve"> Nowowiejska (JOWN)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centrum miasta jako teren zielony – Park Miejski </w:t>
            </w:r>
            <w:r w:rsidR="00746757" w:rsidRPr="00565D70">
              <w:rPr>
                <w:rFonts w:cstheme="minorHAnsi"/>
                <w:sz w:val="24"/>
                <w:szCs w:val="24"/>
              </w:rPr>
              <w:br/>
            </w:r>
            <w:r w:rsidRPr="00565D70">
              <w:rPr>
                <w:rFonts w:cstheme="minorHAnsi"/>
                <w:sz w:val="24"/>
                <w:szCs w:val="24"/>
              </w:rPr>
              <w:t>w Jelczu-Laskowicach</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podwórzowego Wyszyńskiego – P</w:t>
            </w:r>
            <w:r w:rsidR="00746757" w:rsidRPr="00565D70">
              <w:rPr>
                <w:rFonts w:cstheme="minorHAnsi"/>
                <w:sz w:val="24"/>
                <w:szCs w:val="24"/>
              </w:rPr>
              <w:t xml:space="preserve">rusa – </w:t>
            </w:r>
            <w:r w:rsidRPr="00565D70">
              <w:rPr>
                <w:rFonts w:cstheme="minorHAnsi"/>
                <w:sz w:val="24"/>
                <w:szCs w:val="24"/>
              </w:rPr>
              <w:t>Sępa-Szarzyńskiego</w:t>
            </w:r>
            <w:r w:rsidR="00746757" w:rsidRPr="00565D70">
              <w:rPr>
                <w:rFonts w:cstheme="minorHAnsi"/>
                <w:sz w:val="24"/>
                <w:szCs w:val="24"/>
              </w:rPr>
              <w:t xml:space="preserve"> –</w:t>
            </w:r>
            <w:r w:rsidRPr="00565D70">
              <w:rPr>
                <w:rFonts w:cstheme="minorHAnsi"/>
                <w:sz w:val="24"/>
                <w:szCs w:val="24"/>
              </w:rPr>
              <w:t xml:space="preserve"> Sienkiewicza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wnętrza podwórzowego Piastowska </w:t>
            </w:r>
            <w:r w:rsidR="00746757" w:rsidRPr="00565D70">
              <w:rPr>
                <w:rFonts w:cstheme="minorHAnsi"/>
                <w:sz w:val="24"/>
                <w:szCs w:val="24"/>
              </w:rPr>
              <w:t>–</w:t>
            </w:r>
            <w:r w:rsidRPr="00565D70">
              <w:rPr>
                <w:rFonts w:cstheme="minorHAnsi"/>
                <w:sz w:val="24"/>
                <w:szCs w:val="24"/>
              </w:rPr>
              <w:t xml:space="preserve"> Sienkiewicza - Reja – Nowowiejska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skweru im. Stanisława Dunajewskiego w Sobótce</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terenu Promenady Staromiejskiej – obszaru cennego historycznie i przyrodniczo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wnętrza podwórzowego Struga </w:t>
            </w:r>
            <w:r w:rsidR="00746757" w:rsidRPr="00565D70">
              <w:rPr>
                <w:rFonts w:cstheme="minorHAnsi"/>
                <w:sz w:val="24"/>
                <w:szCs w:val="24"/>
              </w:rPr>
              <w:t xml:space="preserve">– </w:t>
            </w:r>
            <w:r w:rsidRPr="00565D70">
              <w:rPr>
                <w:rFonts w:cstheme="minorHAnsi"/>
                <w:sz w:val="24"/>
                <w:szCs w:val="24"/>
              </w:rPr>
              <w:t>Kraszewskiego</w:t>
            </w:r>
            <w:r w:rsidR="00746757" w:rsidRPr="00565D70">
              <w:rPr>
                <w:rFonts w:cstheme="minorHAnsi"/>
                <w:sz w:val="24"/>
                <w:szCs w:val="24"/>
              </w:rPr>
              <w:t xml:space="preserve"> –</w:t>
            </w:r>
            <w:r w:rsidRPr="00565D70">
              <w:rPr>
                <w:rFonts w:cstheme="minorHAnsi"/>
                <w:sz w:val="24"/>
                <w:szCs w:val="24"/>
              </w:rPr>
              <w:t xml:space="preserve"> Zegadłowicza –</w:t>
            </w:r>
            <w:r w:rsidR="00746757" w:rsidRPr="00565D70">
              <w:rPr>
                <w:rFonts w:cstheme="minorHAnsi"/>
                <w:sz w:val="24"/>
                <w:szCs w:val="24"/>
              </w:rPr>
              <w:t xml:space="preserve"> </w:t>
            </w:r>
            <w:r w:rsidRPr="00565D70">
              <w:rPr>
                <w:rFonts w:cstheme="minorHAnsi"/>
                <w:sz w:val="24"/>
                <w:szCs w:val="24"/>
              </w:rPr>
              <w:t>Kleczkowska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wnętrza podwórzowego Kromera </w:t>
            </w:r>
            <w:r w:rsidR="00746757" w:rsidRPr="00565D70">
              <w:rPr>
                <w:rFonts w:cstheme="minorHAnsi"/>
                <w:sz w:val="24"/>
                <w:szCs w:val="24"/>
              </w:rPr>
              <w:t>–</w:t>
            </w:r>
            <w:r w:rsidRPr="00565D70">
              <w:rPr>
                <w:rFonts w:cstheme="minorHAnsi"/>
                <w:sz w:val="24"/>
                <w:szCs w:val="24"/>
              </w:rPr>
              <w:t xml:space="preserve"> Bydgoska </w:t>
            </w:r>
            <w:r w:rsidR="00746757" w:rsidRPr="00565D70">
              <w:rPr>
                <w:rFonts w:cstheme="minorHAnsi"/>
                <w:sz w:val="24"/>
                <w:szCs w:val="24"/>
              </w:rPr>
              <w:t>–</w:t>
            </w:r>
            <w:r w:rsidRPr="00565D70">
              <w:rPr>
                <w:rFonts w:cstheme="minorHAnsi"/>
                <w:sz w:val="24"/>
                <w:szCs w:val="24"/>
              </w:rPr>
              <w:t xml:space="preserve"> Łąka Mazurska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Gmina Oleśnica bliżej obywateli</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Odnowa Parku Szczytnickiego </w:t>
            </w:r>
            <w:r w:rsidR="00746757" w:rsidRPr="00565D70">
              <w:rPr>
                <w:rFonts w:cstheme="minorHAnsi"/>
                <w:sz w:val="24"/>
                <w:szCs w:val="24"/>
              </w:rPr>
              <w:t>–</w:t>
            </w:r>
            <w:r w:rsidRPr="00565D70">
              <w:rPr>
                <w:rFonts w:cstheme="minorHAnsi"/>
                <w:sz w:val="24"/>
                <w:szCs w:val="24"/>
              </w:rPr>
              <w:t xml:space="preserve"> obszar cenny historycznie i przyrodniczo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podwórzowego Komuny Paryskiej</w:t>
            </w:r>
            <w:r w:rsidR="00746757" w:rsidRPr="00565D70">
              <w:rPr>
                <w:rFonts w:cstheme="minorHAnsi"/>
                <w:sz w:val="24"/>
                <w:szCs w:val="24"/>
              </w:rPr>
              <w:t xml:space="preserve"> –</w:t>
            </w:r>
            <w:r w:rsidRPr="00565D70">
              <w:rPr>
                <w:rFonts w:cstheme="minorHAnsi"/>
                <w:sz w:val="24"/>
                <w:szCs w:val="24"/>
              </w:rPr>
              <w:t xml:space="preserve"> Zgodna</w:t>
            </w:r>
            <w:r w:rsidR="00746757" w:rsidRPr="00565D70">
              <w:rPr>
                <w:rFonts w:cstheme="minorHAnsi"/>
                <w:sz w:val="24"/>
                <w:szCs w:val="24"/>
              </w:rPr>
              <w:t xml:space="preserve"> –</w:t>
            </w:r>
            <w:r w:rsidRPr="00565D70">
              <w:rPr>
                <w:rFonts w:cstheme="minorHAnsi"/>
                <w:sz w:val="24"/>
                <w:szCs w:val="24"/>
              </w:rPr>
              <w:t xml:space="preserve"> pl. Zgody we Wrocławiu</w:t>
            </w:r>
          </w:p>
          <w:p w:rsidR="001579AC" w:rsidRPr="00565D70" w:rsidRDefault="001579AC" w:rsidP="00565D70">
            <w:pPr>
              <w:pStyle w:val="Akapitzlist"/>
              <w:numPr>
                <w:ilvl w:val="0"/>
                <w:numId w:val="39"/>
              </w:numPr>
              <w:spacing w:line="240" w:lineRule="auto"/>
              <w:jc w:val="left"/>
              <w:rPr>
                <w:rFonts w:ascii="Calibri" w:eastAsia="Calibri" w:hAnsi="Calibri" w:cs="Times New Roman"/>
                <w:b/>
                <w:sz w:val="24"/>
                <w:szCs w:val="24"/>
              </w:rPr>
            </w:pPr>
            <w:r w:rsidRPr="00565D70">
              <w:rPr>
                <w:rFonts w:cstheme="minorHAnsi"/>
                <w:sz w:val="24"/>
                <w:szCs w:val="24"/>
              </w:rPr>
              <w:t>Zagospodarowanie wnętrza podwórzowego w obrębie ulic Wapienna, Gajowa, Kamienna, Przestrzenna we Wrocławiu</w:t>
            </w:r>
          </w:p>
          <w:p w:rsidR="001579AC" w:rsidRPr="00565D70" w:rsidRDefault="001579A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Zagospodarowanie terenu Wzgórza Polskiego </w:t>
            </w:r>
            <w:r w:rsidR="00746757" w:rsidRPr="00565D70">
              <w:rPr>
                <w:rFonts w:cstheme="minorHAnsi"/>
                <w:sz w:val="24"/>
                <w:szCs w:val="24"/>
              </w:rPr>
              <w:t xml:space="preserve">– </w:t>
            </w:r>
            <w:r w:rsidRPr="00565D70">
              <w:rPr>
                <w:rFonts w:cstheme="minorHAnsi"/>
                <w:sz w:val="24"/>
                <w:szCs w:val="24"/>
              </w:rPr>
              <w:t xml:space="preserve">Bastion Ceglarski </w:t>
            </w:r>
            <w:r w:rsidR="00702C23" w:rsidRPr="00565D70">
              <w:rPr>
                <w:rFonts w:cstheme="minorHAnsi"/>
                <w:sz w:val="24"/>
                <w:szCs w:val="24"/>
              </w:rPr>
              <w:br/>
            </w:r>
            <w:r w:rsidRPr="00565D70">
              <w:rPr>
                <w:rFonts w:cstheme="minorHAnsi"/>
                <w:sz w:val="24"/>
                <w:szCs w:val="24"/>
              </w:rPr>
              <w:t>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parków w Malinie i Psarach, gmina Wisznia Mała</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wnętrza podwórzowego w kwartale ulic: Trzebnicka, Kleczkowska, Lucjana Siemieńskiego oraz Ignacego Józefa Kraszewskiego we Wrocławiu</w:t>
            </w:r>
          </w:p>
          <w:p w:rsidR="001579AC" w:rsidRPr="00565D70" w:rsidRDefault="001579AC"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Zagospodarowanie Parku w Kobierzycach</w:t>
            </w:r>
          </w:p>
          <w:p w:rsidR="001579AC" w:rsidRPr="00565D70" w:rsidRDefault="00746757" w:rsidP="00565D70">
            <w:pPr>
              <w:pStyle w:val="Akapitzlist"/>
              <w:numPr>
                <w:ilvl w:val="0"/>
                <w:numId w:val="39"/>
              </w:numPr>
              <w:tabs>
                <w:tab w:val="left" w:pos="1872"/>
              </w:tabs>
              <w:spacing w:line="240" w:lineRule="auto"/>
              <w:jc w:val="left"/>
              <w:rPr>
                <w:rFonts w:cstheme="minorHAnsi"/>
                <w:sz w:val="24"/>
                <w:szCs w:val="24"/>
              </w:rPr>
            </w:pPr>
            <w:r w:rsidRPr="00565D70">
              <w:rPr>
                <w:rFonts w:cstheme="minorHAnsi"/>
                <w:sz w:val="24"/>
                <w:szCs w:val="24"/>
              </w:rPr>
              <w:t xml:space="preserve">Park Mieszczański – </w:t>
            </w:r>
            <w:r w:rsidR="001579AC" w:rsidRPr="00565D70">
              <w:rPr>
                <w:rFonts w:cstheme="minorHAnsi"/>
                <w:sz w:val="24"/>
                <w:szCs w:val="24"/>
              </w:rPr>
              <w:t xml:space="preserve">rekultywacja dawnych terenów powojskowych </w:t>
            </w:r>
            <w:r w:rsidR="00702C23" w:rsidRPr="00565D70">
              <w:rPr>
                <w:rFonts w:cstheme="minorHAnsi"/>
                <w:sz w:val="24"/>
                <w:szCs w:val="24"/>
              </w:rPr>
              <w:br/>
            </w:r>
            <w:r w:rsidR="001579AC" w:rsidRPr="00565D70">
              <w:rPr>
                <w:rFonts w:cstheme="minorHAnsi"/>
                <w:sz w:val="24"/>
                <w:szCs w:val="24"/>
              </w:rPr>
              <w:t>we Wrocławiu</w:t>
            </w:r>
          </w:p>
          <w:p w:rsidR="001579AC" w:rsidRPr="00565D70" w:rsidRDefault="001579AC" w:rsidP="00565D70">
            <w:pPr>
              <w:pStyle w:val="Akapitzlist"/>
              <w:numPr>
                <w:ilvl w:val="0"/>
                <w:numId w:val="39"/>
              </w:numPr>
              <w:tabs>
                <w:tab w:val="left" w:pos="1872"/>
              </w:tabs>
              <w:spacing w:line="240" w:lineRule="auto"/>
              <w:ind w:left="721"/>
              <w:jc w:val="left"/>
              <w:rPr>
                <w:rFonts w:cstheme="minorHAnsi"/>
                <w:sz w:val="24"/>
                <w:szCs w:val="24"/>
              </w:rPr>
            </w:pPr>
            <w:r w:rsidRPr="00565D70">
              <w:rPr>
                <w:rFonts w:cstheme="minorHAnsi"/>
                <w:sz w:val="24"/>
                <w:szCs w:val="24"/>
              </w:rPr>
              <w:t>Ścieżki przyrodniczo-edukacyjne na terenie Gminy Oława (zaprojektowanie i wykonanie)</w:t>
            </w:r>
          </w:p>
          <w:p w:rsidR="00AA637C" w:rsidRPr="00565D70" w:rsidRDefault="001579AC" w:rsidP="00565D70">
            <w:pPr>
              <w:pStyle w:val="Akapitzlist"/>
              <w:numPr>
                <w:ilvl w:val="0"/>
                <w:numId w:val="39"/>
              </w:numPr>
              <w:tabs>
                <w:tab w:val="left" w:pos="1872"/>
              </w:tabs>
              <w:spacing w:line="240" w:lineRule="auto"/>
              <w:ind w:left="721"/>
              <w:jc w:val="left"/>
              <w:rPr>
                <w:rFonts w:cstheme="minorHAnsi"/>
                <w:sz w:val="24"/>
                <w:szCs w:val="24"/>
              </w:rPr>
            </w:pPr>
            <w:r w:rsidRPr="00565D70">
              <w:rPr>
                <w:rFonts w:cstheme="minorHAnsi"/>
                <w:sz w:val="24"/>
                <w:szCs w:val="24"/>
              </w:rPr>
              <w:t>Zagospodarowanie parku w Sobótce Górce</w:t>
            </w:r>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224" w:type="dxa"/>
            <w:vAlign w:val="center"/>
          </w:tcPr>
          <w:p w:rsidR="00AA637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RSO5.1. Wspieranie zintegrowanego i sprzyjającego włączeniu społecznemu rozwoju społecznego, gospodarczego i środowiskowego, kultury, dziedzictwa naturalnego, zrównoważonej turystyki i bezpieczeństwa na obszarach miejskich</w:t>
            </w:r>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224" w:type="dxa"/>
            <w:vAlign w:val="center"/>
          </w:tcPr>
          <w:p w:rsidR="00E659C3" w:rsidRPr="00565D70" w:rsidRDefault="00E659C3" w:rsidP="00565D70">
            <w:pPr>
              <w:autoSpaceDE w:val="0"/>
              <w:autoSpaceDN w:val="0"/>
              <w:adjustRightInd w:val="0"/>
              <w:spacing w:line="240" w:lineRule="auto"/>
              <w:jc w:val="left"/>
              <w:rPr>
                <w:rFonts w:eastAsia="Calibri" w:cs="Times New Roman"/>
                <w:b/>
                <w:bCs/>
                <w:sz w:val="24"/>
                <w:szCs w:val="24"/>
              </w:rPr>
            </w:pPr>
            <w:r w:rsidRPr="00565D70">
              <w:rPr>
                <w:rFonts w:eastAsia="Calibri" w:cs="Times New Roman"/>
                <w:sz w:val="24"/>
                <w:szCs w:val="24"/>
              </w:rPr>
              <w:t>Zgodnie z zapisami FEDS 2021-2027 środki w ramach programu przeznacza się na realizację kluczowych przedsięwzięć wynikający</w:t>
            </w:r>
            <w:r w:rsidR="00063259" w:rsidRPr="00565D70">
              <w:rPr>
                <w:rFonts w:eastAsia="Calibri" w:cs="Times New Roman"/>
                <w:sz w:val="24"/>
                <w:szCs w:val="24"/>
              </w:rPr>
              <w:t>ch ze Strategii ZIT istotnych z </w:t>
            </w:r>
            <w:r w:rsidRPr="00565D70">
              <w:rPr>
                <w:rFonts w:eastAsia="Calibri" w:cs="Times New Roman"/>
                <w:sz w:val="24"/>
                <w:szCs w:val="24"/>
              </w:rPr>
              <w:t>punktu widzenia rozwoju miast, gmin, powiatów oraz ich obszarów funkcjonalnych. Interwencja w ramach celu szczegółowego RSO5.1 skupia się na poprawie jakości życia mieszkańców, promowaniu i ochronie materialnego dziedzictwa kulturowego i rozwoju instytucji</w:t>
            </w:r>
            <w:r w:rsidR="00063259" w:rsidRPr="00565D70">
              <w:rPr>
                <w:rFonts w:eastAsia="Calibri" w:cs="Times New Roman"/>
                <w:sz w:val="24"/>
                <w:szCs w:val="24"/>
              </w:rPr>
              <w:t xml:space="preserve"> kultury, jak również rozwoju i </w:t>
            </w:r>
            <w:r w:rsidRPr="00565D70">
              <w:rPr>
                <w:rFonts w:eastAsia="Calibri" w:cs="Times New Roman"/>
                <w:sz w:val="24"/>
                <w:szCs w:val="24"/>
              </w:rPr>
              <w:t xml:space="preserve">promowaniu publicznych walorów turystycznych, działaniach mających na celu poprawę kondycji psychofizycznej mieszkańców. Zidentyfikowane w wiązce projekty w większości dotyczą fizycznej </w:t>
            </w:r>
            <w:r w:rsidR="00151B91" w:rsidRPr="00565D70">
              <w:rPr>
                <w:rFonts w:eastAsia="Calibri" w:cs="Times New Roman"/>
                <w:sz w:val="24"/>
                <w:szCs w:val="24"/>
              </w:rPr>
              <w:t>kwestii związanych z zagospodarowaniem</w:t>
            </w:r>
            <w:r w:rsidR="00063259" w:rsidRPr="00565D70">
              <w:rPr>
                <w:rFonts w:eastAsia="Calibri" w:cs="Times New Roman"/>
                <w:sz w:val="24"/>
                <w:szCs w:val="24"/>
              </w:rPr>
              <w:t xml:space="preserve"> przestrzeni publicznych</w:t>
            </w:r>
            <w:r w:rsidR="00151B91" w:rsidRPr="00565D70">
              <w:rPr>
                <w:rFonts w:eastAsia="Calibri" w:cs="Times New Roman"/>
                <w:sz w:val="24"/>
                <w:szCs w:val="24"/>
              </w:rPr>
              <w:t xml:space="preserve"> (np. w sposób zapewniający poprawę kondycji psychofizycznej mieszkańców, uwzględniający</w:t>
            </w:r>
            <w:r w:rsidR="00702C23" w:rsidRPr="00565D70">
              <w:rPr>
                <w:rFonts w:eastAsia="Calibri" w:cs="Times New Roman"/>
                <w:sz w:val="24"/>
                <w:szCs w:val="24"/>
              </w:rPr>
              <w:t xml:space="preserve"> zachowanie i rozwój zielonej i </w:t>
            </w:r>
            <w:r w:rsidR="00151B91" w:rsidRPr="00565D70">
              <w:rPr>
                <w:rFonts w:eastAsia="Calibri" w:cs="Times New Roman"/>
                <w:sz w:val="24"/>
                <w:szCs w:val="24"/>
              </w:rPr>
              <w:t>niebieskiej infra</w:t>
            </w:r>
            <w:r w:rsidR="00702C23" w:rsidRPr="00565D70">
              <w:rPr>
                <w:rFonts w:eastAsia="Calibri" w:cs="Times New Roman"/>
                <w:sz w:val="24"/>
                <w:szCs w:val="24"/>
              </w:rPr>
              <w:t>struktury, zachowanie powierzch</w:t>
            </w:r>
            <w:r w:rsidR="00151B91" w:rsidRPr="00565D70">
              <w:rPr>
                <w:rFonts w:eastAsia="Calibri" w:cs="Times New Roman"/>
                <w:sz w:val="24"/>
                <w:szCs w:val="24"/>
              </w:rPr>
              <w:t>ni</w:t>
            </w:r>
            <w:r w:rsidR="00702C23" w:rsidRPr="00565D70">
              <w:rPr>
                <w:rFonts w:eastAsia="Calibri" w:cs="Times New Roman"/>
                <w:sz w:val="24"/>
                <w:szCs w:val="24"/>
              </w:rPr>
              <w:t xml:space="preserve"> czynnych biologicznie), popraw</w:t>
            </w:r>
            <w:r w:rsidR="00151B91" w:rsidRPr="00565D70">
              <w:rPr>
                <w:rFonts w:eastAsia="Calibri" w:cs="Times New Roman"/>
                <w:sz w:val="24"/>
                <w:szCs w:val="24"/>
              </w:rPr>
              <w:t>y bezpieczeństwa takich przestrzeni</w:t>
            </w:r>
            <w:r w:rsidR="00063259" w:rsidRPr="00565D70">
              <w:rPr>
                <w:rFonts w:eastAsia="Calibri" w:cs="Times New Roman"/>
                <w:sz w:val="24"/>
                <w:szCs w:val="24"/>
              </w:rPr>
              <w:t>, a </w:t>
            </w:r>
            <w:r w:rsidRPr="00565D70">
              <w:rPr>
                <w:rFonts w:eastAsia="Calibri" w:cs="Times New Roman"/>
                <w:sz w:val="24"/>
                <w:szCs w:val="24"/>
              </w:rPr>
              <w:t>wszystkie</w:t>
            </w:r>
            <w:r w:rsidR="00702C23" w:rsidRPr="00565D70">
              <w:rPr>
                <w:rFonts w:eastAsia="Calibri" w:cs="Times New Roman"/>
                <w:sz w:val="24"/>
                <w:szCs w:val="24"/>
              </w:rPr>
              <w:t xml:space="preserve"> </w:t>
            </w:r>
            <w:r w:rsidRPr="00565D70">
              <w:rPr>
                <w:rFonts w:eastAsia="Calibri" w:cs="Times New Roman"/>
                <w:sz w:val="24"/>
                <w:szCs w:val="24"/>
              </w:rPr>
              <w:t xml:space="preserve">z nich służą m.in. poprawie jakości życia mieszkańców. </w:t>
            </w:r>
            <w:r w:rsidRPr="00565D70">
              <w:rPr>
                <w:rFonts w:eastAsia="Calibri" w:cs="Times New Roman"/>
                <w:b/>
                <w:bCs/>
                <w:sz w:val="24"/>
                <w:szCs w:val="24"/>
              </w:rPr>
              <w:t>Projekty wchodzące w skład wiązki mają wpływ na więcej niż jedną gminę we WrOF, gdyż przyczyniają się m.in. do poprawy jakości życia mieszkańców obszaru WrOF oraz stanowić będą zachętę do poznania sąsiadujących miejscowości.</w:t>
            </w:r>
          </w:p>
          <w:p w:rsidR="00E659C3" w:rsidRPr="00565D70" w:rsidRDefault="00E659C3" w:rsidP="00565D70">
            <w:pPr>
              <w:autoSpaceDE w:val="0"/>
              <w:autoSpaceDN w:val="0"/>
              <w:adjustRightInd w:val="0"/>
              <w:spacing w:line="240" w:lineRule="auto"/>
              <w:jc w:val="left"/>
              <w:rPr>
                <w:rFonts w:eastAsia="Calibri" w:cs="Times New Roman"/>
                <w:sz w:val="24"/>
                <w:szCs w:val="24"/>
              </w:rPr>
            </w:pPr>
          </w:p>
          <w:p w:rsidR="00E659C3" w:rsidRPr="00565D70" w:rsidRDefault="00E659C3" w:rsidP="00565D70">
            <w:pPr>
              <w:autoSpaceDE w:val="0"/>
              <w:autoSpaceDN w:val="0"/>
              <w:adjustRightInd w:val="0"/>
              <w:spacing w:line="240" w:lineRule="auto"/>
              <w:jc w:val="left"/>
              <w:rPr>
                <w:rFonts w:eastAsia="Calibri" w:cs="Times New Roman"/>
                <w:bCs/>
                <w:sz w:val="24"/>
                <w:szCs w:val="24"/>
              </w:rPr>
            </w:pPr>
            <w:r w:rsidRPr="00565D70">
              <w:rPr>
                <w:rFonts w:eastAsia="Calibri" w:cs="Times New Roman"/>
                <w:bCs/>
                <w:sz w:val="24"/>
                <w:szCs w:val="24"/>
              </w:rPr>
              <w:t xml:space="preserve">Zaproponowana </w:t>
            </w:r>
            <w:r w:rsidRPr="00565D70">
              <w:rPr>
                <w:rFonts w:eastAsia="Calibri" w:cs="Times New Roman"/>
                <w:b/>
                <w:bCs/>
                <w:sz w:val="24"/>
                <w:szCs w:val="24"/>
              </w:rPr>
              <w:t>wiązka projektów</w:t>
            </w:r>
            <w:r w:rsidRPr="00565D70">
              <w:rPr>
                <w:rFonts w:eastAsia="Calibri" w:cs="Times New Roman"/>
                <w:bCs/>
                <w:sz w:val="24"/>
                <w:szCs w:val="24"/>
              </w:rPr>
              <w:t xml:space="preserve"> wykazuje pełną </w:t>
            </w:r>
            <w:r w:rsidRPr="00565D70">
              <w:rPr>
                <w:rFonts w:eastAsia="Calibri" w:cs="Times New Roman"/>
                <w:b/>
                <w:bCs/>
                <w:sz w:val="24"/>
                <w:szCs w:val="24"/>
              </w:rPr>
              <w:t>wewnętrzną komplementarność i synergię w zakresie tematycznym</w:t>
            </w:r>
            <w:r w:rsidRPr="00565D70">
              <w:rPr>
                <w:rFonts w:eastAsia="Calibri" w:cs="Times New Roman"/>
                <w:bCs/>
                <w:sz w:val="24"/>
                <w:szCs w:val="24"/>
              </w:rPr>
              <w:t xml:space="preserve">, ponieważ przedmiotem projektów jest fizyczna odnowa przestrzeni publicznych </w:t>
            </w:r>
            <w:r w:rsidRPr="00565D70">
              <w:rPr>
                <w:rFonts w:eastAsia="Calibri" w:cs="Times New Roman"/>
                <w:b/>
                <w:bCs/>
                <w:sz w:val="24"/>
                <w:szCs w:val="24"/>
              </w:rPr>
              <w:t>oraz w zakresie obszarowym</w:t>
            </w:r>
            <w:r w:rsidRPr="00565D70">
              <w:rPr>
                <w:rFonts w:eastAsia="Calibri" w:cs="Times New Roman"/>
                <w:bCs/>
                <w:sz w:val="24"/>
                <w:szCs w:val="24"/>
              </w:rPr>
              <w:t>, gdyż rzeczowa realizacja projektów zaplanowana jest na terenie gmin ZIT WrOF.</w:t>
            </w:r>
          </w:p>
          <w:p w:rsidR="00E659C3" w:rsidRPr="00565D70" w:rsidRDefault="00E659C3" w:rsidP="00565D70">
            <w:pPr>
              <w:autoSpaceDE w:val="0"/>
              <w:autoSpaceDN w:val="0"/>
              <w:adjustRightInd w:val="0"/>
              <w:spacing w:line="240" w:lineRule="auto"/>
              <w:jc w:val="left"/>
              <w:rPr>
                <w:rFonts w:eastAsia="Calibri" w:cs="Times New Roman"/>
                <w:bCs/>
                <w:sz w:val="24"/>
                <w:szCs w:val="24"/>
              </w:rPr>
            </w:pPr>
          </w:p>
          <w:p w:rsidR="00E659C3" w:rsidRPr="00565D70" w:rsidRDefault="00E659C3" w:rsidP="00565D70">
            <w:pPr>
              <w:autoSpaceDE w:val="0"/>
              <w:autoSpaceDN w:val="0"/>
              <w:adjustRightInd w:val="0"/>
              <w:spacing w:line="240" w:lineRule="auto"/>
              <w:jc w:val="left"/>
              <w:rPr>
                <w:rFonts w:eastAsia="Calibri" w:cs="Times New Roman"/>
                <w:bCs/>
                <w:sz w:val="24"/>
                <w:szCs w:val="24"/>
              </w:rPr>
            </w:pPr>
            <w:r w:rsidRPr="00565D70">
              <w:rPr>
                <w:rFonts w:eastAsia="Calibri" w:cs="Times New Roman"/>
                <w:bCs/>
                <w:sz w:val="24"/>
                <w:szCs w:val="24"/>
              </w:rPr>
              <w:t>Projekty wchodzące w skład wiązki spełniają wymogi definicji projektu zintegrowanego, tj. wpisują się w cele rozwoju obszaru funkcjonalnego objętego instr</w:t>
            </w:r>
            <w:r w:rsidR="00702C23" w:rsidRPr="00565D70">
              <w:rPr>
                <w:rFonts w:eastAsia="Calibri" w:cs="Times New Roman"/>
                <w:bCs/>
                <w:sz w:val="24"/>
                <w:szCs w:val="24"/>
              </w:rPr>
              <w:t>umentem, tj. Strategii ZIT WrOF</w:t>
            </w:r>
            <w:r w:rsidRPr="00565D70">
              <w:rPr>
                <w:rFonts w:eastAsia="Calibri" w:cs="Times New Roman"/>
                <w:bCs/>
                <w:sz w:val="24"/>
                <w:szCs w:val="24"/>
              </w:rPr>
              <w:t xml:space="preserve"> i są ukierunkowane na rozwiązywanie wspólnych problemów  rozwojowych w obszarze zagospodarowania przestrzeni publicznych. Ponadto ich realizacja jest uzasadniona zarówno w części diagnostycznej, jak i kierunkowej strategii ZIT WrOF. </w:t>
            </w:r>
          </w:p>
          <w:p w:rsidR="005255DE" w:rsidRPr="00565D70" w:rsidRDefault="005255DE" w:rsidP="00565D70">
            <w:pPr>
              <w:pStyle w:val="Default"/>
            </w:pPr>
            <w:r w:rsidRPr="00565D70">
              <w:t xml:space="preserve">Wiązka projektów  spełnia  warunki  projektu zintegrowanego tj. stanowi grupę projektów powiązanych ze sobą merytorycznie (zawiera podobne typy  projektów) oraz funkcjonalnie (zintegrowany wpływ realizacji </w:t>
            </w:r>
            <w:r w:rsidR="00A80C29" w:rsidRPr="00565D70">
              <w:t>projektów  na obszar  ZIT).  Na </w:t>
            </w:r>
            <w:r w:rsidRPr="00565D70">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E659C3" w:rsidRPr="00565D70" w:rsidRDefault="00E659C3" w:rsidP="00565D70">
            <w:pPr>
              <w:autoSpaceDE w:val="0"/>
              <w:autoSpaceDN w:val="0"/>
              <w:adjustRightInd w:val="0"/>
              <w:spacing w:line="240" w:lineRule="auto"/>
              <w:jc w:val="left"/>
              <w:rPr>
                <w:rFonts w:eastAsia="Calibri" w:cs="Times New Roman"/>
                <w:bCs/>
                <w:sz w:val="24"/>
                <w:szCs w:val="24"/>
              </w:rPr>
            </w:pPr>
          </w:p>
          <w:p w:rsidR="00E659C3" w:rsidRPr="00565D70" w:rsidRDefault="00E659C3" w:rsidP="00565D70">
            <w:pPr>
              <w:autoSpaceDE w:val="0"/>
              <w:autoSpaceDN w:val="0"/>
              <w:adjustRightInd w:val="0"/>
              <w:spacing w:line="240" w:lineRule="auto"/>
              <w:jc w:val="left"/>
              <w:rPr>
                <w:rFonts w:eastAsia="Calibri" w:cs="Times New Roman"/>
                <w:bCs/>
                <w:sz w:val="24"/>
                <w:szCs w:val="24"/>
              </w:rPr>
            </w:pPr>
            <w:r w:rsidRPr="00565D70">
              <w:rPr>
                <w:rFonts w:eastAsia="Calibri" w:cs="Times New Roman"/>
                <w:bCs/>
                <w:sz w:val="24"/>
                <w:szCs w:val="24"/>
              </w:rPr>
              <w:t>Realizacja projektów stanowiących wiązkę wynika z części di</w:t>
            </w:r>
            <w:r w:rsidR="00063259" w:rsidRPr="00565D70">
              <w:rPr>
                <w:rFonts w:eastAsia="Calibri" w:cs="Times New Roman"/>
                <w:bCs/>
                <w:sz w:val="24"/>
                <w:szCs w:val="24"/>
              </w:rPr>
              <w:t>agnostycznej i </w:t>
            </w:r>
            <w:r w:rsidRPr="00565D70">
              <w:rPr>
                <w:rFonts w:eastAsia="Calibri" w:cs="Times New Roman"/>
                <w:bCs/>
                <w:sz w:val="24"/>
                <w:szCs w:val="24"/>
              </w:rPr>
              <w:t xml:space="preserve">kierunkowej Strategii ZIT WrOF, tj.: </w:t>
            </w:r>
          </w:p>
          <w:p w:rsidR="00E659C3" w:rsidRPr="00565D70" w:rsidRDefault="00E659C3" w:rsidP="00565D70">
            <w:pPr>
              <w:autoSpaceDE w:val="0"/>
              <w:autoSpaceDN w:val="0"/>
              <w:adjustRightInd w:val="0"/>
              <w:spacing w:line="240" w:lineRule="auto"/>
              <w:jc w:val="left"/>
              <w:rPr>
                <w:rFonts w:eastAsia="Calibri" w:cs="Times New Roman"/>
                <w:bCs/>
                <w:sz w:val="24"/>
                <w:szCs w:val="24"/>
              </w:rPr>
            </w:pPr>
            <w:r w:rsidRPr="00565D70">
              <w:rPr>
                <w:rFonts w:eastAsia="Calibri" w:cs="Times New Roman"/>
                <w:b/>
                <w:bCs/>
                <w:sz w:val="24"/>
                <w:szCs w:val="24"/>
              </w:rPr>
              <w:t>Cel strategiczny 4. Integracja i rozwój terytorialny WrOF</w:t>
            </w:r>
          </w:p>
          <w:p w:rsidR="00E659C3" w:rsidRPr="00565D70" w:rsidRDefault="00E659C3" w:rsidP="00565D70">
            <w:pPr>
              <w:autoSpaceDE w:val="0"/>
              <w:autoSpaceDN w:val="0"/>
              <w:adjustRightInd w:val="0"/>
              <w:spacing w:line="240" w:lineRule="auto"/>
              <w:jc w:val="left"/>
              <w:rPr>
                <w:rFonts w:eastAsia="Calibri" w:cs="Times New Roman"/>
                <w:b/>
                <w:sz w:val="24"/>
                <w:szCs w:val="24"/>
              </w:rPr>
            </w:pPr>
            <w:r w:rsidRPr="00565D70">
              <w:rPr>
                <w:rFonts w:eastAsia="Calibri" w:cs="Times New Roman"/>
                <w:b/>
                <w:sz w:val="24"/>
                <w:szCs w:val="24"/>
              </w:rPr>
              <w:t>Priorytet 14 Przestrzenie publiczne</w:t>
            </w:r>
          </w:p>
          <w:p w:rsidR="00E659C3" w:rsidRPr="00565D70" w:rsidRDefault="00E659C3" w:rsidP="00565D70">
            <w:pPr>
              <w:autoSpaceDE w:val="0"/>
              <w:autoSpaceDN w:val="0"/>
              <w:adjustRightInd w:val="0"/>
              <w:spacing w:line="240" w:lineRule="auto"/>
              <w:jc w:val="left"/>
              <w:rPr>
                <w:rFonts w:eastAsia="Calibri" w:cs="Times New Roman"/>
                <w:b/>
                <w:bCs/>
                <w:sz w:val="24"/>
                <w:szCs w:val="24"/>
              </w:rPr>
            </w:pPr>
            <w:r w:rsidRPr="00565D70">
              <w:rPr>
                <w:rFonts w:eastAsia="Calibri" w:cs="Times New Roman"/>
                <w:b/>
                <w:bCs/>
                <w:sz w:val="24"/>
                <w:szCs w:val="24"/>
              </w:rPr>
              <w:t xml:space="preserve">Kierunek działania 14.1 </w:t>
            </w:r>
            <w:r w:rsidRPr="00565D70">
              <w:rPr>
                <w:rFonts w:eastAsia="Calibri" w:cs="Times New Roman"/>
                <w:sz w:val="24"/>
                <w:szCs w:val="24"/>
              </w:rPr>
              <w:t>Utworzenie i odnowa przestrzeni publicznych, w tym wnętrz podwórzowych, terenów zielonych, parków, skwerów i przestrzeni rekreacyjnych</w:t>
            </w:r>
          </w:p>
          <w:p w:rsidR="00E659C3" w:rsidRPr="00565D70" w:rsidRDefault="00E659C3" w:rsidP="00565D70">
            <w:pPr>
              <w:autoSpaceDE w:val="0"/>
              <w:autoSpaceDN w:val="0"/>
              <w:adjustRightInd w:val="0"/>
              <w:spacing w:line="240" w:lineRule="auto"/>
              <w:jc w:val="left"/>
              <w:rPr>
                <w:rFonts w:eastAsia="Calibri" w:cs="Times New Roman"/>
                <w:sz w:val="24"/>
                <w:szCs w:val="24"/>
              </w:rPr>
            </w:pPr>
          </w:p>
          <w:p w:rsidR="00E659C3" w:rsidRPr="00565D70" w:rsidRDefault="00E659C3" w:rsidP="00565D70">
            <w:pPr>
              <w:autoSpaceDE w:val="0"/>
              <w:autoSpaceDN w:val="0"/>
              <w:adjustRightInd w:val="0"/>
              <w:spacing w:line="240" w:lineRule="auto"/>
              <w:jc w:val="left"/>
              <w:rPr>
                <w:rFonts w:eastAsia="Calibri" w:cs="Times New Roman"/>
                <w:sz w:val="24"/>
                <w:szCs w:val="24"/>
              </w:rPr>
            </w:pPr>
            <w:r w:rsidRPr="00565D70">
              <w:rPr>
                <w:rFonts w:eastAsia="Calibri" w:cs="Times New Roman"/>
                <w:sz w:val="24"/>
                <w:szCs w:val="24"/>
              </w:rPr>
              <w:t xml:space="preserve">Z punktu widzenia strategicznego kluczowy jest rozwój terytorialny. Rozwój ten ma związek m.in. </w:t>
            </w:r>
            <w:r w:rsidR="00855C7E" w:rsidRPr="00565D70">
              <w:rPr>
                <w:rFonts w:eastAsia="Calibri" w:cs="Times New Roman"/>
                <w:sz w:val="24"/>
                <w:szCs w:val="24"/>
              </w:rPr>
              <w:t>na</w:t>
            </w:r>
            <w:r w:rsidRPr="00565D70">
              <w:rPr>
                <w:rFonts w:eastAsia="Calibri" w:cs="Times New Roman"/>
                <w:sz w:val="24"/>
                <w:szCs w:val="24"/>
              </w:rPr>
              <w:t xml:space="preserve"> zwiększenie dostępności prze</w:t>
            </w:r>
            <w:r w:rsidR="00702C23" w:rsidRPr="00565D70">
              <w:rPr>
                <w:rFonts w:eastAsia="Calibri" w:cs="Times New Roman"/>
                <w:sz w:val="24"/>
                <w:szCs w:val="24"/>
              </w:rPr>
              <w:t>strzeni publicznych dla osób ze </w:t>
            </w:r>
            <w:r w:rsidRPr="00565D70">
              <w:rPr>
                <w:rFonts w:eastAsia="Calibri" w:cs="Times New Roman"/>
                <w:sz w:val="24"/>
                <w:szCs w:val="24"/>
              </w:rPr>
              <w:t>szczególnymi potrzebami (np. poprzez likwidację barier architektonicznych</w:t>
            </w:r>
            <w:r w:rsidR="00783030" w:rsidRPr="00565D70">
              <w:rPr>
                <w:rFonts w:eastAsia="Calibri" w:cs="Times New Roman"/>
                <w:sz w:val="24"/>
                <w:szCs w:val="24"/>
              </w:rPr>
              <w:t xml:space="preserve"> - ma to szczególne znaczenie, gdyż jedną ze sła</w:t>
            </w:r>
            <w:r w:rsidR="00702C23" w:rsidRPr="00565D70">
              <w:rPr>
                <w:rFonts w:eastAsia="Calibri" w:cs="Times New Roman"/>
                <w:sz w:val="24"/>
                <w:szCs w:val="24"/>
              </w:rPr>
              <w:t>b</w:t>
            </w:r>
            <w:r w:rsidR="00783030" w:rsidRPr="00565D70">
              <w:rPr>
                <w:rFonts w:eastAsia="Calibri" w:cs="Times New Roman"/>
                <w:sz w:val="24"/>
                <w:szCs w:val="24"/>
              </w:rPr>
              <w:t>ych stron obszaru WrOF są występujące bariery architektoniczne i niska jakość przestrzeni publicznej</w:t>
            </w:r>
            <w:r w:rsidRPr="00565D70">
              <w:rPr>
                <w:rFonts w:eastAsia="Calibri" w:cs="Times New Roman"/>
                <w:sz w:val="24"/>
                <w:szCs w:val="24"/>
              </w:rPr>
              <w:t>), stworzenie atrakcyjnych i funkcjonalnych przest</w:t>
            </w:r>
            <w:r w:rsidR="00702C23" w:rsidRPr="00565D70">
              <w:rPr>
                <w:rFonts w:eastAsia="Calibri" w:cs="Times New Roman"/>
                <w:sz w:val="24"/>
                <w:szCs w:val="24"/>
              </w:rPr>
              <w:t xml:space="preserve">rzeni publicznych i poprawa ich </w:t>
            </w:r>
            <w:r w:rsidRPr="00565D70">
              <w:rPr>
                <w:rFonts w:eastAsia="Calibri" w:cs="Times New Roman"/>
                <w:sz w:val="24"/>
                <w:szCs w:val="24"/>
              </w:rPr>
              <w:t xml:space="preserve">bezpieczeństwa. </w:t>
            </w:r>
          </w:p>
          <w:p w:rsidR="00E659C3" w:rsidRPr="00565D70" w:rsidRDefault="00E659C3" w:rsidP="00565D70">
            <w:pPr>
              <w:autoSpaceDE w:val="0"/>
              <w:autoSpaceDN w:val="0"/>
              <w:adjustRightInd w:val="0"/>
              <w:spacing w:line="240" w:lineRule="auto"/>
              <w:jc w:val="left"/>
              <w:rPr>
                <w:rFonts w:eastAsia="Calibri" w:cs="Times New Roman"/>
                <w:sz w:val="24"/>
                <w:szCs w:val="24"/>
              </w:rPr>
            </w:pPr>
          </w:p>
          <w:p w:rsidR="00AA637C" w:rsidRPr="00565D70" w:rsidRDefault="00E659C3" w:rsidP="00565D70">
            <w:pPr>
              <w:autoSpaceDE w:val="0"/>
              <w:autoSpaceDN w:val="0"/>
              <w:adjustRightInd w:val="0"/>
              <w:spacing w:line="240" w:lineRule="auto"/>
              <w:jc w:val="left"/>
              <w:rPr>
                <w:rFonts w:ascii="Calibri" w:eastAsia="Calibri" w:hAnsi="Calibri" w:cs="Calibri"/>
                <w:color w:val="000000"/>
                <w:spacing w:val="-2"/>
                <w:sz w:val="24"/>
                <w:szCs w:val="24"/>
              </w:rPr>
            </w:pPr>
            <w:r w:rsidRPr="00565D70">
              <w:rPr>
                <w:rFonts w:eastAsia="Calibri" w:cs="Times New Roman"/>
                <w:sz w:val="24"/>
                <w:szCs w:val="24"/>
              </w:rPr>
              <w:t>Priorytet 14 ma na celu utworzenie i fizyczną odnowę publicznych obszarów miejskich i wiejskich, poprawę ich funkcjonalności i bezpieczeństwa oraz doposażenie, co ma przełożyć się na popra</w:t>
            </w:r>
            <w:r w:rsidR="00063259" w:rsidRPr="00565D70">
              <w:rPr>
                <w:rFonts w:eastAsia="Calibri" w:cs="Times New Roman"/>
                <w:sz w:val="24"/>
                <w:szCs w:val="24"/>
              </w:rPr>
              <w:t>wę jakości życia mieszkańców. W </w:t>
            </w:r>
            <w:r w:rsidRPr="00565D70">
              <w:rPr>
                <w:rFonts w:eastAsia="Calibri" w:cs="Times New Roman"/>
                <w:sz w:val="24"/>
                <w:szCs w:val="24"/>
              </w:rPr>
              <w:t xml:space="preserve">przedsięwzięciach </w:t>
            </w:r>
            <w:r w:rsidR="00702C23" w:rsidRPr="00565D70">
              <w:rPr>
                <w:rFonts w:eastAsia="Calibri" w:cs="Times New Roman"/>
                <w:sz w:val="24"/>
                <w:szCs w:val="24"/>
              </w:rPr>
              <w:t>skupiających się na utworzeniu</w:t>
            </w:r>
            <w:r w:rsidRPr="00565D70">
              <w:rPr>
                <w:rFonts w:eastAsia="Calibri" w:cs="Times New Roman"/>
                <w:sz w:val="24"/>
                <w:szCs w:val="24"/>
              </w:rPr>
              <w:t xml:space="preserve"> i fizycznej odnow</w:t>
            </w:r>
            <w:r w:rsidR="00702C23" w:rsidRPr="00565D70">
              <w:rPr>
                <w:rFonts w:eastAsia="Calibri" w:cs="Times New Roman"/>
                <w:sz w:val="24"/>
                <w:szCs w:val="24"/>
              </w:rPr>
              <w:t>ie i </w:t>
            </w:r>
            <w:r w:rsidRPr="00565D70">
              <w:rPr>
                <w:rFonts w:eastAsia="Calibri" w:cs="Times New Roman"/>
                <w:sz w:val="24"/>
                <w:szCs w:val="24"/>
              </w:rPr>
              <w:t>bezpieczeństw</w:t>
            </w:r>
            <w:r w:rsidR="00702C23" w:rsidRPr="00565D70">
              <w:rPr>
                <w:rFonts w:eastAsia="Calibri" w:cs="Times New Roman"/>
                <w:sz w:val="24"/>
                <w:szCs w:val="24"/>
              </w:rPr>
              <w:t>u</w:t>
            </w:r>
            <w:r w:rsidRPr="00565D70">
              <w:rPr>
                <w:rFonts w:eastAsia="Calibri" w:cs="Times New Roman"/>
                <w:sz w:val="24"/>
                <w:szCs w:val="24"/>
              </w:rPr>
              <w:t xml:space="preserve"> przestrzeni publicznej zwraca się uwagę na zachowanie i rozwój zielonej infrastruktury, zwłaszcza ochronę drz</w:t>
            </w:r>
            <w:r w:rsidR="00702C23" w:rsidRPr="00565D70">
              <w:rPr>
                <w:rFonts w:eastAsia="Calibri" w:cs="Times New Roman"/>
                <w:sz w:val="24"/>
                <w:szCs w:val="24"/>
              </w:rPr>
              <w:t>ew w całym cyklu projektowym, w </w:t>
            </w:r>
            <w:r w:rsidRPr="00565D70">
              <w:rPr>
                <w:rFonts w:eastAsia="Calibri" w:cs="Times New Roman"/>
                <w:sz w:val="24"/>
                <w:szCs w:val="24"/>
              </w:rPr>
              <w:t>tym poprzez stosowanie standardów ochrony zieleni. Innym aspektem, na</w:t>
            </w:r>
            <w:r w:rsidR="00702C23" w:rsidRPr="00565D70">
              <w:rPr>
                <w:rFonts w:eastAsia="Calibri" w:cs="Times New Roman"/>
                <w:sz w:val="24"/>
                <w:szCs w:val="24"/>
              </w:rPr>
              <w:t xml:space="preserve"> który kładziony jest nacisk w p</w:t>
            </w:r>
            <w:r w:rsidRPr="00565D70">
              <w:rPr>
                <w:rFonts w:eastAsia="Calibri" w:cs="Times New Roman"/>
                <w:sz w:val="24"/>
                <w:szCs w:val="24"/>
              </w:rPr>
              <w:t>rzedmiotowych przedsięwzięciach jest poprawa kondycji psychofizycznej mieszkańców. Dodatkowo pozytywnym aspektem p</w:t>
            </w:r>
            <w:r w:rsidR="00702C23" w:rsidRPr="00565D70">
              <w:rPr>
                <w:rFonts w:eastAsia="Calibri" w:cs="Times New Roman"/>
                <w:sz w:val="24"/>
                <w:szCs w:val="24"/>
              </w:rPr>
              <w:t>rojektów</w:t>
            </w:r>
            <w:r w:rsidRPr="00565D70">
              <w:rPr>
                <w:rFonts w:eastAsia="Calibri" w:cs="Times New Roman"/>
                <w:sz w:val="24"/>
                <w:szCs w:val="24"/>
              </w:rPr>
              <w:t xml:space="preserve"> będzie również dążenie do zwiększania powierzchni biologicznie czynnych i unikanie tworzenia powierzchni uszczelnionych. Przewidzi</w:t>
            </w:r>
            <w:r w:rsidR="00702C23" w:rsidRPr="00565D70">
              <w:rPr>
                <w:rFonts w:eastAsia="Calibri" w:cs="Times New Roman"/>
                <w:sz w:val="24"/>
                <w:szCs w:val="24"/>
              </w:rPr>
              <w:t xml:space="preserve">ane działania to m.in. rozwój i </w:t>
            </w:r>
            <w:r w:rsidRPr="00565D70">
              <w:rPr>
                <w:rFonts w:eastAsia="Calibri" w:cs="Times New Roman"/>
                <w:sz w:val="24"/>
                <w:szCs w:val="24"/>
              </w:rPr>
              <w:t xml:space="preserve">zagospodarowanie terenów zielonych, wnętrz podwórzowych, parków, skwerów, infrastruktura </w:t>
            </w:r>
            <w:r w:rsidRPr="00565D70">
              <w:rPr>
                <w:rFonts w:eastAsia="Calibri" w:cs="Times New Roman"/>
                <w:bCs/>
                <w:sz w:val="24"/>
                <w:szCs w:val="24"/>
              </w:rPr>
              <w:t>aktywizacji i integracji społecznej.</w:t>
            </w:r>
          </w:p>
        </w:tc>
      </w:tr>
    </w:tbl>
    <w:p w:rsidR="00AA637C" w:rsidRPr="00702C23" w:rsidRDefault="00AA637C" w:rsidP="00AA637C">
      <w:pPr>
        <w:spacing w:after="200" w:line="276" w:lineRule="auto"/>
        <w:jc w:val="left"/>
        <w:rPr>
          <w:rFonts w:ascii="Calibri" w:eastAsia="Calibri" w:hAnsi="Calibri" w:cs="Times New Roman"/>
          <w:sz w:val="10"/>
        </w:rPr>
      </w:pPr>
    </w:p>
    <w:tbl>
      <w:tblPr>
        <w:tblStyle w:val="Tabela-Siatk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1 Rozwój infrastruktury aktywizacji i integracji społecznej mający na celu poprawę kondycji psychofizycznej mieszkańców we Wrocławskim Obszarze Funkcjonalnym, ze szczególnym uwzględnieniem kultury"/>
        <w:tblDescription w:val="Wiązka projektów 11 Rozwój infrastruktury aktywizacji i integracji społecznej mający na celu poprawę kondycji psychofizycznej mieszkańców we Wrocławskim Obszarze Funkcjonalnym, ze szczególnym uwzględnieniem kultury"/>
      </w:tblPr>
      <w:tblGrid>
        <w:gridCol w:w="1740"/>
        <w:gridCol w:w="7276"/>
      </w:tblGrid>
      <w:tr w:rsidR="00565D70" w:rsidRPr="00565D70" w:rsidTr="00565D70">
        <w:trPr>
          <w:trHeight w:val="794"/>
          <w:tblHeader/>
          <w:jc w:val="center"/>
        </w:trPr>
        <w:tc>
          <w:tcPr>
            <w:tcW w:w="1740"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Wiązka projektów 1</w:t>
            </w:r>
            <w:r>
              <w:rPr>
                <w:rFonts w:ascii="Calibri" w:eastAsia="Calibri" w:hAnsi="Calibri" w:cs="Times New Roman"/>
                <w:b/>
                <w:sz w:val="24"/>
                <w:szCs w:val="24"/>
              </w:rPr>
              <w:t>1</w:t>
            </w:r>
          </w:p>
        </w:tc>
        <w:tc>
          <w:tcPr>
            <w:tcW w:w="7276"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eastAsia="Calibri" w:cstheme="minorHAnsi"/>
                <w:b/>
                <w:sz w:val="24"/>
                <w:szCs w:val="24"/>
              </w:rPr>
              <w:t>Rozwój infrastruktury aktywizacji i integracji społecznej mający na celu poprawę kondycji psychofizycznej mieszkańców we Wrocławskim Obszarze Funkcjonalnym, ze szczególnym uwzględnieniem kultury</w:t>
            </w:r>
          </w:p>
        </w:tc>
      </w:tr>
      <w:tr w:rsidR="00AA637C" w:rsidRPr="00565D70" w:rsidTr="00565D70">
        <w:trPr>
          <w:jc w:val="center"/>
        </w:trPr>
        <w:tc>
          <w:tcPr>
            <w:tcW w:w="1740"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276" w:type="dxa"/>
          </w:tcPr>
          <w:p w:rsidR="00C76240"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  </w:t>
            </w:r>
            <w:r w:rsidR="00C76240" w:rsidRPr="00565D70">
              <w:rPr>
                <w:rFonts w:ascii="Calibri" w:eastAsia="Calibri" w:hAnsi="Calibri" w:cs="Times New Roman"/>
                <w:b/>
                <w:sz w:val="24"/>
                <w:szCs w:val="24"/>
              </w:rPr>
              <w:t>Projekty podstawowe:</w:t>
            </w:r>
          </w:p>
          <w:p w:rsidR="00C76240" w:rsidRPr="00565D70" w:rsidRDefault="00C76240" w:rsidP="00565D70">
            <w:pPr>
              <w:pStyle w:val="Akapitzlist"/>
              <w:numPr>
                <w:ilvl w:val="0"/>
                <w:numId w:val="39"/>
              </w:numPr>
              <w:tabs>
                <w:tab w:val="left" w:pos="1872"/>
              </w:tabs>
              <w:spacing w:line="240" w:lineRule="auto"/>
              <w:jc w:val="left"/>
              <w:rPr>
                <w:rFonts w:eastAsia="Calibri" w:cstheme="minorHAnsi"/>
                <w:bCs/>
                <w:sz w:val="24"/>
                <w:szCs w:val="24"/>
              </w:rPr>
            </w:pPr>
            <w:r w:rsidRPr="00565D70">
              <w:rPr>
                <w:rFonts w:eastAsia="Calibri" w:cstheme="minorHAnsi"/>
                <w:bCs/>
                <w:sz w:val="24"/>
                <w:szCs w:val="24"/>
              </w:rPr>
              <w:t>Budowa świetlicy wiejskiej wraz z kuźnią talentów w Sadkowie</w:t>
            </w:r>
          </w:p>
          <w:p w:rsidR="00C76240" w:rsidRPr="00565D70" w:rsidRDefault="00C76240" w:rsidP="00565D70">
            <w:pPr>
              <w:pStyle w:val="Akapitzlist"/>
              <w:numPr>
                <w:ilvl w:val="0"/>
                <w:numId w:val="39"/>
              </w:numPr>
              <w:tabs>
                <w:tab w:val="left" w:pos="1872"/>
              </w:tabs>
              <w:spacing w:line="240" w:lineRule="auto"/>
              <w:jc w:val="left"/>
              <w:rPr>
                <w:rFonts w:eastAsia="Calibri" w:cstheme="minorHAnsi"/>
                <w:bCs/>
                <w:sz w:val="24"/>
                <w:szCs w:val="24"/>
              </w:rPr>
            </w:pPr>
            <w:r w:rsidRPr="00565D70">
              <w:rPr>
                <w:rFonts w:eastAsia="Calibri" w:cstheme="minorHAnsi"/>
                <w:bCs/>
                <w:sz w:val="24"/>
                <w:szCs w:val="24"/>
              </w:rPr>
              <w:t>Rozwój infrastruktury aktywizacji i integracji społecznej mający na celu poprawę kondycji psychofizycznej mieszkańców - budowa systemu świetlic wiejskich na obszarze gminy Siechnice</w:t>
            </w:r>
          </w:p>
          <w:p w:rsidR="00C76240" w:rsidRPr="00565D70" w:rsidRDefault="00C76240" w:rsidP="00565D70">
            <w:pPr>
              <w:pStyle w:val="Akapitzlist"/>
              <w:numPr>
                <w:ilvl w:val="0"/>
                <w:numId w:val="39"/>
              </w:numPr>
              <w:tabs>
                <w:tab w:val="left" w:pos="1872"/>
              </w:tabs>
              <w:spacing w:line="240" w:lineRule="auto"/>
              <w:jc w:val="left"/>
              <w:rPr>
                <w:rFonts w:ascii="Calibri" w:eastAsia="Calibri" w:hAnsi="Calibri" w:cs="Times New Roman"/>
                <w:b/>
                <w:sz w:val="24"/>
                <w:szCs w:val="24"/>
              </w:rPr>
            </w:pPr>
            <w:r w:rsidRPr="00565D70">
              <w:rPr>
                <w:rFonts w:eastAsia="Calibri" w:cstheme="minorHAnsi"/>
                <w:bCs/>
                <w:sz w:val="24"/>
                <w:szCs w:val="24"/>
              </w:rPr>
              <w:t>Remont i przebudowa świetlicy wiejskiej w Michałowicach</w:t>
            </w:r>
          </w:p>
          <w:p w:rsidR="00C76240" w:rsidRPr="00565D70" w:rsidRDefault="00C76240" w:rsidP="00565D70">
            <w:pPr>
              <w:tabs>
                <w:tab w:val="left" w:pos="1872"/>
              </w:tabs>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C76240" w:rsidRPr="00565D70" w:rsidRDefault="00C76240" w:rsidP="00565D70">
            <w:pPr>
              <w:pStyle w:val="Akapitzlist"/>
              <w:numPr>
                <w:ilvl w:val="0"/>
                <w:numId w:val="39"/>
              </w:numPr>
              <w:tabs>
                <w:tab w:val="left" w:pos="1872"/>
              </w:tabs>
              <w:spacing w:line="240" w:lineRule="auto"/>
              <w:jc w:val="left"/>
              <w:rPr>
                <w:rFonts w:eastAsia="Calibri" w:cstheme="minorHAnsi"/>
                <w:bCs/>
                <w:sz w:val="24"/>
                <w:szCs w:val="24"/>
              </w:rPr>
            </w:pPr>
            <w:r w:rsidRPr="00565D70">
              <w:rPr>
                <w:rFonts w:eastAsia="Calibri" w:cstheme="minorHAnsi"/>
                <w:bCs/>
                <w:sz w:val="24"/>
                <w:szCs w:val="24"/>
              </w:rPr>
              <w:t>Budowa Budynku Świetlicy wiejskiej na terenie Gminy</w:t>
            </w:r>
          </w:p>
          <w:p w:rsidR="00AA637C" w:rsidRPr="00565D70" w:rsidRDefault="00C76240" w:rsidP="00565D70">
            <w:pPr>
              <w:pStyle w:val="Akapitzlist"/>
              <w:numPr>
                <w:ilvl w:val="0"/>
                <w:numId w:val="39"/>
              </w:numPr>
              <w:spacing w:line="240" w:lineRule="auto"/>
              <w:jc w:val="left"/>
              <w:rPr>
                <w:rFonts w:eastAsia="Calibri" w:cstheme="minorHAnsi"/>
                <w:bCs/>
                <w:sz w:val="24"/>
                <w:szCs w:val="24"/>
              </w:rPr>
            </w:pPr>
            <w:r w:rsidRPr="00565D70">
              <w:rPr>
                <w:rFonts w:eastAsia="Calibri" w:cstheme="minorHAnsi"/>
                <w:bCs/>
                <w:sz w:val="24"/>
                <w:szCs w:val="24"/>
              </w:rPr>
              <w:t>Stworzenie centrów integracyjno-edukacyjnych dla mieszkańców gminy Długołęka wraz z zagospodarowaniem terenów zielonych</w:t>
            </w:r>
          </w:p>
        </w:tc>
      </w:tr>
      <w:tr w:rsidR="00AA637C" w:rsidRPr="00565D70" w:rsidTr="00565D70">
        <w:trPr>
          <w:jc w:val="center"/>
        </w:trPr>
        <w:tc>
          <w:tcPr>
            <w:tcW w:w="1740"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276" w:type="dxa"/>
            <w:vAlign w:val="center"/>
          </w:tcPr>
          <w:p w:rsidR="00AA637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RSO5.1. Wspieranie zintegrowanego i sprzyjającego włączeniu społecznemu rozwoju społecznego, gospodarczego i środowiskowego, kultury, dziedzictwa naturalnego, zrównoważonej turystyki i bezpieczeństwa na obszarach miejskich</w:t>
            </w:r>
          </w:p>
        </w:tc>
      </w:tr>
      <w:tr w:rsidR="00AA637C" w:rsidRPr="00565D70" w:rsidTr="00565D70">
        <w:trPr>
          <w:jc w:val="center"/>
        </w:trPr>
        <w:tc>
          <w:tcPr>
            <w:tcW w:w="1740"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276" w:type="dxa"/>
          </w:tcPr>
          <w:p w:rsidR="00CD3CB8" w:rsidRPr="00565D70" w:rsidRDefault="00CD3CB8" w:rsidP="00565D70">
            <w:pPr>
              <w:autoSpaceDE w:val="0"/>
              <w:autoSpaceDN w:val="0"/>
              <w:adjustRightInd w:val="0"/>
              <w:spacing w:line="240" w:lineRule="auto"/>
              <w:jc w:val="left"/>
              <w:rPr>
                <w:rFonts w:ascii="Calibri" w:eastAsia="Calibri" w:hAnsi="Calibri" w:cs="Calibri"/>
                <w:b/>
                <w:bCs/>
                <w:color w:val="000000"/>
                <w:spacing w:val="-2"/>
                <w:sz w:val="24"/>
                <w:szCs w:val="24"/>
              </w:rPr>
            </w:pPr>
            <w:r w:rsidRPr="00565D70">
              <w:rPr>
                <w:rFonts w:ascii="Calibri" w:eastAsia="Calibri" w:hAnsi="Calibri" w:cs="Calibri"/>
                <w:color w:val="000000"/>
                <w:spacing w:val="-2"/>
                <w:sz w:val="24"/>
                <w:szCs w:val="24"/>
              </w:rPr>
              <w:t xml:space="preserve">Zgodnie z zapisami FEDS 2021-2027 środki w ramach programu przeznacza się na realizację kluczowych przedsięwzięć wynikających ze Strategii ZIT istotnych z punktu widzenia rozwoju miast, gmin, powiatów oraz ich obszarów funkcjonalnych. Interwencja w ramach celu szczegółowego RSO5.1 skupia się na poprawie jakości życia mieszkańców, promowaniu i ochronie materialnego dziedzictwa kulturowego i rozwoju instytucji kultury, jak również rozwoju i promowaniu publicznych walorów turystycznych, działaniach mających na celu poprawę kondycji psychofizycznej mieszkańców, w tym edukacji kulturalnej. Zidentyfikowane w wiązce projekty służą poprawie kondycji psychofizycznej mieszkańców i edukacji kulturalnej, co przekłada się również na poprawę jakości życia mieszkańców. </w:t>
            </w:r>
            <w:r w:rsidRPr="00565D70">
              <w:rPr>
                <w:rFonts w:ascii="Calibri" w:eastAsia="Calibri" w:hAnsi="Calibri" w:cs="Calibri"/>
                <w:b/>
                <w:bCs/>
                <w:color w:val="000000"/>
                <w:spacing w:val="-2"/>
                <w:sz w:val="24"/>
                <w:szCs w:val="24"/>
              </w:rPr>
              <w:t>Projekty wchodzące w skład wiązki mają wpływ na więcej niż jedną gminę we WrOF, gdyż przyczyniają się m.in. do poprawy jakości życia mieszkańców obszaru WrOF oraz stanowić będą zachętę do poznania sąsiadujących miejscowości.</w:t>
            </w:r>
          </w:p>
          <w:p w:rsidR="00E659C3" w:rsidRPr="00565D70" w:rsidRDefault="00E659C3" w:rsidP="00565D70">
            <w:pPr>
              <w:autoSpaceDE w:val="0"/>
              <w:autoSpaceDN w:val="0"/>
              <w:adjustRightInd w:val="0"/>
              <w:spacing w:line="240" w:lineRule="auto"/>
              <w:jc w:val="left"/>
              <w:rPr>
                <w:rFonts w:ascii="Calibri" w:eastAsia="Calibri" w:hAnsi="Calibri" w:cs="Calibri"/>
                <w:color w:val="000000"/>
                <w:spacing w:val="-2"/>
                <w:sz w:val="24"/>
                <w:szCs w:val="24"/>
              </w:rPr>
            </w:pPr>
          </w:p>
          <w:p w:rsidR="00CD3CB8" w:rsidRPr="00565D70" w:rsidRDefault="00702C23" w:rsidP="00565D70">
            <w:pPr>
              <w:autoSpaceDE w:val="0"/>
              <w:autoSpaceDN w:val="0"/>
              <w:adjustRightInd w:val="0"/>
              <w:spacing w:line="240" w:lineRule="auto"/>
              <w:jc w:val="left"/>
              <w:rPr>
                <w:rFonts w:ascii="Calibri" w:eastAsia="Calibri" w:hAnsi="Calibri" w:cs="Calibri"/>
                <w:bCs/>
                <w:color w:val="000000"/>
                <w:spacing w:val="-2"/>
                <w:sz w:val="24"/>
                <w:szCs w:val="24"/>
              </w:rPr>
            </w:pPr>
            <w:r w:rsidRPr="00565D70">
              <w:rPr>
                <w:rFonts w:ascii="Calibri" w:eastAsia="Calibri" w:hAnsi="Calibri" w:cs="Calibri"/>
                <w:bCs/>
                <w:color w:val="000000"/>
                <w:spacing w:val="-2"/>
                <w:sz w:val="24"/>
                <w:szCs w:val="24"/>
              </w:rPr>
              <w:t xml:space="preserve">Zaproponowana </w:t>
            </w:r>
            <w:r w:rsidRPr="00565D70">
              <w:rPr>
                <w:rFonts w:ascii="Calibri" w:eastAsia="Calibri" w:hAnsi="Calibri" w:cs="Calibri"/>
                <w:b/>
                <w:bCs/>
                <w:color w:val="000000"/>
                <w:spacing w:val="-2"/>
                <w:sz w:val="24"/>
                <w:szCs w:val="24"/>
              </w:rPr>
              <w:t xml:space="preserve">wiązka </w:t>
            </w:r>
            <w:r w:rsidR="00CD3CB8" w:rsidRPr="00565D70">
              <w:rPr>
                <w:rFonts w:ascii="Calibri" w:eastAsia="Calibri" w:hAnsi="Calibri" w:cs="Calibri"/>
                <w:b/>
                <w:bCs/>
                <w:color w:val="000000"/>
                <w:spacing w:val="-2"/>
                <w:sz w:val="24"/>
                <w:szCs w:val="24"/>
              </w:rPr>
              <w:t>projektów</w:t>
            </w:r>
            <w:r w:rsidRPr="00565D70">
              <w:rPr>
                <w:rFonts w:ascii="Calibri" w:eastAsia="Calibri" w:hAnsi="Calibri" w:cs="Calibri"/>
                <w:bCs/>
                <w:color w:val="000000"/>
                <w:spacing w:val="-2"/>
                <w:sz w:val="24"/>
                <w:szCs w:val="24"/>
              </w:rPr>
              <w:t xml:space="preserve"> </w:t>
            </w:r>
            <w:r w:rsidR="00CD3CB8" w:rsidRPr="00565D70">
              <w:rPr>
                <w:rFonts w:ascii="Calibri" w:eastAsia="Calibri" w:hAnsi="Calibri" w:cs="Calibri"/>
                <w:bCs/>
                <w:color w:val="000000"/>
                <w:spacing w:val="-2"/>
                <w:sz w:val="24"/>
                <w:szCs w:val="24"/>
              </w:rPr>
              <w:t xml:space="preserve">wykazuje pełną </w:t>
            </w:r>
            <w:r w:rsidR="00CD3CB8" w:rsidRPr="00565D70">
              <w:rPr>
                <w:rFonts w:ascii="Calibri" w:eastAsia="Calibri" w:hAnsi="Calibri" w:cs="Calibri"/>
                <w:b/>
                <w:bCs/>
                <w:color w:val="000000"/>
                <w:spacing w:val="-2"/>
                <w:sz w:val="24"/>
                <w:szCs w:val="24"/>
              </w:rPr>
              <w:t>wewnętrzną komplementarność i synergię w zakresie tematycznym</w:t>
            </w:r>
            <w:r w:rsidR="00CD3CB8" w:rsidRPr="00565D70">
              <w:rPr>
                <w:rFonts w:ascii="Calibri" w:eastAsia="Calibri" w:hAnsi="Calibri" w:cs="Calibri"/>
                <w:bCs/>
                <w:color w:val="000000"/>
                <w:spacing w:val="-2"/>
                <w:sz w:val="24"/>
                <w:szCs w:val="24"/>
              </w:rPr>
              <w:t xml:space="preserve">, ponieważ przedmiotem projektów jest fizyczna odnowa przestrzeni publicznych </w:t>
            </w:r>
            <w:r w:rsidR="00CD3CB8" w:rsidRPr="00565D70">
              <w:rPr>
                <w:rFonts w:ascii="Calibri" w:eastAsia="Calibri" w:hAnsi="Calibri" w:cs="Calibri"/>
                <w:b/>
                <w:bCs/>
                <w:color w:val="000000"/>
                <w:spacing w:val="-2"/>
                <w:sz w:val="24"/>
                <w:szCs w:val="24"/>
              </w:rPr>
              <w:t>oraz w zakresie obszarowym</w:t>
            </w:r>
            <w:r w:rsidR="00CD3CB8" w:rsidRPr="00565D70">
              <w:rPr>
                <w:rFonts w:ascii="Calibri" w:eastAsia="Calibri" w:hAnsi="Calibri" w:cs="Calibri"/>
                <w:bCs/>
                <w:color w:val="000000"/>
                <w:spacing w:val="-2"/>
                <w:sz w:val="24"/>
                <w:szCs w:val="24"/>
              </w:rPr>
              <w:t>, gdyż rzeczowa realizacja projektów zaplanowana jest na terenie gmin ZIT WrOF.</w:t>
            </w:r>
          </w:p>
          <w:p w:rsidR="00E659C3" w:rsidRPr="00565D70" w:rsidRDefault="00E659C3" w:rsidP="00565D70">
            <w:pPr>
              <w:autoSpaceDE w:val="0"/>
              <w:autoSpaceDN w:val="0"/>
              <w:adjustRightInd w:val="0"/>
              <w:spacing w:line="240" w:lineRule="auto"/>
              <w:jc w:val="left"/>
              <w:rPr>
                <w:rFonts w:ascii="Calibri" w:eastAsia="Calibri" w:hAnsi="Calibri" w:cs="Calibri"/>
                <w:bCs/>
                <w:color w:val="000000"/>
                <w:spacing w:val="-2"/>
                <w:sz w:val="24"/>
                <w:szCs w:val="24"/>
              </w:rPr>
            </w:pPr>
          </w:p>
          <w:p w:rsidR="00CD3CB8" w:rsidRPr="00565D70" w:rsidRDefault="00CD3CB8" w:rsidP="00565D70">
            <w:pPr>
              <w:autoSpaceDE w:val="0"/>
              <w:autoSpaceDN w:val="0"/>
              <w:adjustRightInd w:val="0"/>
              <w:spacing w:line="240" w:lineRule="auto"/>
              <w:jc w:val="left"/>
              <w:rPr>
                <w:rFonts w:ascii="Calibri" w:eastAsia="Calibri" w:hAnsi="Calibri" w:cs="Calibri"/>
                <w:bCs/>
                <w:color w:val="000000"/>
                <w:spacing w:val="-2"/>
                <w:sz w:val="24"/>
                <w:szCs w:val="24"/>
              </w:rPr>
            </w:pPr>
            <w:r w:rsidRPr="00565D70">
              <w:rPr>
                <w:rFonts w:ascii="Calibri" w:eastAsia="Calibri" w:hAnsi="Calibri" w:cs="Calibri"/>
                <w:bCs/>
                <w:color w:val="000000"/>
                <w:spacing w:val="-2"/>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zagospodarowania przestrzeni publicznych. Ponadto ich realizacja jest uzasadniona zarówno w części diagnostycznej, jak i kierunkowej strategii ZIT WrOF. </w:t>
            </w:r>
          </w:p>
          <w:p w:rsidR="005255DE" w:rsidRPr="00565D70" w:rsidRDefault="005255DE" w:rsidP="00565D70">
            <w:pPr>
              <w:pStyle w:val="Default"/>
            </w:pPr>
            <w:r w:rsidRPr="00565D70">
              <w:t xml:space="preserve">Wiązka projektów  spełnia  warunki  projektu zintegrowanego tj. stanowi grupę projektów powiązanych ze sobą merytorycznie (zawiera podobne typy  projektów) oraz funkcjonalnie (zintegrowany wpływ realizacji </w:t>
            </w:r>
            <w:r w:rsidR="00702C23" w:rsidRPr="00565D70">
              <w:t>projektów  na obszar  ZIT).  Na </w:t>
            </w:r>
            <w:r w:rsidRPr="00565D70">
              <w:t>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Celów.  Na etapie realizacji projekty będą synergiczne  w ramach: okresu programowania i  wdrażane  w sposób skoordynowany w  ramach obszaru ZIT WrOF, dla którego została opracowana Strategia  oraz powiązań w zakresie rzeczowym, które przełożą się na realizację zidentyfikowanych w strategii celów, priorytetów i kierunków działań, a docelowo  realizację wskaźników produktu i rezultatu przewidzianych w Strategii.</w:t>
            </w:r>
          </w:p>
          <w:p w:rsidR="00702C23" w:rsidRPr="00565D70" w:rsidRDefault="00702C23" w:rsidP="00565D70">
            <w:pPr>
              <w:pStyle w:val="Default"/>
            </w:pPr>
          </w:p>
          <w:p w:rsidR="00CD3CB8" w:rsidRPr="00565D70" w:rsidRDefault="00CD3CB8" w:rsidP="00565D70">
            <w:pPr>
              <w:autoSpaceDE w:val="0"/>
              <w:autoSpaceDN w:val="0"/>
              <w:adjustRightInd w:val="0"/>
              <w:spacing w:line="240" w:lineRule="auto"/>
              <w:jc w:val="left"/>
              <w:rPr>
                <w:rFonts w:ascii="Calibri" w:eastAsia="Calibri" w:hAnsi="Calibri" w:cs="Calibri"/>
                <w:bCs/>
                <w:color w:val="000000"/>
                <w:spacing w:val="-2"/>
                <w:sz w:val="24"/>
                <w:szCs w:val="24"/>
              </w:rPr>
            </w:pPr>
            <w:r w:rsidRPr="00565D70">
              <w:rPr>
                <w:rFonts w:ascii="Calibri" w:eastAsia="Calibri" w:hAnsi="Calibri" w:cs="Calibri"/>
                <w:bCs/>
                <w:color w:val="000000"/>
                <w:spacing w:val="-2"/>
                <w:sz w:val="24"/>
                <w:szCs w:val="24"/>
              </w:rPr>
              <w:t>Realizacja projektów stanowiących wiązkę w</w:t>
            </w:r>
            <w:r w:rsidR="00063259" w:rsidRPr="00565D70">
              <w:rPr>
                <w:rFonts w:ascii="Calibri" w:eastAsia="Calibri" w:hAnsi="Calibri" w:cs="Calibri"/>
                <w:bCs/>
                <w:color w:val="000000"/>
                <w:spacing w:val="-2"/>
                <w:sz w:val="24"/>
                <w:szCs w:val="24"/>
              </w:rPr>
              <w:t>ynika z części diagnostycznej i </w:t>
            </w:r>
            <w:r w:rsidRPr="00565D70">
              <w:rPr>
                <w:rFonts w:ascii="Calibri" w:eastAsia="Calibri" w:hAnsi="Calibri" w:cs="Calibri"/>
                <w:bCs/>
                <w:color w:val="000000"/>
                <w:spacing w:val="-2"/>
                <w:sz w:val="24"/>
                <w:szCs w:val="24"/>
              </w:rPr>
              <w:t xml:space="preserve">kierunkowej Strategii ZIT WrOF, tj.: </w:t>
            </w:r>
          </w:p>
          <w:p w:rsidR="00CD3CB8" w:rsidRPr="00565D70" w:rsidRDefault="00CD3CB8" w:rsidP="00565D70">
            <w:pPr>
              <w:autoSpaceDE w:val="0"/>
              <w:autoSpaceDN w:val="0"/>
              <w:adjustRightInd w:val="0"/>
              <w:spacing w:line="240" w:lineRule="auto"/>
              <w:jc w:val="left"/>
              <w:rPr>
                <w:rFonts w:ascii="Calibri" w:eastAsia="Calibri" w:hAnsi="Calibri" w:cs="Calibri"/>
                <w:bCs/>
                <w:color w:val="000000"/>
                <w:spacing w:val="-2"/>
                <w:sz w:val="24"/>
                <w:szCs w:val="24"/>
              </w:rPr>
            </w:pPr>
            <w:r w:rsidRPr="00565D70">
              <w:rPr>
                <w:rFonts w:ascii="Calibri" w:eastAsia="Calibri" w:hAnsi="Calibri" w:cs="Calibri"/>
                <w:b/>
                <w:bCs/>
                <w:color w:val="000000"/>
                <w:spacing w:val="-2"/>
                <w:sz w:val="24"/>
                <w:szCs w:val="24"/>
              </w:rPr>
              <w:t>Cel strategiczny 4. Integracja i rozwój terytorialny WrOF</w:t>
            </w:r>
          </w:p>
          <w:p w:rsidR="00CD3CB8" w:rsidRPr="00565D70" w:rsidRDefault="00CD3CB8" w:rsidP="00565D70">
            <w:pPr>
              <w:autoSpaceDE w:val="0"/>
              <w:autoSpaceDN w:val="0"/>
              <w:adjustRightInd w:val="0"/>
              <w:spacing w:line="240" w:lineRule="auto"/>
              <w:jc w:val="left"/>
              <w:rPr>
                <w:rFonts w:ascii="Calibri" w:eastAsia="Calibri" w:hAnsi="Calibri" w:cs="Calibri"/>
                <w:b/>
                <w:color w:val="000000"/>
                <w:spacing w:val="-2"/>
                <w:sz w:val="24"/>
                <w:szCs w:val="24"/>
              </w:rPr>
            </w:pPr>
            <w:r w:rsidRPr="00565D70">
              <w:rPr>
                <w:rFonts w:ascii="Calibri" w:eastAsia="Calibri" w:hAnsi="Calibri" w:cs="Calibri"/>
                <w:b/>
                <w:color w:val="000000"/>
                <w:spacing w:val="-2"/>
                <w:sz w:val="24"/>
                <w:szCs w:val="24"/>
              </w:rPr>
              <w:t>Priorytet 14 Przestrzenie publiczne</w:t>
            </w:r>
          </w:p>
          <w:p w:rsidR="00CD3CB8" w:rsidRPr="00565D70" w:rsidRDefault="00CD3CB8" w:rsidP="00565D70">
            <w:pPr>
              <w:autoSpaceDE w:val="0"/>
              <w:autoSpaceDN w:val="0"/>
              <w:adjustRightInd w:val="0"/>
              <w:spacing w:line="240" w:lineRule="auto"/>
              <w:jc w:val="left"/>
              <w:rPr>
                <w:rFonts w:ascii="Calibri" w:eastAsia="Calibri" w:hAnsi="Calibri" w:cs="Calibri"/>
                <w:b/>
                <w:bCs/>
                <w:color w:val="000000"/>
                <w:spacing w:val="-2"/>
                <w:sz w:val="24"/>
                <w:szCs w:val="24"/>
              </w:rPr>
            </w:pPr>
            <w:r w:rsidRPr="00565D70">
              <w:rPr>
                <w:rFonts w:ascii="Calibri" w:eastAsia="Calibri" w:hAnsi="Calibri" w:cs="Calibri"/>
                <w:b/>
                <w:bCs/>
                <w:color w:val="000000"/>
                <w:spacing w:val="-2"/>
                <w:sz w:val="24"/>
                <w:szCs w:val="24"/>
              </w:rPr>
              <w:t xml:space="preserve">Kierunek działania 14.2 </w:t>
            </w:r>
            <w:r w:rsidRPr="00565D70">
              <w:rPr>
                <w:rFonts w:ascii="Calibri" w:eastAsia="Calibri" w:hAnsi="Calibri" w:cs="Calibri"/>
                <w:bCs/>
                <w:color w:val="000000"/>
                <w:spacing w:val="-2"/>
                <w:sz w:val="24"/>
                <w:szCs w:val="24"/>
              </w:rPr>
              <w:t>Infrastruktura akty</w:t>
            </w:r>
            <w:r w:rsidR="00A80C29" w:rsidRPr="00565D70">
              <w:rPr>
                <w:rFonts w:ascii="Calibri" w:eastAsia="Calibri" w:hAnsi="Calibri" w:cs="Calibri"/>
                <w:bCs/>
                <w:color w:val="000000"/>
                <w:spacing w:val="-2"/>
                <w:sz w:val="24"/>
                <w:szCs w:val="24"/>
              </w:rPr>
              <w:t xml:space="preserve">wizacji i integracji społecznej </w:t>
            </w:r>
            <w:r w:rsidRPr="00565D70">
              <w:rPr>
                <w:rFonts w:ascii="Calibri" w:eastAsia="Calibri" w:hAnsi="Calibri" w:cs="Calibri"/>
                <w:bCs/>
                <w:color w:val="000000"/>
                <w:spacing w:val="-2"/>
                <w:sz w:val="24"/>
                <w:szCs w:val="24"/>
              </w:rPr>
              <w:t>maj</w:t>
            </w:r>
            <w:r w:rsidR="00A80C29" w:rsidRPr="00565D70">
              <w:rPr>
                <w:rFonts w:ascii="Calibri" w:eastAsia="Calibri" w:hAnsi="Calibri" w:cs="Calibri"/>
                <w:bCs/>
                <w:color w:val="000000"/>
                <w:spacing w:val="-2"/>
                <w:sz w:val="24"/>
                <w:szCs w:val="24"/>
              </w:rPr>
              <w:t>ąca na </w:t>
            </w:r>
            <w:r w:rsidRPr="00565D70">
              <w:rPr>
                <w:rFonts w:ascii="Calibri" w:eastAsia="Calibri" w:hAnsi="Calibri" w:cs="Calibri"/>
                <w:bCs/>
                <w:color w:val="000000"/>
                <w:spacing w:val="-2"/>
                <w:sz w:val="24"/>
                <w:szCs w:val="24"/>
              </w:rPr>
              <w:t>celu poprawę kondycji psychofizycznej mieszkańców</w:t>
            </w:r>
          </w:p>
          <w:p w:rsidR="00CD3CB8" w:rsidRPr="00565D70" w:rsidRDefault="00CD3CB8" w:rsidP="00565D70">
            <w:pPr>
              <w:autoSpaceDE w:val="0"/>
              <w:autoSpaceDN w:val="0"/>
              <w:adjustRightInd w:val="0"/>
              <w:spacing w:line="240" w:lineRule="auto"/>
              <w:jc w:val="left"/>
              <w:rPr>
                <w:rFonts w:ascii="Calibri" w:eastAsia="Calibri" w:hAnsi="Calibri" w:cs="Calibri"/>
                <w:color w:val="000000"/>
                <w:spacing w:val="-2"/>
                <w:sz w:val="24"/>
                <w:szCs w:val="24"/>
              </w:rPr>
            </w:pPr>
          </w:p>
          <w:p w:rsidR="00CD3CB8" w:rsidRPr="00565D70" w:rsidRDefault="00CD3CB8" w:rsidP="00565D70">
            <w:pPr>
              <w:autoSpaceDE w:val="0"/>
              <w:autoSpaceDN w:val="0"/>
              <w:adjustRightInd w:val="0"/>
              <w:spacing w:line="240" w:lineRule="auto"/>
              <w:jc w:val="left"/>
              <w:rPr>
                <w:rFonts w:ascii="Calibri" w:eastAsia="Calibri" w:hAnsi="Calibri" w:cs="Calibri"/>
                <w:color w:val="000000"/>
                <w:spacing w:val="-2"/>
                <w:sz w:val="24"/>
                <w:szCs w:val="24"/>
              </w:rPr>
            </w:pPr>
            <w:r w:rsidRPr="00565D70">
              <w:rPr>
                <w:rFonts w:ascii="Calibri" w:eastAsia="Calibri" w:hAnsi="Calibri" w:cs="Calibri"/>
                <w:color w:val="000000"/>
                <w:spacing w:val="-2"/>
                <w:sz w:val="24"/>
                <w:szCs w:val="24"/>
              </w:rPr>
              <w:t>Z punktu widzenia strategicznego kluczowy jest rozwój terytorialny. Przestrzenie publiczne są niezwykle istotnym elementem. Duży nacisk powinien zostać położony na utworzenie i fizyczną odnowę publicznych obszarów miejskich i wiejskich oraz uwzględnienie w przedmiotowych przedsięwzięciach poprawy kondycji psychofizycznej mieszkańców, w szczególności poprzez rozwój infrastruktury, np. kultury. Tym samy wykorzystany zostanie potencjał kulturalny obszaru oraz wsparcie takowyc</w:t>
            </w:r>
            <w:r w:rsidR="00702C23" w:rsidRPr="00565D70">
              <w:rPr>
                <w:rFonts w:ascii="Calibri" w:eastAsia="Calibri" w:hAnsi="Calibri" w:cs="Calibri"/>
                <w:color w:val="000000"/>
                <w:spacing w:val="-2"/>
                <w:sz w:val="24"/>
                <w:szCs w:val="24"/>
              </w:rPr>
              <w:t>h działań po pandemii COVID-19.</w:t>
            </w:r>
          </w:p>
          <w:p w:rsidR="00AA637C" w:rsidRPr="00565D70" w:rsidRDefault="004454ED" w:rsidP="00565D70">
            <w:pPr>
              <w:autoSpaceDE w:val="0"/>
              <w:autoSpaceDN w:val="0"/>
              <w:adjustRightInd w:val="0"/>
              <w:spacing w:line="240" w:lineRule="auto"/>
              <w:jc w:val="left"/>
              <w:rPr>
                <w:rFonts w:ascii="Calibri" w:eastAsia="Calibri" w:hAnsi="Calibri" w:cs="Calibri"/>
                <w:b/>
                <w:color w:val="000000"/>
                <w:spacing w:val="-2"/>
                <w:sz w:val="24"/>
                <w:szCs w:val="24"/>
              </w:rPr>
            </w:pPr>
            <w:r w:rsidRPr="00565D70">
              <w:rPr>
                <w:rFonts w:ascii="Calibri" w:eastAsia="Calibri" w:hAnsi="Calibri" w:cs="Calibri"/>
                <w:color w:val="000000"/>
                <w:spacing w:val="-2"/>
                <w:sz w:val="24"/>
                <w:szCs w:val="24"/>
              </w:rPr>
              <w:t>W p</w:t>
            </w:r>
            <w:r w:rsidR="00CD3CB8" w:rsidRPr="00565D70">
              <w:rPr>
                <w:rFonts w:ascii="Calibri" w:eastAsia="Calibri" w:hAnsi="Calibri" w:cs="Calibri"/>
                <w:color w:val="000000"/>
                <w:spacing w:val="-2"/>
                <w:sz w:val="24"/>
                <w:szCs w:val="24"/>
              </w:rPr>
              <w:t>rioryte</w:t>
            </w:r>
            <w:r w:rsidRPr="00565D70">
              <w:rPr>
                <w:rFonts w:ascii="Calibri" w:eastAsia="Calibri" w:hAnsi="Calibri" w:cs="Calibri"/>
                <w:color w:val="000000"/>
                <w:spacing w:val="-2"/>
                <w:sz w:val="24"/>
                <w:szCs w:val="24"/>
              </w:rPr>
              <w:t>cie</w:t>
            </w:r>
            <w:r w:rsidR="00CD3CB8" w:rsidRPr="00565D70">
              <w:rPr>
                <w:rFonts w:ascii="Calibri" w:eastAsia="Calibri" w:hAnsi="Calibri" w:cs="Calibri"/>
                <w:color w:val="000000"/>
                <w:spacing w:val="-2"/>
                <w:sz w:val="24"/>
                <w:szCs w:val="24"/>
              </w:rPr>
              <w:t xml:space="preserve"> 14 </w:t>
            </w:r>
            <w:r w:rsidRPr="00565D70">
              <w:rPr>
                <w:rFonts w:ascii="Calibri" w:eastAsia="Calibri" w:hAnsi="Calibri" w:cs="Calibri"/>
                <w:color w:val="000000"/>
                <w:spacing w:val="-2"/>
                <w:sz w:val="24"/>
                <w:szCs w:val="24"/>
              </w:rPr>
              <w:t xml:space="preserve">jednym z istotnych aspektów, </w:t>
            </w:r>
            <w:r w:rsidR="00CD3CB8" w:rsidRPr="00565D70">
              <w:rPr>
                <w:rFonts w:ascii="Calibri" w:eastAsia="Calibri" w:hAnsi="Calibri" w:cs="Calibri"/>
                <w:color w:val="000000"/>
                <w:spacing w:val="-2"/>
                <w:sz w:val="24"/>
                <w:szCs w:val="24"/>
              </w:rPr>
              <w:t>n</w:t>
            </w:r>
            <w:r w:rsidR="00063259" w:rsidRPr="00565D70">
              <w:rPr>
                <w:rFonts w:ascii="Calibri" w:eastAsia="Calibri" w:hAnsi="Calibri" w:cs="Calibri"/>
                <w:color w:val="000000"/>
                <w:spacing w:val="-2"/>
                <w:sz w:val="24"/>
                <w:szCs w:val="24"/>
              </w:rPr>
              <w:t xml:space="preserve">a który kładziony jest nacisk </w:t>
            </w:r>
            <w:r w:rsidR="00CD3CB8" w:rsidRPr="00565D70">
              <w:rPr>
                <w:rFonts w:ascii="Calibri" w:eastAsia="Calibri" w:hAnsi="Calibri" w:cs="Calibri"/>
                <w:color w:val="000000"/>
                <w:spacing w:val="-2"/>
                <w:sz w:val="24"/>
                <w:szCs w:val="24"/>
              </w:rPr>
              <w:t>jest poprawa kondycji psychofizycznej mieszkańców, w szczególności poprzez rozwój infrastruktury, np. kultury</w:t>
            </w:r>
            <w:r w:rsidRPr="00565D70">
              <w:rPr>
                <w:rFonts w:ascii="Calibri" w:eastAsia="Calibri" w:hAnsi="Calibri" w:cs="Calibri"/>
                <w:color w:val="000000"/>
                <w:spacing w:val="-2"/>
                <w:sz w:val="24"/>
                <w:szCs w:val="24"/>
              </w:rPr>
              <w:t>.</w:t>
            </w:r>
          </w:p>
        </w:tc>
      </w:tr>
    </w:tbl>
    <w:p w:rsidR="00702C23" w:rsidRPr="00702C23" w:rsidRDefault="00702C23">
      <w:pPr>
        <w:rPr>
          <w:sz w:val="4"/>
          <w:szCs w:val="4"/>
        </w:rPr>
      </w:pPr>
    </w:p>
    <w:tbl>
      <w:tblPr>
        <w:tblStyle w:val="Tabela-Siatka"/>
        <w:tblW w:w="907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2"/>
        <w:tblDescription w:val="Poprawa dostępności usług publicznych, w szczególności poprzez budowę lub rozbudowę infrastruktury społecznej i edukacyjnej"/>
      </w:tblPr>
      <w:tblGrid>
        <w:gridCol w:w="1838"/>
        <w:gridCol w:w="7234"/>
      </w:tblGrid>
      <w:tr w:rsidR="00565D70" w:rsidRPr="00565D70" w:rsidTr="00565D70">
        <w:trPr>
          <w:trHeight w:val="794"/>
          <w:tblHeader/>
          <w:jc w:val="center"/>
        </w:trPr>
        <w:tc>
          <w:tcPr>
            <w:tcW w:w="1838"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Pr>
                <w:rFonts w:ascii="Calibri" w:eastAsia="Calibri" w:hAnsi="Calibri" w:cs="Times New Roman"/>
                <w:b/>
                <w:sz w:val="24"/>
                <w:szCs w:val="24"/>
              </w:rPr>
              <w:t>Wiązka projektów 12</w:t>
            </w:r>
          </w:p>
        </w:tc>
        <w:tc>
          <w:tcPr>
            <w:tcW w:w="7234"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Poprawa dostępności usług publicznych, w szczególności poprzez budowę lub rozbudowę infrastruktury społecznej i edukacyjnej</w:t>
            </w:r>
          </w:p>
        </w:tc>
      </w:tr>
      <w:tr w:rsidR="00AA637C" w:rsidRPr="00565D70" w:rsidTr="00565D70">
        <w:trPr>
          <w:jc w:val="center"/>
        </w:trPr>
        <w:tc>
          <w:tcPr>
            <w:tcW w:w="1838"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234" w:type="dxa"/>
          </w:tcPr>
          <w:p w:rsidR="00C76240" w:rsidRPr="00565D70" w:rsidRDefault="00C76240"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Projekty podstawowe:</w:t>
            </w:r>
          </w:p>
          <w:p w:rsidR="00C76240" w:rsidRPr="00565D70" w:rsidRDefault="00C76240" w:rsidP="00565D70">
            <w:pPr>
              <w:pStyle w:val="Akapitzlist"/>
              <w:numPr>
                <w:ilvl w:val="0"/>
                <w:numId w:val="39"/>
              </w:numPr>
              <w:tabs>
                <w:tab w:val="left" w:pos="1872"/>
              </w:tabs>
              <w:spacing w:line="240" w:lineRule="auto"/>
              <w:jc w:val="left"/>
              <w:rPr>
                <w:rFonts w:eastAsia="Calibri" w:cstheme="minorHAnsi"/>
                <w:bCs/>
                <w:sz w:val="24"/>
                <w:szCs w:val="24"/>
              </w:rPr>
            </w:pPr>
            <w:r w:rsidRPr="00565D70">
              <w:rPr>
                <w:rFonts w:eastAsia="Calibri" w:cstheme="minorHAnsi"/>
                <w:bCs/>
                <w:sz w:val="24"/>
                <w:szCs w:val="24"/>
              </w:rPr>
              <w:t>Budowa budynku edukacyjnego na terenie Gminy Trzebnica</w:t>
            </w:r>
          </w:p>
          <w:p w:rsidR="00C76240" w:rsidRPr="00565D70" w:rsidRDefault="00C76240" w:rsidP="00565D70">
            <w:pPr>
              <w:pStyle w:val="Akapitzlist"/>
              <w:numPr>
                <w:ilvl w:val="0"/>
                <w:numId w:val="39"/>
              </w:numPr>
              <w:tabs>
                <w:tab w:val="left" w:pos="1872"/>
              </w:tabs>
              <w:spacing w:line="240" w:lineRule="auto"/>
              <w:jc w:val="left"/>
              <w:rPr>
                <w:rFonts w:ascii="Calibri" w:eastAsia="Calibri" w:hAnsi="Calibri" w:cs="Times New Roman"/>
                <w:b/>
                <w:sz w:val="24"/>
                <w:szCs w:val="24"/>
              </w:rPr>
            </w:pPr>
            <w:r w:rsidRPr="00565D70">
              <w:rPr>
                <w:rFonts w:eastAsia="Calibri" w:cstheme="minorHAnsi"/>
                <w:bCs/>
                <w:sz w:val="24"/>
                <w:szCs w:val="24"/>
              </w:rPr>
              <w:t>Poprawa dostępności do usług publicznych na terenach wiejskich Wrocławskiego Obszaru Funkcjonalnego – Gmina Czernica etap I</w:t>
            </w:r>
          </w:p>
          <w:p w:rsidR="00C76240" w:rsidRPr="00565D70" w:rsidRDefault="00C76240" w:rsidP="00565D70">
            <w:pPr>
              <w:tabs>
                <w:tab w:val="left" w:pos="1872"/>
              </w:tabs>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C76240" w:rsidRPr="00565D70" w:rsidRDefault="00C76240" w:rsidP="00565D70">
            <w:pPr>
              <w:pStyle w:val="Akapitzlist"/>
              <w:numPr>
                <w:ilvl w:val="0"/>
                <w:numId w:val="39"/>
              </w:numPr>
              <w:tabs>
                <w:tab w:val="left" w:pos="1872"/>
              </w:tabs>
              <w:spacing w:line="240" w:lineRule="auto"/>
              <w:jc w:val="left"/>
              <w:rPr>
                <w:rFonts w:eastAsia="Calibri" w:cstheme="minorHAnsi"/>
                <w:bCs/>
                <w:sz w:val="24"/>
                <w:szCs w:val="24"/>
              </w:rPr>
            </w:pPr>
            <w:r w:rsidRPr="00565D70">
              <w:rPr>
                <w:rFonts w:eastAsia="Calibri" w:cstheme="minorHAnsi"/>
                <w:bCs/>
                <w:sz w:val="24"/>
                <w:szCs w:val="24"/>
              </w:rPr>
              <w:t>Rozbudowa obiektu świadczącego usługi publiczne – Szkoły Podstawowej w Żernikach Wrocławskich</w:t>
            </w:r>
          </w:p>
          <w:p w:rsidR="00AA637C" w:rsidRPr="00565D70" w:rsidRDefault="00C76240" w:rsidP="00565D70">
            <w:pPr>
              <w:pStyle w:val="Akapitzlist"/>
              <w:numPr>
                <w:ilvl w:val="0"/>
                <w:numId w:val="39"/>
              </w:numPr>
              <w:spacing w:line="240" w:lineRule="auto"/>
              <w:jc w:val="left"/>
              <w:rPr>
                <w:rFonts w:eastAsia="Calibri" w:cstheme="minorHAnsi"/>
                <w:bCs/>
                <w:sz w:val="24"/>
                <w:szCs w:val="24"/>
              </w:rPr>
            </w:pPr>
            <w:r w:rsidRPr="00565D70">
              <w:rPr>
                <w:rFonts w:eastAsia="Calibri" w:cstheme="minorHAnsi"/>
                <w:bCs/>
                <w:sz w:val="24"/>
                <w:szCs w:val="24"/>
              </w:rPr>
              <w:t>Poprawa dostępności do usług publicznych na terenach wiejskich Wrocławskiego Obszaru Funkcjonalnego – Gmina Czernica etap II</w:t>
            </w:r>
          </w:p>
        </w:tc>
      </w:tr>
      <w:tr w:rsidR="00AA637C" w:rsidRPr="00565D70" w:rsidTr="00565D70">
        <w:trPr>
          <w:jc w:val="center"/>
        </w:trPr>
        <w:tc>
          <w:tcPr>
            <w:tcW w:w="1838"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234" w:type="dxa"/>
            <w:vAlign w:val="center"/>
          </w:tcPr>
          <w:p w:rsidR="00AA637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RSO5.1. Wspieranie zintegrowanego i sprzyjającego włączeniu społecznemu rozwoju społecznego, gospodarczego i środowiskowego, kultury, dziedzictwa naturalnego, zrównoważonej turystyki i bezpieczeństwa na obszarach miejskich</w:t>
            </w:r>
          </w:p>
        </w:tc>
      </w:tr>
      <w:tr w:rsidR="00AA637C" w:rsidRPr="00565D70" w:rsidTr="00565D70">
        <w:trPr>
          <w:jc w:val="center"/>
        </w:trPr>
        <w:tc>
          <w:tcPr>
            <w:tcW w:w="1838"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234" w:type="dxa"/>
          </w:tcPr>
          <w:p w:rsidR="00E659C3" w:rsidRPr="00565D70" w:rsidRDefault="00E659C3" w:rsidP="00565D70">
            <w:pPr>
              <w:autoSpaceDE w:val="0"/>
              <w:autoSpaceDN w:val="0"/>
              <w:adjustRightInd w:val="0"/>
              <w:spacing w:line="240" w:lineRule="auto"/>
              <w:jc w:val="left"/>
              <w:rPr>
                <w:rFonts w:eastAsia="Calibri" w:cs="Calibri"/>
                <w:b/>
                <w:bCs/>
                <w:color w:val="000000"/>
                <w:spacing w:val="-2"/>
                <w:sz w:val="24"/>
                <w:szCs w:val="24"/>
              </w:rPr>
            </w:pPr>
            <w:r w:rsidRPr="00565D70">
              <w:rPr>
                <w:rFonts w:eastAsia="Calibri" w:cs="Calibri"/>
                <w:color w:val="000000"/>
                <w:spacing w:val="-2"/>
                <w:sz w:val="24"/>
                <w:szCs w:val="24"/>
              </w:rPr>
              <w:t xml:space="preserve">Zgodnie z zapisami FEDS 2021-2027 środki w ramach programu przeznacza się na realizację kluczowych przedsięwzięć wynikających ze Strategii ZIT istotnych z punktu widzenia rozwoju miast, gmin, powiatów oraz ich obszarów funkcjonalnych. Interwencja w ramach celu szczegółowego RSO5.1 skupia się na poprawie jakości życia mieszkańców, promowaniu i ochronie materialnego dziedzictwa kulturowego i rozwoju instytucji kultury, jak również rozwoju i promowaniu publicznych walorów turystycznych, działaniach mających na celu poprawę kondycji psychofizycznej mieszkańców. Zidentyfikowane w wiązce projekty </w:t>
            </w:r>
            <w:r w:rsidR="00A67B99" w:rsidRPr="00565D70">
              <w:rPr>
                <w:rFonts w:eastAsia="Calibri" w:cs="Calibri"/>
                <w:color w:val="000000"/>
                <w:spacing w:val="-2"/>
                <w:sz w:val="24"/>
                <w:szCs w:val="24"/>
              </w:rPr>
              <w:t xml:space="preserve">skupiają się na </w:t>
            </w:r>
            <w:r w:rsidRPr="00565D70">
              <w:rPr>
                <w:rFonts w:eastAsia="Calibri" w:cs="Calibri"/>
                <w:color w:val="000000"/>
                <w:spacing w:val="-2"/>
                <w:sz w:val="24"/>
                <w:szCs w:val="24"/>
              </w:rPr>
              <w:t xml:space="preserve">rozwoju infrastruktury co przekłada się na poprawę jakości życia mieszkańców. </w:t>
            </w:r>
            <w:r w:rsidRPr="00565D70">
              <w:rPr>
                <w:rFonts w:eastAsia="Calibri" w:cs="Calibri"/>
                <w:b/>
                <w:bCs/>
                <w:color w:val="000000"/>
                <w:spacing w:val="-2"/>
                <w:sz w:val="24"/>
                <w:szCs w:val="24"/>
              </w:rPr>
              <w:t>Projekty wchodzące w skład wiązki mają wpływ na więcej niż jedną gminę we WrOF, gdyż przyczyniają się m.in. do poprawy jakości życia mieszkańców obszaru WrOF.</w:t>
            </w:r>
          </w:p>
          <w:p w:rsidR="00E659C3" w:rsidRPr="00565D70" w:rsidRDefault="00E659C3" w:rsidP="00565D70">
            <w:pPr>
              <w:autoSpaceDE w:val="0"/>
              <w:autoSpaceDN w:val="0"/>
              <w:adjustRightInd w:val="0"/>
              <w:spacing w:line="240" w:lineRule="auto"/>
              <w:jc w:val="left"/>
              <w:rPr>
                <w:rFonts w:eastAsia="Calibri" w:cs="Calibri"/>
                <w:color w:val="000000"/>
                <w:spacing w:val="-2"/>
                <w:sz w:val="24"/>
                <w:szCs w:val="24"/>
              </w:rPr>
            </w:pP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r w:rsidRPr="00565D70">
              <w:rPr>
                <w:rFonts w:eastAsia="Calibri" w:cs="Calibri"/>
                <w:bCs/>
                <w:color w:val="000000"/>
                <w:spacing w:val="-2"/>
                <w:sz w:val="24"/>
                <w:szCs w:val="24"/>
              </w:rPr>
              <w:t xml:space="preserve">Zaproponowana </w:t>
            </w:r>
            <w:r w:rsidRPr="00565D70">
              <w:rPr>
                <w:rFonts w:eastAsia="Calibri" w:cs="Calibri"/>
                <w:b/>
                <w:bCs/>
                <w:color w:val="000000"/>
                <w:spacing w:val="-2"/>
                <w:sz w:val="24"/>
                <w:szCs w:val="24"/>
              </w:rPr>
              <w:t>wiązka projektów</w:t>
            </w:r>
            <w:r w:rsidRPr="00565D70">
              <w:rPr>
                <w:rFonts w:eastAsia="Calibri" w:cs="Calibri"/>
                <w:bCs/>
                <w:color w:val="000000"/>
                <w:spacing w:val="-2"/>
                <w:sz w:val="24"/>
                <w:szCs w:val="24"/>
              </w:rPr>
              <w:t xml:space="preserve"> wykazuje pełną </w:t>
            </w:r>
            <w:r w:rsidRPr="00565D70">
              <w:rPr>
                <w:rFonts w:eastAsia="Calibri" w:cs="Calibri"/>
                <w:b/>
                <w:bCs/>
                <w:color w:val="000000"/>
                <w:spacing w:val="-2"/>
                <w:sz w:val="24"/>
                <w:szCs w:val="24"/>
              </w:rPr>
              <w:t>wewnętrzną komplementarność i synergię w zakresie tematycznym</w:t>
            </w:r>
            <w:r w:rsidRPr="00565D70">
              <w:rPr>
                <w:rFonts w:eastAsia="Calibri" w:cs="Calibri"/>
                <w:bCs/>
                <w:color w:val="000000"/>
                <w:spacing w:val="-2"/>
                <w:sz w:val="24"/>
                <w:szCs w:val="24"/>
              </w:rPr>
              <w:t xml:space="preserve">, ponieważ przedmiotem projektów jest </w:t>
            </w:r>
            <w:r w:rsidR="003F3FE5" w:rsidRPr="00565D70">
              <w:rPr>
                <w:rFonts w:eastAsia="Calibri" w:cs="Calibri"/>
                <w:bCs/>
                <w:color w:val="000000"/>
                <w:spacing w:val="-2"/>
                <w:sz w:val="24"/>
                <w:szCs w:val="24"/>
              </w:rPr>
              <w:t xml:space="preserve">poprawa dostępności usług publicznych poprzez rozwój infrastruktury </w:t>
            </w:r>
            <w:r w:rsidRPr="00565D70">
              <w:rPr>
                <w:rFonts w:eastAsia="Calibri" w:cs="Calibri"/>
                <w:b/>
                <w:bCs/>
                <w:color w:val="000000"/>
                <w:spacing w:val="-2"/>
                <w:sz w:val="24"/>
                <w:szCs w:val="24"/>
              </w:rPr>
              <w:t>oraz w zakresie obszarowym</w:t>
            </w:r>
            <w:r w:rsidRPr="00565D70">
              <w:rPr>
                <w:rFonts w:eastAsia="Calibri" w:cs="Calibri"/>
                <w:bCs/>
                <w:color w:val="000000"/>
                <w:spacing w:val="-2"/>
                <w:sz w:val="24"/>
                <w:szCs w:val="24"/>
              </w:rPr>
              <w:t>, gdyż rzeczowa realizacja projektów zaplanowana jest na terenie gmin ZIT WrOF.</w:t>
            </w: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r w:rsidRPr="00565D70">
              <w:rPr>
                <w:rFonts w:eastAsia="Calibri" w:cs="Calibri"/>
                <w:bCs/>
                <w:color w:val="000000"/>
                <w:spacing w:val="-2"/>
                <w:sz w:val="24"/>
                <w:szCs w:val="24"/>
              </w:rPr>
              <w:t>Projekty wchodzące w skład wiązki spełniają wymogi definicji projektu zintegrowanego, tj. wpisują się w cele rozwoju obszaru funkcjonalnego objętego instr</w:t>
            </w:r>
            <w:r w:rsidR="00242EBE" w:rsidRPr="00565D70">
              <w:rPr>
                <w:rFonts w:eastAsia="Calibri" w:cs="Calibri"/>
                <w:bCs/>
                <w:color w:val="000000"/>
                <w:spacing w:val="-2"/>
                <w:sz w:val="24"/>
                <w:szCs w:val="24"/>
              </w:rPr>
              <w:t>umentem, tj. Strategii ZIT WrOF</w:t>
            </w:r>
            <w:r w:rsidRPr="00565D70">
              <w:rPr>
                <w:rFonts w:eastAsia="Calibri" w:cs="Calibri"/>
                <w:bCs/>
                <w:color w:val="000000"/>
                <w:spacing w:val="-2"/>
                <w:sz w:val="24"/>
                <w:szCs w:val="24"/>
              </w:rPr>
              <w:t xml:space="preserve"> i są ukierunkowane na rozwiązywanie wspólnych problemów  rozwojowych w obszarze zagospodarowania przestrzeni publicznych. Ponadto ich realizacja jest uzasadniona zarówno w części diagnostycznej, jak i kierunkowej strategii ZIT WrOF. </w:t>
            </w:r>
          </w:p>
          <w:p w:rsidR="005255DE" w:rsidRPr="00565D70" w:rsidRDefault="005255DE" w:rsidP="00565D70">
            <w:pPr>
              <w:pStyle w:val="Default"/>
            </w:pPr>
            <w:r w:rsidRPr="00565D70">
              <w:t xml:space="preserve">Wiązka projektów  spełnia  warunki  projektu zintegrowanego tj. stanowi grupę projektów powiązanych ze sobą merytorycznie (zawiera podobne typy  projektów) oraz funkcjonalnie (zintegrowany wpływ realizacji projektów  na obszar  ZIT).  Na etapie przygotowania projekty tworzące wiązkę  były opracowywane  równolegle i w sposób skoordynowany,  tj.  ich opisy merytoryczne były przygotowywane przez gminy ZIT WrOF i przekazywane do Biura ZIT WrOF  w celu  wstępnej oceny komplementarności, merytorycznej spójności między nimi oraz realizacji przez nie określonych w Strategii </w:t>
            </w:r>
            <w:r w:rsidR="00702C23" w:rsidRPr="00565D70">
              <w:t>c</w:t>
            </w:r>
            <w:r w:rsidR="00242EBE" w:rsidRPr="00565D70">
              <w:t>elów.  Na </w:t>
            </w:r>
            <w:r w:rsidRPr="00565D70">
              <w:t>etapie realizac</w:t>
            </w:r>
            <w:r w:rsidR="00702C23" w:rsidRPr="00565D70">
              <w:t>ji projekty będą synergiczne  w </w:t>
            </w:r>
            <w:r w:rsidRPr="00565D70">
              <w:t>ramach: okresu programowania i  wdrażane  w spos</w:t>
            </w:r>
            <w:r w:rsidR="00702C23" w:rsidRPr="00565D70">
              <w:t>ób skoordynowany w  </w:t>
            </w:r>
            <w:r w:rsidRPr="00565D70">
              <w:t>ramach obszaru ZIT WrOF, dla którego została opracowana Strategia  oraz powiązań w zakresie rzeczowym, które przełożą się na realizację zidentyfikowanych w</w:t>
            </w:r>
            <w:r w:rsidR="00242EBE" w:rsidRPr="00565D70">
              <w:t xml:space="preserve"> strategii celów, priorytetów i </w:t>
            </w:r>
            <w:r w:rsidRPr="00565D70">
              <w:t>kierunków działań, a docelowo  realizację wskaźników produktu i rezultatu przewidzianych w Strategii.</w:t>
            </w: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r w:rsidRPr="00565D70">
              <w:rPr>
                <w:rFonts w:eastAsia="Calibri" w:cs="Calibri"/>
                <w:bCs/>
                <w:color w:val="000000"/>
                <w:spacing w:val="-2"/>
                <w:sz w:val="24"/>
                <w:szCs w:val="24"/>
              </w:rPr>
              <w:t>Realizacja projektów stanowiących wiązkę w</w:t>
            </w:r>
            <w:r w:rsidR="00242EBE" w:rsidRPr="00565D70">
              <w:rPr>
                <w:rFonts w:eastAsia="Calibri" w:cs="Calibri"/>
                <w:bCs/>
                <w:color w:val="000000"/>
                <w:spacing w:val="-2"/>
                <w:sz w:val="24"/>
                <w:szCs w:val="24"/>
              </w:rPr>
              <w:t>ynika z części diagnostycznej i </w:t>
            </w:r>
            <w:r w:rsidRPr="00565D70">
              <w:rPr>
                <w:rFonts w:eastAsia="Calibri" w:cs="Calibri"/>
                <w:bCs/>
                <w:color w:val="000000"/>
                <w:spacing w:val="-2"/>
                <w:sz w:val="24"/>
                <w:szCs w:val="24"/>
              </w:rPr>
              <w:t xml:space="preserve">kierunkowej Strategii ZIT WrOF, tj.: </w:t>
            </w:r>
          </w:p>
          <w:p w:rsidR="00E659C3" w:rsidRPr="00565D70" w:rsidRDefault="00E659C3" w:rsidP="00565D70">
            <w:pPr>
              <w:autoSpaceDE w:val="0"/>
              <w:autoSpaceDN w:val="0"/>
              <w:adjustRightInd w:val="0"/>
              <w:spacing w:line="240" w:lineRule="auto"/>
              <w:jc w:val="left"/>
              <w:rPr>
                <w:rFonts w:eastAsia="Calibri" w:cs="Calibri"/>
                <w:bCs/>
                <w:color w:val="000000"/>
                <w:spacing w:val="-2"/>
                <w:sz w:val="24"/>
                <w:szCs w:val="24"/>
              </w:rPr>
            </w:pPr>
            <w:r w:rsidRPr="00565D70">
              <w:rPr>
                <w:rFonts w:eastAsia="Calibri" w:cs="Calibri"/>
                <w:b/>
                <w:bCs/>
                <w:color w:val="000000"/>
                <w:spacing w:val="-2"/>
                <w:sz w:val="24"/>
                <w:szCs w:val="24"/>
              </w:rPr>
              <w:t>Cel strategiczny 4. Integracja i rozwój terytorialny WrOF</w:t>
            </w:r>
          </w:p>
          <w:p w:rsidR="00E659C3" w:rsidRPr="00565D70" w:rsidRDefault="00E659C3" w:rsidP="00565D70">
            <w:pPr>
              <w:autoSpaceDE w:val="0"/>
              <w:autoSpaceDN w:val="0"/>
              <w:adjustRightInd w:val="0"/>
              <w:spacing w:line="240" w:lineRule="auto"/>
              <w:jc w:val="left"/>
              <w:rPr>
                <w:rFonts w:eastAsia="Calibri" w:cs="Calibri"/>
                <w:b/>
                <w:color w:val="000000"/>
                <w:spacing w:val="-2"/>
                <w:sz w:val="24"/>
                <w:szCs w:val="24"/>
              </w:rPr>
            </w:pPr>
            <w:r w:rsidRPr="00565D70">
              <w:rPr>
                <w:rFonts w:eastAsia="Calibri" w:cs="Calibri"/>
                <w:b/>
                <w:color w:val="000000"/>
                <w:spacing w:val="-2"/>
                <w:sz w:val="24"/>
                <w:szCs w:val="24"/>
              </w:rPr>
              <w:t>Priorytet 14</w:t>
            </w:r>
            <w:r w:rsidR="007C017C" w:rsidRPr="00565D70">
              <w:rPr>
                <w:rFonts w:eastAsia="Calibri" w:cs="Calibri"/>
                <w:b/>
                <w:color w:val="000000"/>
                <w:spacing w:val="-2"/>
                <w:sz w:val="24"/>
                <w:szCs w:val="24"/>
              </w:rPr>
              <w:t>.</w:t>
            </w:r>
            <w:r w:rsidRPr="00565D70">
              <w:rPr>
                <w:rFonts w:eastAsia="Calibri" w:cs="Calibri"/>
                <w:b/>
                <w:color w:val="000000"/>
                <w:spacing w:val="-2"/>
                <w:sz w:val="24"/>
                <w:szCs w:val="24"/>
              </w:rPr>
              <w:t xml:space="preserve"> Przestrzenie publiczne</w:t>
            </w:r>
          </w:p>
          <w:p w:rsidR="00E659C3" w:rsidRPr="00565D70" w:rsidRDefault="00E659C3" w:rsidP="00565D70">
            <w:pPr>
              <w:autoSpaceDE w:val="0"/>
              <w:autoSpaceDN w:val="0"/>
              <w:adjustRightInd w:val="0"/>
              <w:spacing w:line="240" w:lineRule="auto"/>
              <w:jc w:val="left"/>
              <w:rPr>
                <w:rFonts w:eastAsia="Calibri" w:cs="Calibri"/>
                <w:b/>
                <w:bCs/>
                <w:color w:val="000000"/>
                <w:spacing w:val="-2"/>
                <w:sz w:val="24"/>
                <w:szCs w:val="24"/>
              </w:rPr>
            </w:pPr>
            <w:r w:rsidRPr="00565D70">
              <w:rPr>
                <w:rFonts w:eastAsia="Calibri" w:cs="Calibri"/>
                <w:b/>
                <w:bCs/>
                <w:color w:val="000000"/>
                <w:spacing w:val="-2"/>
                <w:sz w:val="24"/>
                <w:szCs w:val="24"/>
              </w:rPr>
              <w:t xml:space="preserve">Kierunek działania </w:t>
            </w:r>
            <w:r w:rsidRPr="00565D70">
              <w:rPr>
                <w:rFonts w:eastAsia="Calibri" w:cs="Calibri"/>
                <w:b/>
                <w:color w:val="000000"/>
                <w:spacing w:val="-2"/>
                <w:sz w:val="24"/>
                <w:szCs w:val="24"/>
              </w:rPr>
              <w:t>14.3</w:t>
            </w:r>
            <w:r w:rsidRPr="00565D70">
              <w:rPr>
                <w:rFonts w:eastAsia="Calibri" w:cs="Calibri"/>
                <w:bCs/>
                <w:color w:val="000000"/>
                <w:spacing w:val="-2"/>
                <w:sz w:val="24"/>
                <w:szCs w:val="24"/>
              </w:rPr>
              <w:t xml:space="preserve"> Poprawa dostępności usług publicznych</w:t>
            </w:r>
          </w:p>
          <w:p w:rsidR="00E659C3" w:rsidRPr="00565D70" w:rsidRDefault="00E659C3" w:rsidP="00565D70">
            <w:pPr>
              <w:autoSpaceDE w:val="0"/>
              <w:autoSpaceDN w:val="0"/>
              <w:adjustRightInd w:val="0"/>
              <w:spacing w:line="240" w:lineRule="auto"/>
              <w:jc w:val="left"/>
              <w:rPr>
                <w:rFonts w:eastAsia="Calibri" w:cs="Calibri"/>
                <w:color w:val="000000"/>
                <w:spacing w:val="-2"/>
                <w:sz w:val="24"/>
                <w:szCs w:val="24"/>
              </w:rPr>
            </w:pPr>
          </w:p>
          <w:p w:rsidR="00A67B99" w:rsidRPr="00565D70" w:rsidRDefault="00E659C3" w:rsidP="00565D70">
            <w:pPr>
              <w:autoSpaceDE w:val="0"/>
              <w:autoSpaceDN w:val="0"/>
              <w:adjustRightInd w:val="0"/>
              <w:spacing w:line="240" w:lineRule="auto"/>
              <w:jc w:val="left"/>
              <w:rPr>
                <w:rFonts w:eastAsia="Calibri" w:cs="Calibri"/>
                <w:color w:val="000000"/>
                <w:spacing w:val="-2"/>
                <w:sz w:val="24"/>
                <w:szCs w:val="24"/>
              </w:rPr>
            </w:pPr>
            <w:r w:rsidRPr="00565D70">
              <w:rPr>
                <w:rFonts w:eastAsia="Calibri" w:cs="Calibri"/>
                <w:color w:val="000000"/>
                <w:spacing w:val="-2"/>
                <w:sz w:val="24"/>
                <w:szCs w:val="24"/>
              </w:rPr>
              <w:t>Z punktu widzenia strategicznego kluczowy jest rozwój terytorialny</w:t>
            </w:r>
            <w:r w:rsidR="00A67B99" w:rsidRPr="00565D70">
              <w:rPr>
                <w:rFonts w:eastAsia="Calibri" w:cs="Calibri"/>
                <w:color w:val="000000"/>
                <w:spacing w:val="-2"/>
                <w:sz w:val="24"/>
                <w:szCs w:val="24"/>
              </w:rPr>
              <w:t>, w tym</w:t>
            </w:r>
            <w:r w:rsidRPr="00565D70">
              <w:rPr>
                <w:rFonts w:eastAsia="Calibri" w:cs="Calibri"/>
                <w:color w:val="000000"/>
                <w:spacing w:val="-2"/>
                <w:sz w:val="24"/>
                <w:szCs w:val="24"/>
              </w:rPr>
              <w:t xml:space="preserve"> rozwój infrastruktury, </w:t>
            </w:r>
            <w:r w:rsidR="00063259" w:rsidRPr="00565D70">
              <w:rPr>
                <w:rFonts w:eastAsia="Calibri" w:cs="Calibri"/>
                <w:color w:val="000000"/>
                <w:spacing w:val="-2"/>
                <w:sz w:val="24"/>
                <w:szCs w:val="24"/>
              </w:rPr>
              <w:t>np. infrastruktury społecznej i </w:t>
            </w:r>
            <w:r w:rsidRPr="00565D70">
              <w:rPr>
                <w:rFonts w:eastAsia="Calibri" w:cs="Calibri"/>
                <w:color w:val="000000"/>
                <w:spacing w:val="-2"/>
                <w:sz w:val="24"/>
                <w:szCs w:val="24"/>
              </w:rPr>
              <w:t>edukacyjnej.</w:t>
            </w:r>
          </w:p>
          <w:p w:rsidR="00337832" w:rsidRPr="00565D70" w:rsidRDefault="00337832" w:rsidP="00565D70">
            <w:pPr>
              <w:autoSpaceDE w:val="0"/>
              <w:autoSpaceDN w:val="0"/>
              <w:adjustRightInd w:val="0"/>
              <w:spacing w:line="240" w:lineRule="auto"/>
              <w:jc w:val="left"/>
              <w:rPr>
                <w:rFonts w:eastAsia="Calibri" w:cs="Calibri"/>
                <w:color w:val="000000"/>
                <w:spacing w:val="-2"/>
                <w:sz w:val="24"/>
                <w:szCs w:val="24"/>
              </w:rPr>
            </w:pPr>
          </w:p>
          <w:p w:rsidR="00AA637C" w:rsidRPr="00565D70" w:rsidRDefault="00A67B99" w:rsidP="00565D70">
            <w:pPr>
              <w:autoSpaceDE w:val="0"/>
              <w:autoSpaceDN w:val="0"/>
              <w:adjustRightInd w:val="0"/>
              <w:spacing w:line="240" w:lineRule="auto"/>
              <w:jc w:val="left"/>
              <w:rPr>
                <w:rFonts w:eastAsia="Calibri" w:cs="Calibri"/>
                <w:bCs/>
                <w:color w:val="000000"/>
                <w:spacing w:val="-2"/>
                <w:sz w:val="24"/>
                <w:szCs w:val="24"/>
              </w:rPr>
            </w:pPr>
            <w:r w:rsidRPr="00565D70">
              <w:rPr>
                <w:rFonts w:eastAsia="Calibri" w:cs="Calibri"/>
                <w:bCs/>
                <w:color w:val="000000"/>
                <w:spacing w:val="-2"/>
                <w:sz w:val="24"/>
                <w:szCs w:val="24"/>
              </w:rPr>
              <w:t>W ramach priorytetu 14 zwraca się uwagę m.in. na tak istotny aspekt</w:t>
            </w:r>
            <w:r w:rsidR="00702C23" w:rsidRPr="00565D70">
              <w:rPr>
                <w:rFonts w:eastAsia="Calibri" w:cs="Calibri"/>
                <w:bCs/>
                <w:color w:val="000000"/>
                <w:spacing w:val="-2"/>
                <w:sz w:val="24"/>
                <w:szCs w:val="24"/>
              </w:rPr>
              <w:t>,</w:t>
            </w:r>
            <w:r w:rsidRPr="00565D70">
              <w:rPr>
                <w:rFonts w:eastAsia="Calibri" w:cs="Calibri"/>
                <w:bCs/>
                <w:color w:val="000000"/>
                <w:spacing w:val="-2"/>
                <w:sz w:val="24"/>
                <w:szCs w:val="24"/>
              </w:rPr>
              <w:t xml:space="preserve"> jak </w:t>
            </w:r>
            <w:r w:rsidR="00E659C3" w:rsidRPr="00565D70">
              <w:rPr>
                <w:rFonts w:eastAsia="Calibri" w:cs="Calibri"/>
                <w:bCs/>
                <w:color w:val="000000"/>
                <w:spacing w:val="-2"/>
                <w:sz w:val="24"/>
                <w:szCs w:val="24"/>
              </w:rPr>
              <w:t>poprawa dostępności usług publicznych</w:t>
            </w:r>
            <w:r w:rsidRPr="00565D70">
              <w:rPr>
                <w:rFonts w:eastAsia="Calibri" w:cs="Calibri"/>
                <w:bCs/>
                <w:color w:val="000000"/>
                <w:spacing w:val="-2"/>
                <w:sz w:val="24"/>
                <w:szCs w:val="24"/>
              </w:rPr>
              <w:t>.</w:t>
            </w:r>
          </w:p>
          <w:p w:rsidR="00A67B99" w:rsidRPr="00565D70" w:rsidRDefault="00A67B99" w:rsidP="00565D70">
            <w:pPr>
              <w:autoSpaceDE w:val="0"/>
              <w:autoSpaceDN w:val="0"/>
              <w:adjustRightInd w:val="0"/>
              <w:spacing w:line="240" w:lineRule="auto"/>
              <w:jc w:val="left"/>
              <w:rPr>
                <w:rFonts w:eastAsia="Calibri" w:cs="Calibri"/>
                <w:bCs/>
                <w:color w:val="000000"/>
                <w:spacing w:val="-2"/>
                <w:sz w:val="24"/>
                <w:szCs w:val="24"/>
              </w:rPr>
            </w:pPr>
          </w:p>
          <w:p w:rsidR="00A67B99" w:rsidRPr="00565D70" w:rsidRDefault="00A67B99" w:rsidP="00565D70">
            <w:pPr>
              <w:autoSpaceDE w:val="0"/>
              <w:autoSpaceDN w:val="0"/>
              <w:adjustRightInd w:val="0"/>
              <w:spacing w:line="240" w:lineRule="auto"/>
              <w:jc w:val="left"/>
              <w:rPr>
                <w:rFonts w:ascii="Calibri" w:eastAsia="Calibri" w:hAnsi="Calibri" w:cs="Calibri"/>
                <w:color w:val="000000"/>
                <w:spacing w:val="-2"/>
                <w:sz w:val="24"/>
                <w:szCs w:val="24"/>
              </w:rPr>
            </w:pPr>
            <w:r w:rsidRPr="00565D70">
              <w:rPr>
                <w:rFonts w:eastAsia="Calibri" w:cs="Calibri"/>
                <w:bCs/>
                <w:color w:val="000000"/>
                <w:spacing w:val="-2"/>
                <w:sz w:val="24"/>
                <w:szCs w:val="24"/>
              </w:rPr>
              <w:t>Ponadto w ślad za zapisami FEDS 2021-2027 w ramach celu szczegółowego RSO5.1 mogą być finansowane także projekty</w:t>
            </w:r>
            <w:r w:rsidR="00702C23" w:rsidRPr="00565D70">
              <w:rPr>
                <w:rFonts w:eastAsia="Calibri" w:cs="Calibri"/>
                <w:bCs/>
                <w:color w:val="000000"/>
                <w:spacing w:val="-2"/>
                <w:sz w:val="24"/>
                <w:szCs w:val="24"/>
              </w:rPr>
              <w:t>,</w:t>
            </w:r>
            <w:r w:rsidRPr="00565D70">
              <w:rPr>
                <w:rFonts w:eastAsia="Calibri" w:cs="Calibri"/>
                <w:bCs/>
                <w:color w:val="000000"/>
                <w:spacing w:val="-2"/>
                <w:sz w:val="24"/>
                <w:szCs w:val="24"/>
              </w:rPr>
              <w:t xml:space="preserve"> wpisujące się w pozostałe cele polityki spójności</w:t>
            </w:r>
            <w:r w:rsidR="00337832" w:rsidRPr="00565D70">
              <w:rPr>
                <w:rFonts w:eastAsia="Calibri" w:cs="Calibri"/>
                <w:bCs/>
                <w:color w:val="000000"/>
                <w:spacing w:val="-2"/>
                <w:sz w:val="24"/>
                <w:szCs w:val="24"/>
              </w:rPr>
              <w:t>.</w:t>
            </w:r>
          </w:p>
        </w:tc>
      </w:tr>
    </w:tbl>
    <w:p w:rsidR="00D72C00" w:rsidRDefault="00D72C00"/>
    <w:tbl>
      <w:tblPr>
        <w:tblStyle w:val="Tabela-Siatka"/>
        <w:tblW w:w="0" w:type="auto"/>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3 Przygotowanie i monitorowanie strategii ZIT, kreowanie polityki rozwoju obszaru"/>
        <w:tblDescription w:val="Wiązka projektów 13 Przygotowanie i monitorowanie strategii ZIT, kreowanie polityki rozwoju obszaru"/>
      </w:tblPr>
      <w:tblGrid>
        <w:gridCol w:w="1815"/>
        <w:gridCol w:w="7224"/>
      </w:tblGrid>
      <w:tr w:rsidR="00565D70" w:rsidRPr="00565D70" w:rsidTr="00565D70">
        <w:trPr>
          <w:trHeight w:val="737"/>
          <w:tblHeader/>
        </w:trPr>
        <w:tc>
          <w:tcPr>
            <w:tcW w:w="1815"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rPr>
            </w:pPr>
            <w:r w:rsidRPr="00565D70">
              <w:rPr>
                <w:rFonts w:eastAsia="Calibri" w:cstheme="minorHAnsi"/>
                <w:b/>
                <w:sz w:val="24"/>
                <w:szCs w:val="24"/>
              </w:rPr>
              <w:t>Wiązka projektów 13</w:t>
            </w:r>
          </w:p>
        </w:tc>
        <w:tc>
          <w:tcPr>
            <w:tcW w:w="7224"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rPr>
            </w:pPr>
            <w:r w:rsidRPr="00565D70">
              <w:rPr>
                <w:rFonts w:eastAsia="Calibri" w:cstheme="minorHAnsi"/>
                <w:b/>
                <w:sz w:val="24"/>
                <w:szCs w:val="24"/>
              </w:rPr>
              <w:t>Przygotowanie i monitorowanie strategii ZIT, kreowanie polityki rozwoju obszaru</w:t>
            </w:r>
          </w:p>
        </w:tc>
      </w:tr>
      <w:tr w:rsidR="00E3099E" w:rsidRPr="00565D70" w:rsidTr="00565D70">
        <w:tc>
          <w:tcPr>
            <w:tcW w:w="1815" w:type="dxa"/>
            <w:shd w:val="clear" w:color="auto" w:fill="F2F2F2"/>
            <w:vAlign w:val="center"/>
          </w:tcPr>
          <w:p w:rsidR="00E3099E" w:rsidRPr="00565D70" w:rsidRDefault="00E3099E"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zintegrowane</w:t>
            </w:r>
          </w:p>
        </w:tc>
        <w:tc>
          <w:tcPr>
            <w:tcW w:w="7224" w:type="dxa"/>
          </w:tcPr>
          <w:p w:rsidR="008D2B70" w:rsidRPr="00565D70" w:rsidRDefault="008D2B70"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Projekty podstawowe:</w:t>
            </w:r>
          </w:p>
          <w:p w:rsidR="008D2B70" w:rsidRPr="00565D70" w:rsidRDefault="008D2B70" w:rsidP="00565D70">
            <w:pPr>
              <w:pStyle w:val="Akapitzlist"/>
              <w:numPr>
                <w:ilvl w:val="0"/>
                <w:numId w:val="32"/>
              </w:numPr>
              <w:tabs>
                <w:tab w:val="left" w:pos="1872"/>
              </w:tabs>
              <w:spacing w:line="240" w:lineRule="auto"/>
              <w:jc w:val="left"/>
              <w:rPr>
                <w:rFonts w:cstheme="minorHAnsi"/>
                <w:sz w:val="24"/>
                <w:szCs w:val="24"/>
              </w:rPr>
            </w:pPr>
            <w:r w:rsidRPr="00565D70">
              <w:rPr>
                <w:rFonts w:cstheme="minorHAnsi"/>
                <w:sz w:val="24"/>
                <w:szCs w:val="24"/>
              </w:rPr>
              <w:t>Przygotowanie i monitorowanie strategii ZIT oraz działania na rzecz zwiększenia</w:t>
            </w:r>
            <w:r w:rsidR="001C7957" w:rsidRPr="00565D70">
              <w:rPr>
                <w:rFonts w:cstheme="minorHAnsi"/>
                <w:sz w:val="24"/>
                <w:szCs w:val="24"/>
              </w:rPr>
              <w:t xml:space="preserve"> zdolności kreowania polityki </w:t>
            </w:r>
            <w:r w:rsidRPr="00565D70">
              <w:rPr>
                <w:rFonts w:cstheme="minorHAnsi"/>
                <w:sz w:val="24"/>
                <w:szCs w:val="24"/>
              </w:rPr>
              <w:t xml:space="preserve">rozwoju obszaru oraz koordynacyjnych Biura ZIT Wrocławskiego Obszaru Funkcjonalnego </w:t>
            </w:r>
            <w:r w:rsidR="001C7957" w:rsidRPr="00565D70">
              <w:rPr>
                <w:rFonts w:cstheme="minorHAnsi"/>
                <w:sz w:val="24"/>
                <w:szCs w:val="24"/>
              </w:rPr>
              <w:t>–</w:t>
            </w:r>
            <w:r w:rsidRPr="00565D70">
              <w:rPr>
                <w:rFonts w:cstheme="minorHAnsi"/>
                <w:sz w:val="24"/>
                <w:szCs w:val="24"/>
              </w:rPr>
              <w:t xml:space="preserve"> Etap I</w:t>
            </w:r>
          </w:p>
          <w:p w:rsidR="008D2B70" w:rsidRPr="00565D70" w:rsidRDefault="008D2B70" w:rsidP="00565D70">
            <w:pPr>
              <w:pStyle w:val="Akapitzlist"/>
              <w:numPr>
                <w:ilvl w:val="0"/>
                <w:numId w:val="39"/>
              </w:numPr>
              <w:tabs>
                <w:tab w:val="left" w:pos="1872"/>
              </w:tabs>
              <w:spacing w:line="240" w:lineRule="auto"/>
              <w:jc w:val="left"/>
              <w:rPr>
                <w:rFonts w:ascii="Calibri" w:eastAsia="Calibri" w:hAnsi="Calibri" w:cs="Times New Roman"/>
                <w:b/>
                <w:sz w:val="24"/>
                <w:szCs w:val="24"/>
              </w:rPr>
            </w:pPr>
            <w:r w:rsidRPr="00565D70">
              <w:rPr>
                <w:rFonts w:eastAsia="Calibri" w:cstheme="minorHAnsi"/>
                <w:bCs/>
                <w:sz w:val="24"/>
                <w:szCs w:val="24"/>
              </w:rPr>
              <w:t>Wsparcie podmiotu realizującego ZIT ze środków FEDS PT EFS + w latach 2021-2027</w:t>
            </w:r>
          </w:p>
          <w:p w:rsidR="008D2B70" w:rsidRPr="00565D70" w:rsidRDefault="008D2B70" w:rsidP="00565D70">
            <w:pPr>
              <w:tabs>
                <w:tab w:val="left" w:pos="1872"/>
              </w:tabs>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E3099E" w:rsidRPr="00565D70" w:rsidRDefault="008D2B70" w:rsidP="00565D70">
            <w:pPr>
              <w:pStyle w:val="Akapitzlist"/>
              <w:numPr>
                <w:ilvl w:val="0"/>
                <w:numId w:val="39"/>
              </w:numPr>
              <w:spacing w:line="240" w:lineRule="auto"/>
              <w:jc w:val="left"/>
              <w:rPr>
                <w:rFonts w:eastAsia="Calibri" w:cstheme="minorHAnsi"/>
                <w:bCs/>
                <w:sz w:val="24"/>
                <w:szCs w:val="24"/>
              </w:rPr>
            </w:pPr>
            <w:r w:rsidRPr="00565D70">
              <w:rPr>
                <w:rFonts w:eastAsia="Calibri" w:cstheme="minorHAnsi"/>
                <w:bCs/>
                <w:sz w:val="24"/>
                <w:szCs w:val="24"/>
              </w:rPr>
              <w:t xml:space="preserve">Przygotowanie i monitorowanie strategii ZIT oraz działania na rzecz zwiększenia zdolności kreowania polityki   rozwoju obszaru oraz koordynacyjnych Biura ZIT Wrocławskiego Obszaru Funkcjonalnego </w:t>
            </w:r>
            <w:r w:rsidR="001C7957" w:rsidRPr="00565D70">
              <w:rPr>
                <w:rFonts w:eastAsia="Calibri" w:cstheme="minorHAnsi"/>
                <w:bCs/>
                <w:sz w:val="24"/>
                <w:szCs w:val="24"/>
              </w:rPr>
              <w:t>–</w:t>
            </w:r>
            <w:r w:rsidRPr="00565D70">
              <w:rPr>
                <w:rFonts w:eastAsia="Calibri" w:cstheme="minorHAnsi"/>
                <w:bCs/>
                <w:sz w:val="24"/>
                <w:szCs w:val="24"/>
              </w:rPr>
              <w:t xml:space="preserve"> Etap II</w:t>
            </w:r>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Cel szczegółowy FEDS 2021-2027</w:t>
            </w:r>
          </w:p>
        </w:tc>
        <w:tc>
          <w:tcPr>
            <w:tcW w:w="7224" w:type="dxa"/>
            <w:vAlign w:val="center"/>
          </w:tcPr>
          <w:p w:rsidR="00AA637C" w:rsidRPr="00565D70" w:rsidRDefault="00AA637C"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RSO5.1. Wspieranie zintegrowanego i sprzyjającego włączeniu społecznemu rozwoju społecznego, gospodarczego i środowiskowego, kultury, dziedzictwa naturalnego, zrównoważonej turystyki i bezpieczeństwa na obszarach miejskich</w:t>
            </w:r>
          </w:p>
          <w:p w:rsidR="00D03769" w:rsidRPr="00565D70" w:rsidRDefault="00D03769"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oraz </w:t>
            </w:r>
          </w:p>
          <w:p w:rsidR="00D03769" w:rsidRPr="00565D70" w:rsidRDefault="00D03769"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2.2.1. Priorytet pomocy technicznej na podstawie art. 36 ust. 4 rozporządzenia w sprawie wspólnych przepisów: 11. Pomoc Techniczna EFS+</w:t>
            </w:r>
          </w:p>
        </w:tc>
      </w:tr>
      <w:tr w:rsidR="00AA637C" w:rsidRPr="00565D70" w:rsidTr="00565D70">
        <w:tc>
          <w:tcPr>
            <w:tcW w:w="1815" w:type="dxa"/>
            <w:shd w:val="clear" w:color="auto" w:fill="F2F2F2"/>
            <w:vAlign w:val="center"/>
          </w:tcPr>
          <w:p w:rsidR="00AA637C" w:rsidRPr="00565D70" w:rsidRDefault="00AA637C"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projektu</w:t>
            </w:r>
          </w:p>
        </w:tc>
        <w:tc>
          <w:tcPr>
            <w:tcW w:w="7224" w:type="dxa"/>
          </w:tcPr>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r w:rsidRPr="00565D70">
              <w:rPr>
                <w:rFonts w:eastAsia="Calibri" w:cs="Calibri"/>
                <w:bCs/>
                <w:color w:val="000000"/>
                <w:sz w:val="24"/>
                <w:szCs w:val="24"/>
              </w:rPr>
              <w:t xml:space="preserve">Zgodnie z zapisami FEDS 2021-2027 </w:t>
            </w:r>
            <w:r w:rsidR="00D03769" w:rsidRPr="00565D70">
              <w:rPr>
                <w:rFonts w:eastAsia="Calibri" w:cs="Calibri"/>
                <w:bCs/>
                <w:color w:val="000000"/>
                <w:sz w:val="24"/>
                <w:szCs w:val="24"/>
              </w:rPr>
              <w:t xml:space="preserve">w </w:t>
            </w:r>
            <w:r w:rsidRPr="00565D70">
              <w:rPr>
                <w:rFonts w:eastAsia="Calibri" w:cs="Calibri"/>
                <w:bCs/>
                <w:color w:val="000000"/>
                <w:sz w:val="24"/>
                <w:szCs w:val="24"/>
              </w:rPr>
              <w:t>ramach CP5</w:t>
            </w:r>
            <w:r w:rsidR="00D03769" w:rsidRPr="00565D70">
              <w:rPr>
                <w:rFonts w:eastAsia="Calibri" w:cs="Calibri"/>
                <w:bCs/>
                <w:color w:val="000000"/>
                <w:sz w:val="24"/>
                <w:szCs w:val="24"/>
              </w:rPr>
              <w:t xml:space="preserve"> jak również w 11. Pomoc Techniczna EFS+</w:t>
            </w:r>
            <w:r w:rsidRPr="00565D70">
              <w:rPr>
                <w:rFonts w:eastAsia="Calibri" w:cs="Calibri"/>
                <w:bCs/>
                <w:color w:val="000000"/>
                <w:sz w:val="24"/>
                <w:szCs w:val="24"/>
              </w:rPr>
              <w:t xml:space="preserve"> możliwe będzie wsparcie instrumentów terytorialnych w zakresie przygotowania i monitorowania strategii/planów działań ZIT/IIT d</w:t>
            </w:r>
            <w:r w:rsidR="00063259" w:rsidRPr="00565D70">
              <w:rPr>
                <w:rFonts w:eastAsia="Calibri" w:cs="Calibri"/>
                <w:bCs/>
                <w:color w:val="000000"/>
                <w:sz w:val="24"/>
                <w:szCs w:val="24"/>
              </w:rPr>
              <w:t>la podmiotów reprezentujących i </w:t>
            </w:r>
            <w:r w:rsidRPr="00565D70">
              <w:rPr>
                <w:rFonts w:eastAsia="Calibri" w:cs="Calibri"/>
                <w:bCs/>
                <w:color w:val="000000"/>
                <w:sz w:val="24"/>
                <w:szCs w:val="24"/>
              </w:rPr>
              <w:t>koordynujących prace poszczególnych ZIT/IIT oraz działania na rzecz zwiększenia zdolności podmiotów reprezentujących i koordynujących prace ZIT/IIT. W ramach wsparcia możliwe będzie współfinansowanie,  np. kosztów zatrudnienia, sporządzania analiz służących koordynacji oraz monitoringu realizacji strategii ZIT/ITT.</w:t>
            </w:r>
            <w:r w:rsidR="00D03769" w:rsidRPr="00565D70">
              <w:rPr>
                <w:sz w:val="24"/>
                <w:szCs w:val="24"/>
              </w:rPr>
              <w:t xml:space="preserve"> Ponadto będzie możliwe </w:t>
            </w:r>
            <w:r w:rsidR="00D03769" w:rsidRPr="00565D70">
              <w:rPr>
                <w:rFonts w:eastAsia="Calibri" w:cs="Calibri"/>
                <w:bCs/>
                <w:color w:val="000000"/>
                <w:sz w:val="24"/>
                <w:szCs w:val="24"/>
              </w:rPr>
              <w:t>wsparcie eksperckie, w</w:t>
            </w:r>
            <w:r w:rsidR="001C7957" w:rsidRPr="00565D70">
              <w:rPr>
                <w:rFonts w:eastAsia="Calibri" w:cs="Calibri"/>
                <w:bCs/>
                <w:color w:val="000000"/>
                <w:sz w:val="24"/>
                <w:szCs w:val="24"/>
              </w:rPr>
              <w:t> </w:t>
            </w:r>
            <w:r w:rsidR="00D03769" w:rsidRPr="00565D70">
              <w:rPr>
                <w:rFonts w:eastAsia="Calibri" w:cs="Calibri"/>
                <w:bCs/>
                <w:color w:val="000000"/>
                <w:sz w:val="24"/>
                <w:szCs w:val="24"/>
              </w:rPr>
              <w:t xml:space="preserve">doradztwie  niezbędnego do przygotowania/aktualizacji strategii ZIT/rozwoju ponadlokalnego, aktualizacji SUMP, ewaluacji, szkoleń, wymiany doświadczeń, zarządzania projektami i ich monitorowania, w tym budowy systemów i aplikacji, oraz działań informacyjno-promocyjnych. </w:t>
            </w:r>
          </w:p>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p>
          <w:p w:rsidR="00461F30" w:rsidRPr="00565D70" w:rsidRDefault="00D03769" w:rsidP="00565D70">
            <w:pPr>
              <w:autoSpaceDE w:val="0"/>
              <w:autoSpaceDN w:val="0"/>
              <w:adjustRightInd w:val="0"/>
              <w:spacing w:line="240" w:lineRule="auto"/>
              <w:jc w:val="left"/>
              <w:rPr>
                <w:rFonts w:eastAsia="Calibri" w:cs="Calibri"/>
                <w:bCs/>
                <w:color w:val="000000"/>
                <w:sz w:val="24"/>
                <w:szCs w:val="24"/>
              </w:rPr>
            </w:pPr>
            <w:r w:rsidRPr="00565D70">
              <w:rPr>
                <w:rFonts w:eastAsia="Calibri" w:cs="Calibri"/>
                <w:bCs/>
                <w:color w:val="000000"/>
                <w:sz w:val="24"/>
                <w:szCs w:val="24"/>
              </w:rPr>
              <w:t>Obecnie gminy wchodzące w skład Wrocławskiego Obszaru Funkcjonalnego łączy porozumienie, w którym na lidera wyznaczona została Gmina Wrocław, natomiast</w:t>
            </w:r>
            <w:r w:rsidR="001C7957" w:rsidRPr="00565D70">
              <w:rPr>
                <w:rFonts w:eastAsia="Calibri" w:cs="Calibri"/>
                <w:bCs/>
                <w:color w:val="000000"/>
                <w:sz w:val="24"/>
                <w:szCs w:val="24"/>
              </w:rPr>
              <w:t xml:space="preserve"> sygnatariuszami porozumienia </w:t>
            </w:r>
            <w:r w:rsidRPr="00565D70">
              <w:rPr>
                <w:rFonts w:eastAsia="Calibri" w:cs="Calibri"/>
                <w:bCs/>
                <w:color w:val="000000"/>
                <w:sz w:val="24"/>
                <w:szCs w:val="24"/>
              </w:rPr>
              <w:t xml:space="preserve">są: Gmina Czernica, Gmina Długołęka, Gmina Dobroszyce, Gmina Jelcz-Laskowice, Gmina Kąty Wrocławskie, Gmina Kobierzyce, Gmina Miasto Oleśnica, Gmina Miasto Oława, Gmina Miękinia, Gmina Oborniki Śląskie, Gmina Oleśnica, Gmina Oława, Gmina Siechnice, Gmina Sobótka, Gmina Trzebnica, Gmina Wisznia Mała, Gmina Zawonia, Gmina Żórawina. Każda z gmin wniosła m.in. zasoby ludzkie. Za współpracę lidera z sygnatariuszami porozumienia odpowiada Biuro Zintegrowanych Inwestycji Terytorialnych Wrocławskiego Obszaru Funkcjonalnego, którego zadaniem </w:t>
            </w:r>
            <w:r w:rsidR="001C7957" w:rsidRPr="00565D70">
              <w:rPr>
                <w:rFonts w:eastAsia="Calibri" w:cs="Calibri"/>
                <w:bCs/>
                <w:color w:val="000000"/>
                <w:sz w:val="24"/>
                <w:szCs w:val="24"/>
              </w:rPr>
              <w:t>jest m.in. </w:t>
            </w:r>
            <w:r w:rsidRPr="00565D70">
              <w:rPr>
                <w:rFonts w:eastAsia="Calibri" w:cs="Calibri"/>
                <w:bCs/>
                <w:color w:val="000000"/>
                <w:sz w:val="24"/>
                <w:szCs w:val="24"/>
              </w:rPr>
              <w:t>przygotowanie, a następnie monitorowanie strategii ZIT oraz działania na rzecz zwiększenia zdolności kreowania polityki rozwoju obszaru. Ww. biuro jest koordynatorem wspólnych prac prowadzonych przez 19 gmin oraz pozyskiwanie środków zewnętrznych oraz realizację, wdrażanie, ewaluacje przedsięwzięć zaplanowanych z ich udziałem, a także prowadzenia sprawozdawczości w tym zakresie.</w:t>
            </w:r>
          </w:p>
          <w:p w:rsidR="00597B30" w:rsidRPr="00565D70" w:rsidRDefault="00597B30" w:rsidP="00565D70">
            <w:pPr>
              <w:autoSpaceDE w:val="0"/>
              <w:autoSpaceDN w:val="0"/>
              <w:adjustRightInd w:val="0"/>
              <w:spacing w:line="240" w:lineRule="auto"/>
              <w:jc w:val="left"/>
              <w:rPr>
                <w:rFonts w:eastAsia="Calibri" w:cs="Calibri"/>
                <w:bCs/>
                <w:color w:val="000000"/>
                <w:sz w:val="24"/>
                <w:szCs w:val="24"/>
              </w:rPr>
            </w:pPr>
          </w:p>
          <w:p w:rsidR="00597B30" w:rsidRPr="00565D70" w:rsidRDefault="00597B30" w:rsidP="00565D70">
            <w:pPr>
              <w:autoSpaceDE w:val="0"/>
              <w:autoSpaceDN w:val="0"/>
              <w:adjustRightInd w:val="0"/>
              <w:spacing w:line="240" w:lineRule="auto"/>
              <w:jc w:val="left"/>
              <w:rPr>
                <w:rFonts w:eastAsia="Calibri" w:cs="Calibri"/>
                <w:bCs/>
                <w:color w:val="000000"/>
                <w:sz w:val="24"/>
                <w:szCs w:val="24"/>
              </w:rPr>
            </w:pPr>
            <w:r w:rsidRPr="00565D70">
              <w:rPr>
                <w:rFonts w:eastAsia="Calibri" w:cs="Calibri"/>
                <w:bCs/>
                <w:color w:val="000000"/>
                <w:sz w:val="24"/>
                <w:szCs w:val="24"/>
              </w:rPr>
              <w:t xml:space="preserve">Projekt jest projektem zintegrowanym, gdyż realizuje jego definicję, tj. wpisuje się w cele rozwoju obszaru funkcjonalnego objętego instrumentem, tj. Strategii ZIT WrOF, i jest ukierunkowany na rozwiązywanie wspólnych problemów  rozwojowych. Ponadto jego realizacja jest uzasadniona zarówno w części diagnostycznej, jak i kierunkowej strategii ZIT WrOF. Projekty  ma wpływ na więcej niż jedną gminę we WrOF, ponieważ działania realizowane przez Biuro będzie dotyczyło wszystkich Gmin z obszaru ZIT WrOF . </w:t>
            </w:r>
          </w:p>
          <w:p w:rsidR="00597B30" w:rsidRPr="00565D70" w:rsidRDefault="00597B30" w:rsidP="00565D70">
            <w:pPr>
              <w:autoSpaceDE w:val="0"/>
              <w:autoSpaceDN w:val="0"/>
              <w:adjustRightInd w:val="0"/>
              <w:spacing w:line="240" w:lineRule="auto"/>
              <w:jc w:val="left"/>
              <w:rPr>
                <w:sz w:val="24"/>
                <w:szCs w:val="24"/>
              </w:rPr>
            </w:pPr>
          </w:p>
          <w:p w:rsidR="00461F30" w:rsidRPr="00565D70" w:rsidRDefault="00597B30" w:rsidP="00565D70">
            <w:pPr>
              <w:autoSpaceDE w:val="0"/>
              <w:autoSpaceDN w:val="0"/>
              <w:adjustRightInd w:val="0"/>
              <w:spacing w:line="240" w:lineRule="auto"/>
              <w:jc w:val="left"/>
              <w:rPr>
                <w:rFonts w:eastAsia="Calibri" w:cs="Calibri"/>
                <w:bCs/>
                <w:color w:val="000000"/>
                <w:sz w:val="24"/>
                <w:szCs w:val="24"/>
              </w:rPr>
            </w:pPr>
            <w:r w:rsidRPr="00565D70">
              <w:rPr>
                <w:sz w:val="24"/>
                <w:szCs w:val="24"/>
              </w:rPr>
              <w:t xml:space="preserve">Wiązka projektów  spełnia  warunki  projektu zintegrowanego tj. stanowi grupę projektów powiązanych ze sobą merytorycznie (zawiera podobne typy  projektów) oraz funkcjonalnie (zintegrowany wpływ realizacji projektów  na obszar  ZIT).  </w:t>
            </w:r>
            <w:r w:rsidRPr="00565D70">
              <w:rPr>
                <w:rFonts w:eastAsia="Calibri" w:cs="Calibri"/>
                <w:bCs/>
                <w:color w:val="000000"/>
                <w:sz w:val="24"/>
                <w:szCs w:val="24"/>
              </w:rPr>
              <w:t>Zaproponowane projekty wykazuje pełną wewnętrzną  komplementarność i synergię w zakresie tematycznym,  gdyż przedmiotem projektu jest realizacja analiz i opracowań op</w:t>
            </w:r>
            <w:r w:rsidR="001C7957" w:rsidRPr="00565D70">
              <w:rPr>
                <w:rFonts w:eastAsia="Calibri" w:cs="Calibri"/>
                <w:bCs/>
                <w:color w:val="000000"/>
                <w:sz w:val="24"/>
                <w:szCs w:val="24"/>
              </w:rPr>
              <w:t>isanych, działania informacyjno-</w:t>
            </w:r>
            <w:r w:rsidRPr="00565D70">
              <w:rPr>
                <w:rFonts w:eastAsia="Calibri" w:cs="Calibri"/>
                <w:bCs/>
                <w:color w:val="000000"/>
                <w:sz w:val="24"/>
                <w:szCs w:val="24"/>
              </w:rPr>
              <w:t>promocyjne, organizacja wydarzeń, konferencji, spotkań.</w:t>
            </w:r>
          </w:p>
          <w:p w:rsidR="001C7957" w:rsidRPr="00565D70" w:rsidRDefault="001C7957" w:rsidP="00565D70">
            <w:pPr>
              <w:autoSpaceDE w:val="0"/>
              <w:autoSpaceDN w:val="0"/>
              <w:adjustRightInd w:val="0"/>
              <w:spacing w:line="240" w:lineRule="auto"/>
              <w:jc w:val="left"/>
              <w:rPr>
                <w:rFonts w:eastAsia="Calibri" w:cs="Calibri"/>
                <w:bCs/>
                <w:color w:val="000000"/>
                <w:sz w:val="24"/>
                <w:szCs w:val="24"/>
              </w:rPr>
            </w:pPr>
          </w:p>
          <w:p w:rsidR="00461F30" w:rsidRPr="00565D70" w:rsidRDefault="00461F30" w:rsidP="00565D70">
            <w:pPr>
              <w:autoSpaceDE w:val="0"/>
              <w:autoSpaceDN w:val="0"/>
              <w:adjustRightInd w:val="0"/>
              <w:spacing w:line="240" w:lineRule="auto"/>
              <w:jc w:val="left"/>
              <w:rPr>
                <w:rFonts w:eastAsia="Calibri" w:cs="Calibri"/>
                <w:color w:val="000000"/>
                <w:sz w:val="24"/>
                <w:szCs w:val="24"/>
              </w:rPr>
            </w:pPr>
            <w:r w:rsidRPr="00565D70">
              <w:rPr>
                <w:rFonts w:eastAsia="Calibri" w:cs="Calibri"/>
                <w:bCs/>
                <w:color w:val="000000"/>
                <w:sz w:val="24"/>
                <w:szCs w:val="24"/>
              </w:rPr>
              <w:t xml:space="preserve">Jak wynika z części diagnostycznej Zintegrowane Inwestycje Terytorialne są narzędziem pobudzającym rozwój lokalny. Jest </w:t>
            </w:r>
            <w:r w:rsidRPr="00565D70">
              <w:rPr>
                <w:rFonts w:eastAsia="Calibri" w:cs="Calibri"/>
                <w:color w:val="000000"/>
                <w:sz w:val="24"/>
                <w:szCs w:val="24"/>
              </w:rPr>
              <w:t>to forma współpracy jednos</w:t>
            </w:r>
            <w:r w:rsidR="001C7957" w:rsidRPr="00565D70">
              <w:rPr>
                <w:rFonts w:eastAsia="Calibri" w:cs="Calibri"/>
                <w:color w:val="000000"/>
                <w:sz w:val="24"/>
                <w:szCs w:val="24"/>
              </w:rPr>
              <w:t>tek samorządu terytorialnego</w:t>
            </w:r>
            <w:r w:rsidRPr="00565D70">
              <w:rPr>
                <w:rFonts w:eastAsia="Calibri" w:cs="Calibri"/>
                <w:color w:val="000000"/>
                <w:sz w:val="24"/>
                <w:szCs w:val="24"/>
              </w:rPr>
              <w:t xml:space="preserve">, które mogą realizować wspólne cele. Już w zeszłej perspektywie finansowej w ramach omawianego instrumentu udało się zrealizować projekty, które w istotny sposób przyczyniły się do poprawy życia mieszkańców obszaru w wielu istotnych sferach (np. w zakresie: e-usług, edukacji, infrastruktury technicznej i społecznej, atrakcyjności inwestycyjnej </w:t>
            </w:r>
            <w:r w:rsidRPr="00565D70">
              <w:rPr>
                <w:rFonts w:eastAsia="Calibri" w:cs="Calibri"/>
                <w:color w:val="000000"/>
                <w:sz w:val="24"/>
                <w:szCs w:val="24"/>
              </w:rPr>
              <w:br/>
              <w:t xml:space="preserve">i turystyczno-rekreacyjnej, rewitalizacji, ochrony środowiska, otoczenia biznesu oraz infrastruktury dostosowanej do potrzeb osób starszych). </w:t>
            </w:r>
          </w:p>
          <w:p w:rsidR="00461F30" w:rsidRPr="00565D70" w:rsidRDefault="00461F30" w:rsidP="00565D70">
            <w:pPr>
              <w:autoSpaceDE w:val="0"/>
              <w:autoSpaceDN w:val="0"/>
              <w:adjustRightInd w:val="0"/>
              <w:spacing w:line="240" w:lineRule="auto"/>
              <w:jc w:val="left"/>
              <w:rPr>
                <w:rFonts w:eastAsia="Calibri" w:cs="Calibri"/>
                <w:color w:val="000000"/>
                <w:sz w:val="24"/>
                <w:szCs w:val="24"/>
              </w:rPr>
            </w:pPr>
          </w:p>
          <w:p w:rsidR="00461F30" w:rsidRPr="00565D70" w:rsidRDefault="00461F30" w:rsidP="00565D70">
            <w:pPr>
              <w:autoSpaceDE w:val="0"/>
              <w:autoSpaceDN w:val="0"/>
              <w:adjustRightInd w:val="0"/>
              <w:spacing w:line="240" w:lineRule="auto"/>
              <w:jc w:val="left"/>
              <w:rPr>
                <w:rFonts w:eastAsia="Calibri" w:cs="Calibri"/>
                <w:color w:val="000000"/>
                <w:sz w:val="24"/>
                <w:szCs w:val="24"/>
              </w:rPr>
            </w:pPr>
            <w:r w:rsidRPr="00565D70">
              <w:rPr>
                <w:rFonts w:eastAsia="Calibri" w:cs="Calibri"/>
                <w:color w:val="000000"/>
                <w:sz w:val="24"/>
                <w:szCs w:val="24"/>
              </w:rPr>
              <w:t xml:space="preserve">Realizacja wspólnych inicjatyw przyczynia się do budowy coraz silniejszego potencjału oraz przyciąga zarówno inwestorów, jak i nowych mieszkańców. Tak szeroko zakrojone inwestycje i projekty wykraczające poza obszar jednej gminy możliwe były tylko dzięki współpracy i współdziałaniu. Zgodnie z zapisami części diagnostycznej „ZIT WrOF stał się platformą współpracy, wymiany doświadczeń oraz konsultacji, pozwalającą w nowy sposób postrzegać politykę wspierania rozwoju </w:t>
            </w:r>
            <w:proofErr w:type="spellStart"/>
            <w:r w:rsidRPr="00565D70">
              <w:rPr>
                <w:rFonts w:eastAsia="Calibri" w:cs="Calibri"/>
                <w:color w:val="000000"/>
                <w:sz w:val="24"/>
                <w:szCs w:val="24"/>
              </w:rPr>
              <w:t>subregionalnego</w:t>
            </w:r>
            <w:proofErr w:type="spellEnd"/>
            <w:r w:rsidRPr="00565D70">
              <w:rPr>
                <w:rFonts w:eastAsia="Calibri" w:cs="Calibri"/>
                <w:color w:val="000000"/>
                <w:sz w:val="24"/>
                <w:szCs w:val="24"/>
              </w:rPr>
              <w:t xml:space="preserve"> pomiędzy beneficjentami”.</w:t>
            </w:r>
          </w:p>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p>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r w:rsidRPr="00565D70">
              <w:rPr>
                <w:rFonts w:eastAsia="Calibri" w:cs="Calibri"/>
                <w:bCs/>
                <w:color w:val="000000"/>
                <w:sz w:val="24"/>
                <w:szCs w:val="24"/>
              </w:rPr>
              <w:t xml:space="preserve">Realizacja projektu wynika również z części kierunkowej Strategii ZIT WrOF, tj.: </w:t>
            </w:r>
          </w:p>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r w:rsidRPr="00565D70">
              <w:rPr>
                <w:rFonts w:eastAsia="Calibri" w:cs="Calibri"/>
                <w:b/>
                <w:bCs/>
                <w:color w:val="000000"/>
                <w:sz w:val="24"/>
                <w:szCs w:val="24"/>
              </w:rPr>
              <w:t>Celu strategicznego 4. Integracja i rozwój terytorialny WrOF</w:t>
            </w:r>
          </w:p>
          <w:p w:rsidR="00461F30" w:rsidRPr="00565D70" w:rsidRDefault="00461F30" w:rsidP="00565D70">
            <w:pPr>
              <w:autoSpaceDE w:val="0"/>
              <w:autoSpaceDN w:val="0"/>
              <w:adjustRightInd w:val="0"/>
              <w:spacing w:line="240" w:lineRule="auto"/>
              <w:jc w:val="left"/>
              <w:rPr>
                <w:rFonts w:eastAsia="Calibri" w:cs="Calibri"/>
                <w:b/>
                <w:color w:val="000000"/>
                <w:sz w:val="24"/>
                <w:szCs w:val="24"/>
              </w:rPr>
            </w:pPr>
            <w:r w:rsidRPr="00565D70">
              <w:rPr>
                <w:rFonts w:eastAsia="Calibri" w:cs="Calibri"/>
                <w:b/>
                <w:color w:val="000000"/>
                <w:sz w:val="24"/>
                <w:szCs w:val="24"/>
              </w:rPr>
              <w:t>Priorytetu 15. Zintegrowane zarządzanie obszarem</w:t>
            </w:r>
          </w:p>
          <w:p w:rsidR="00461F30" w:rsidRPr="00565D70" w:rsidRDefault="00387B74" w:rsidP="00565D70">
            <w:pPr>
              <w:autoSpaceDE w:val="0"/>
              <w:autoSpaceDN w:val="0"/>
              <w:adjustRightInd w:val="0"/>
              <w:spacing w:line="240" w:lineRule="auto"/>
              <w:jc w:val="left"/>
              <w:rPr>
                <w:rFonts w:eastAsia="Calibri" w:cs="Calibri"/>
                <w:b/>
                <w:bCs/>
                <w:color w:val="000000"/>
                <w:sz w:val="24"/>
                <w:szCs w:val="24"/>
              </w:rPr>
            </w:pPr>
            <w:r w:rsidRPr="00565D70">
              <w:rPr>
                <w:rFonts w:eastAsia="Calibri" w:cs="Calibri"/>
                <w:b/>
                <w:bCs/>
                <w:color w:val="000000"/>
                <w:sz w:val="24"/>
                <w:szCs w:val="24"/>
              </w:rPr>
              <w:t>Kierun</w:t>
            </w:r>
            <w:r w:rsidR="00567B83" w:rsidRPr="00565D70">
              <w:rPr>
                <w:rFonts w:eastAsia="Calibri" w:cs="Calibri"/>
                <w:b/>
                <w:bCs/>
                <w:color w:val="000000"/>
                <w:sz w:val="24"/>
                <w:szCs w:val="24"/>
              </w:rPr>
              <w:t>ek</w:t>
            </w:r>
            <w:r w:rsidR="00461F30" w:rsidRPr="00565D70">
              <w:rPr>
                <w:rFonts w:eastAsia="Calibri" w:cs="Calibri"/>
                <w:b/>
                <w:bCs/>
                <w:color w:val="000000"/>
                <w:sz w:val="24"/>
                <w:szCs w:val="24"/>
              </w:rPr>
              <w:t xml:space="preserve"> działania 15.1 Wdrażanie instrumentu Zintegrowanych Inwestycji Terytorialnych </w:t>
            </w:r>
          </w:p>
          <w:p w:rsidR="00461F30" w:rsidRPr="00565D70" w:rsidRDefault="00461F30" w:rsidP="00565D70">
            <w:pPr>
              <w:autoSpaceDE w:val="0"/>
              <w:autoSpaceDN w:val="0"/>
              <w:adjustRightInd w:val="0"/>
              <w:spacing w:line="240" w:lineRule="auto"/>
              <w:jc w:val="left"/>
              <w:rPr>
                <w:rFonts w:eastAsia="Calibri" w:cs="Calibri"/>
                <w:color w:val="000000"/>
                <w:sz w:val="24"/>
                <w:szCs w:val="24"/>
              </w:rPr>
            </w:pPr>
            <w:r w:rsidRPr="00565D70">
              <w:rPr>
                <w:rFonts w:eastAsia="Calibri" w:cs="Calibri"/>
                <w:color w:val="000000"/>
                <w:sz w:val="24"/>
                <w:szCs w:val="24"/>
              </w:rPr>
              <w:t xml:space="preserve">Priorytet 15 skupia się na zintegrowanym zarządzaniu obszarem oraz zacieśnieniu i podniesieniu jakości </w:t>
            </w:r>
          </w:p>
          <w:p w:rsidR="00461F30" w:rsidRPr="00565D70" w:rsidRDefault="00461F30" w:rsidP="00565D70">
            <w:pPr>
              <w:autoSpaceDE w:val="0"/>
              <w:autoSpaceDN w:val="0"/>
              <w:adjustRightInd w:val="0"/>
              <w:spacing w:line="240" w:lineRule="auto"/>
              <w:jc w:val="left"/>
              <w:rPr>
                <w:rFonts w:eastAsia="Calibri" w:cs="Calibri"/>
                <w:color w:val="000000"/>
                <w:sz w:val="24"/>
                <w:szCs w:val="24"/>
              </w:rPr>
            </w:pPr>
            <w:r w:rsidRPr="00565D70">
              <w:rPr>
                <w:rFonts w:eastAsia="Calibri" w:cs="Calibri"/>
                <w:color w:val="000000"/>
                <w:sz w:val="24"/>
                <w:szCs w:val="24"/>
              </w:rPr>
              <w:br/>
              <w:t>oraz efektywności współpracy w ramach Wrocławskiego Obszaru Funkcjonalnego, które pozwoli na dalszy rozwój obszaru. Realiz</w:t>
            </w:r>
            <w:r w:rsidR="00063259" w:rsidRPr="00565D70">
              <w:rPr>
                <w:rFonts w:eastAsia="Calibri" w:cs="Calibri"/>
                <w:color w:val="000000"/>
                <w:sz w:val="24"/>
                <w:szCs w:val="24"/>
              </w:rPr>
              <w:t>acja zintegrowanych projektów i </w:t>
            </w:r>
            <w:r w:rsidRPr="00565D70">
              <w:rPr>
                <w:rFonts w:eastAsia="Calibri" w:cs="Calibri"/>
                <w:color w:val="000000"/>
                <w:sz w:val="24"/>
                <w:szCs w:val="24"/>
              </w:rPr>
              <w:t>wzmocnienie współpracy pozwoli na rozwiązywanie wspólnych problemów rozwojowych, dotyczących całego obszaru.</w:t>
            </w:r>
          </w:p>
          <w:p w:rsidR="00461F30" w:rsidRPr="00565D70" w:rsidRDefault="00461F30" w:rsidP="00565D70">
            <w:pPr>
              <w:autoSpaceDE w:val="0"/>
              <w:autoSpaceDN w:val="0"/>
              <w:adjustRightInd w:val="0"/>
              <w:spacing w:line="240" w:lineRule="auto"/>
              <w:jc w:val="left"/>
              <w:rPr>
                <w:rFonts w:eastAsia="Calibri" w:cs="Calibri"/>
                <w:bCs/>
                <w:color w:val="000000"/>
                <w:sz w:val="24"/>
                <w:szCs w:val="24"/>
              </w:rPr>
            </w:pPr>
          </w:p>
          <w:p w:rsidR="00AA637C" w:rsidRPr="00565D70" w:rsidRDefault="00461F30" w:rsidP="00565D70">
            <w:pPr>
              <w:autoSpaceDE w:val="0"/>
              <w:autoSpaceDN w:val="0"/>
              <w:adjustRightInd w:val="0"/>
              <w:spacing w:line="240" w:lineRule="auto"/>
              <w:jc w:val="left"/>
              <w:rPr>
                <w:rFonts w:ascii="Calibri" w:eastAsia="Calibri" w:hAnsi="Calibri" w:cs="Calibri"/>
                <w:bCs/>
                <w:color w:val="000000"/>
                <w:sz w:val="24"/>
                <w:szCs w:val="24"/>
              </w:rPr>
            </w:pPr>
            <w:r w:rsidRPr="00565D70">
              <w:rPr>
                <w:rFonts w:eastAsia="Calibri" w:cs="Calibri"/>
                <w:bCs/>
                <w:color w:val="000000"/>
                <w:sz w:val="24"/>
                <w:szCs w:val="24"/>
              </w:rPr>
              <w:t>Istotnymi typami przedsięwzięć będzie m.in. przygotowanie i monitorowanie strategii, w szczególności ich aktualizacja oraz działania na rzecz zwiększenia zdolności kreowania polityki rozwoju obszaru oraz koordynacyjnych Biura ZIT Wrocławskiego Obszaru Funkcjonalnego.</w:t>
            </w:r>
          </w:p>
        </w:tc>
      </w:tr>
    </w:tbl>
    <w:p w:rsidR="008A5396" w:rsidRDefault="008A5396" w:rsidP="00A131D9"/>
    <w:p w:rsidR="00D72C00" w:rsidRDefault="00D72C00" w:rsidP="002F3FDC">
      <w:pPr>
        <w:spacing w:before="240" w:after="0"/>
        <w:rPr>
          <w:color w:val="276E8B"/>
        </w:rPr>
      </w:pPr>
      <w:r>
        <w:rPr>
          <w:color w:val="276E8B"/>
        </w:rPr>
        <w:br w:type="page"/>
      </w:r>
    </w:p>
    <w:p w:rsidR="009923BB" w:rsidRPr="002F3FDC" w:rsidRDefault="0052559B" w:rsidP="00565D70">
      <w:pPr>
        <w:pStyle w:val="Nagwek3"/>
      </w:pPr>
      <w:bookmarkStart w:id="167" w:name="_Toc143673226"/>
      <w:r w:rsidRPr="002F3FDC">
        <w:t xml:space="preserve">IV.2.2 </w:t>
      </w:r>
      <w:r w:rsidR="009923BB" w:rsidRPr="002F3FDC">
        <w:t xml:space="preserve">Wiązki projektów </w:t>
      </w:r>
      <w:proofErr w:type="spellStart"/>
      <w:r w:rsidR="009923BB" w:rsidRPr="002F3FDC">
        <w:t>FEnIKS</w:t>
      </w:r>
      <w:proofErr w:type="spellEnd"/>
      <w:r w:rsidR="000F4B75">
        <w:t xml:space="preserve"> </w:t>
      </w:r>
      <w:r w:rsidR="0096752C" w:rsidRPr="002F3FDC">
        <w:t>2021-2027</w:t>
      </w:r>
      <w:bookmarkEnd w:id="167"/>
    </w:p>
    <w:tbl>
      <w:tblPr>
        <w:tblStyle w:val="Tabela-Siatka"/>
        <w:tblW w:w="0" w:type="auto"/>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1"/>
        <w:tblDescription w:val="Poprawa jakości powietrza we Wrocławskim Obszarze Funkcjonalnym poprzez zakup taboru szynowego i autobusowego"/>
      </w:tblPr>
      <w:tblGrid>
        <w:gridCol w:w="1536"/>
        <w:gridCol w:w="7508"/>
      </w:tblGrid>
      <w:tr w:rsidR="00565D70" w:rsidRPr="00565D70" w:rsidTr="00565D70">
        <w:trPr>
          <w:trHeight w:val="794"/>
          <w:tblHeader/>
        </w:trPr>
        <w:tc>
          <w:tcPr>
            <w:tcW w:w="1536"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Wiązka projektów 1</w:t>
            </w:r>
          </w:p>
        </w:tc>
        <w:tc>
          <w:tcPr>
            <w:tcW w:w="7508" w:type="dxa"/>
            <w:shd w:val="clear" w:color="auto" w:fill="D9D9D9"/>
            <w:vAlign w:val="center"/>
          </w:tcPr>
          <w:p w:rsidR="00565D70" w:rsidRPr="00565D70" w:rsidRDefault="00565D70" w:rsidP="00565D70">
            <w:pPr>
              <w:spacing w:line="240" w:lineRule="auto"/>
              <w:jc w:val="left"/>
              <w:rPr>
                <w:rFonts w:ascii="Calibri" w:eastAsia="Calibri" w:hAnsi="Calibri" w:cs="Times New Roman"/>
                <w:b/>
                <w:sz w:val="24"/>
                <w:szCs w:val="24"/>
                <w:highlight w:val="yellow"/>
              </w:rPr>
            </w:pPr>
            <w:r w:rsidRPr="00565D70">
              <w:rPr>
                <w:rFonts w:cstheme="minorHAnsi"/>
                <w:b/>
                <w:sz w:val="24"/>
                <w:szCs w:val="24"/>
              </w:rPr>
              <w:t>Poprawa jakości powietrza we Wrocławskim Obszarze Funkcjonalnym poprzez zakup taboru szynowego i autobusowego</w:t>
            </w:r>
          </w:p>
        </w:tc>
      </w:tr>
      <w:tr w:rsidR="00800FAF" w:rsidRPr="00565D70" w:rsidTr="00565D70">
        <w:tc>
          <w:tcPr>
            <w:tcW w:w="1536" w:type="dxa"/>
            <w:shd w:val="clear" w:color="auto" w:fill="D9D9D9"/>
            <w:vAlign w:val="center"/>
          </w:tcPr>
          <w:p w:rsidR="00800FAF" w:rsidRPr="00565D70" w:rsidRDefault="00800FAF"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508" w:type="dxa"/>
          </w:tcPr>
          <w:p w:rsidR="00B62D84" w:rsidRPr="00565D70" w:rsidRDefault="00B62D84"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Projekty podstawowe:</w:t>
            </w:r>
          </w:p>
          <w:p w:rsidR="00B62D84" w:rsidRPr="00565D70" w:rsidRDefault="00B62D84" w:rsidP="00565D70">
            <w:pPr>
              <w:pStyle w:val="Akapitzlist"/>
              <w:numPr>
                <w:ilvl w:val="0"/>
                <w:numId w:val="39"/>
              </w:numPr>
              <w:spacing w:line="240" w:lineRule="auto"/>
              <w:jc w:val="left"/>
              <w:rPr>
                <w:rFonts w:cstheme="minorHAnsi"/>
                <w:sz w:val="24"/>
                <w:szCs w:val="24"/>
              </w:rPr>
            </w:pPr>
            <w:r w:rsidRPr="00565D70">
              <w:rPr>
                <w:rFonts w:cstheme="minorHAnsi"/>
                <w:sz w:val="24"/>
                <w:szCs w:val="24"/>
              </w:rPr>
              <w:t xml:space="preserve">Zakup elektrycznych autobusów oraz instalacji do dystrybucji nośników energii dla </w:t>
            </w:r>
            <w:proofErr w:type="spellStart"/>
            <w:r w:rsidRPr="00565D70">
              <w:rPr>
                <w:rFonts w:cstheme="minorHAnsi"/>
                <w:sz w:val="24"/>
                <w:szCs w:val="24"/>
              </w:rPr>
              <w:t>zeroemisyjnego</w:t>
            </w:r>
            <w:proofErr w:type="spellEnd"/>
            <w:r w:rsidRPr="00565D70">
              <w:rPr>
                <w:rFonts w:cstheme="minorHAnsi"/>
                <w:sz w:val="24"/>
                <w:szCs w:val="24"/>
              </w:rPr>
              <w:t xml:space="preserve"> transportu na potrzeby obsługi publicznego transportu zbiorowe</w:t>
            </w:r>
            <w:r w:rsidR="001C7957" w:rsidRPr="00565D70">
              <w:rPr>
                <w:rFonts w:cstheme="minorHAnsi"/>
                <w:sz w:val="24"/>
                <w:szCs w:val="24"/>
              </w:rPr>
              <w:t>go Oławskich Przewozów Gminno-</w:t>
            </w:r>
            <w:r w:rsidRPr="00565D70">
              <w:rPr>
                <w:rFonts w:cstheme="minorHAnsi"/>
                <w:sz w:val="24"/>
                <w:szCs w:val="24"/>
              </w:rPr>
              <w:t>Powiatowych</w:t>
            </w:r>
          </w:p>
          <w:p w:rsidR="00B62D84" w:rsidRPr="00565D70" w:rsidRDefault="00B62D84" w:rsidP="00565D70">
            <w:pPr>
              <w:pStyle w:val="Akapitzlist"/>
              <w:numPr>
                <w:ilvl w:val="0"/>
                <w:numId w:val="39"/>
              </w:numPr>
              <w:spacing w:line="240" w:lineRule="auto"/>
              <w:jc w:val="left"/>
              <w:rPr>
                <w:rFonts w:cstheme="minorHAnsi"/>
                <w:sz w:val="24"/>
                <w:szCs w:val="24"/>
              </w:rPr>
            </w:pPr>
            <w:r w:rsidRPr="00565D70">
              <w:rPr>
                <w:rFonts w:cstheme="minorHAnsi"/>
                <w:sz w:val="24"/>
                <w:szCs w:val="24"/>
              </w:rPr>
              <w:t>Zakup ekologicznych autobusów dla Gminy Miękinia</w:t>
            </w:r>
          </w:p>
          <w:p w:rsidR="00B62D84" w:rsidRPr="00565D70" w:rsidRDefault="00B62D84" w:rsidP="00565D70">
            <w:pPr>
              <w:pStyle w:val="Akapitzlist"/>
              <w:numPr>
                <w:ilvl w:val="0"/>
                <w:numId w:val="39"/>
              </w:numPr>
              <w:spacing w:line="240" w:lineRule="auto"/>
              <w:jc w:val="left"/>
              <w:rPr>
                <w:rFonts w:cstheme="minorHAnsi"/>
                <w:sz w:val="24"/>
                <w:szCs w:val="24"/>
              </w:rPr>
            </w:pPr>
            <w:r w:rsidRPr="00565D70">
              <w:rPr>
                <w:rFonts w:cstheme="minorHAnsi"/>
                <w:sz w:val="24"/>
                <w:szCs w:val="24"/>
              </w:rPr>
              <w:t>Zakup taboru tramwajowego dla Wrocławia – etap I</w:t>
            </w:r>
          </w:p>
          <w:p w:rsidR="00B62D84" w:rsidRPr="00565D70" w:rsidRDefault="00B62D84"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B62D84" w:rsidRPr="00565D70" w:rsidRDefault="00B62D84" w:rsidP="00565D70">
            <w:pPr>
              <w:pStyle w:val="Akapitzlist"/>
              <w:numPr>
                <w:ilvl w:val="0"/>
                <w:numId w:val="42"/>
              </w:numPr>
              <w:spacing w:line="240" w:lineRule="auto"/>
              <w:jc w:val="left"/>
              <w:rPr>
                <w:rFonts w:cstheme="minorHAnsi"/>
                <w:sz w:val="24"/>
                <w:szCs w:val="24"/>
              </w:rPr>
            </w:pPr>
            <w:r w:rsidRPr="00565D70">
              <w:rPr>
                <w:rFonts w:cstheme="minorHAnsi"/>
                <w:sz w:val="24"/>
                <w:szCs w:val="24"/>
              </w:rPr>
              <w:t>Zakup autobusów niskoemisyjnych w ramach rozbudowy sieci połączeń komunikacyjnych w Gminie Kobierzyce</w:t>
            </w:r>
          </w:p>
          <w:p w:rsidR="00B62D84" w:rsidRPr="00565D70" w:rsidRDefault="00B62D84" w:rsidP="00565D70">
            <w:pPr>
              <w:pStyle w:val="Akapitzlist"/>
              <w:numPr>
                <w:ilvl w:val="0"/>
                <w:numId w:val="42"/>
              </w:numPr>
              <w:spacing w:line="240" w:lineRule="auto"/>
              <w:jc w:val="left"/>
              <w:rPr>
                <w:rFonts w:cstheme="minorHAnsi"/>
                <w:sz w:val="24"/>
                <w:szCs w:val="24"/>
              </w:rPr>
            </w:pPr>
            <w:r w:rsidRPr="00565D70">
              <w:rPr>
                <w:rFonts w:cstheme="minorHAnsi"/>
                <w:sz w:val="24"/>
                <w:szCs w:val="24"/>
              </w:rPr>
              <w:t>Zakup taboru tramwajowego dla Wrocławia – etap II</w:t>
            </w:r>
          </w:p>
          <w:p w:rsidR="00B62D84" w:rsidRPr="00565D70" w:rsidRDefault="00B62D84" w:rsidP="00565D70">
            <w:pPr>
              <w:pStyle w:val="Akapitzlist"/>
              <w:numPr>
                <w:ilvl w:val="0"/>
                <w:numId w:val="42"/>
              </w:numPr>
              <w:spacing w:line="240" w:lineRule="auto"/>
              <w:jc w:val="left"/>
              <w:rPr>
                <w:rFonts w:cstheme="minorHAnsi"/>
                <w:sz w:val="24"/>
                <w:szCs w:val="24"/>
              </w:rPr>
            </w:pPr>
            <w:r w:rsidRPr="00565D70">
              <w:rPr>
                <w:rFonts w:cstheme="minorHAnsi"/>
                <w:sz w:val="24"/>
                <w:szCs w:val="24"/>
              </w:rPr>
              <w:t xml:space="preserve">Zakup taboru </w:t>
            </w:r>
            <w:proofErr w:type="spellStart"/>
            <w:r w:rsidRPr="00565D70">
              <w:rPr>
                <w:rFonts w:cstheme="minorHAnsi"/>
                <w:sz w:val="24"/>
                <w:szCs w:val="24"/>
              </w:rPr>
              <w:t>zeroemisy</w:t>
            </w:r>
            <w:r w:rsidR="001C7957" w:rsidRPr="00565D70">
              <w:rPr>
                <w:rFonts w:cstheme="minorHAnsi"/>
                <w:sz w:val="24"/>
                <w:szCs w:val="24"/>
              </w:rPr>
              <w:t>jnego</w:t>
            </w:r>
            <w:proofErr w:type="spellEnd"/>
            <w:r w:rsidR="001C7957" w:rsidRPr="00565D70">
              <w:rPr>
                <w:rFonts w:cstheme="minorHAnsi"/>
                <w:sz w:val="24"/>
                <w:szCs w:val="24"/>
              </w:rPr>
              <w:t xml:space="preserve"> – wodorowego wraz z budową </w:t>
            </w:r>
            <w:r w:rsidRPr="00565D70">
              <w:rPr>
                <w:rFonts w:cstheme="minorHAnsi"/>
                <w:sz w:val="24"/>
                <w:szCs w:val="24"/>
              </w:rPr>
              <w:t>infrastruktury do obsługi taboru</w:t>
            </w:r>
          </w:p>
          <w:p w:rsidR="00800FAF" w:rsidRPr="00565D70" w:rsidRDefault="00B62D84" w:rsidP="00565D70">
            <w:pPr>
              <w:pStyle w:val="Akapitzlist"/>
              <w:numPr>
                <w:ilvl w:val="0"/>
                <w:numId w:val="42"/>
              </w:numPr>
              <w:spacing w:line="240" w:lineRule="auto"/>
              <w:jc w:val="left"/>
              <w:rPr>
                <w:rFonts w:cstheme="minorHAnsi"/>
                <w:sz w:val="24"/>
                <w:szCs w:val="24"/>
              </w:rPr>
            </w:pPr>
            <w:proofErr w:type="spellStart"/>
            <w:r w:rsidRPr="00565D70">
              <w:rPr>
                <w:rFonts w:cstheme="minorHAnsi"/>
                <w:sz w:val="24"/>
                <w:szCs w:val="24"/>
              </w:rPr>
              <w:t>EKOlinia</w:t>
            </w:r>
            <w:proofErr w:type="spellEnd"/>
            <w:r w:rsidRPr="00565D70">
              <w:rPr>
                <w:rFonts w:cstheme="minorHAnsi"/>
                <w:sz w:val="24"/>
                <w:szCs w:val="24"/>
              </w:rPr>
              <w:t xml:space="preserve"> z Portu Lotniczego do Dworca Głównego PKP we Wrocławiu</w:t>
            </w:r>
          </w:p>
        </w:tc>
      </w:tr>
      <w:tr w:rsidR="00800FAF" w:rsidRPr="00565D70" w:rsidTr="00565D70">
        <w:tc>
          <w:tcPr>
            <w:tcW w:w="1536" w:type="dxa"/>
            <w:shd w:val="clear" w:color="auto" w:fill="D9D9D9"/>
            <w:vAlign w:val="center"/>
          </w:tcPr>
          <w:p w:rsidR="00800FAF" w:rsidRPr="00565D70" w:rsidRDefault="00800FAF"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 xml:space="preserve">Cel szczegółowy </w:t>
            </w:r>
            <w:proofErr w:type="spellStart"/>
            <w:r w:rsidRPr="00565D70">
              <w:rPr>
                <w:rFonts w:ascii="Calibri" w:eastAsia="Calibri" w:hAnsi="Calibri" w:cs="Times New Roman"/>
                <w:sz w:val="24"/>
                <w:szCs w:val="24"/>
              </w:rPr>
              <w:t>FEnIKS</w:t>
            </w:r>
            <w:proofErr w:type="spellEnd"/>
            <w:r w:rsidRPr="00565D70">
              <w:rPr>
                <w:rFonts w:ascii="Calibri" w:eastAsia="Calibri" w:hAnsi="Calibri" w:cs="Times New Roman"/>
                <w:sz w:val="24"/>
                <w:szCs w:val="24"/>
              </w:rPr>
              <w:t xml:space="preserve"> 2021-2027</w:t>
            </w:r>
          </w:p>
        </w:tc>
        <w:tc>
          <w:tcPr>
            <w:tcW w:w="7508" w:type="dxa"/>
            <w:vAlign w:val="center"/>
          </w:tcPr>
          <w:p w:rsidR="00800FAF" w:rsidRPr="00565D70" w:rsidRDefault="00800FAF" w:rsidP="00565D70">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2.8 Wspieranie zrównoważonej multimodalnej mobilności miejskiej jako elementu transformacji w kierunku gospodarki </w:t>
            </w:r>
            <w:proofErr w:type="spellStart"/>
            <w:r w:rsidRPr="00565D70">
              <w:rPr>
                <w:rFonts w:ascii="Calibri" w:eastAsia="Calibri" w:hAnsi="Calibri" w:cs="Times New Roman"/>
                <w:b/>
                <w:sz w:val="24"/>
                <w:szCs w:val="24"/>
              </w:rPr>
              <w:t>zeroemisyjnej</w:t>
            </w:r>
            <w:proofErr w:type="spellEnd"/>
          </w:p>
        </w:tc>
      </w:tr>
      <w:tr w:rsidR="00800FAF" w:rsidRPr="00565D70" w:rsidTr="00565D70">
        <w:tc>
          <w:tcPr>
            <w:tcW w:w="1536" w:type="dxa"/>
            <w:shd w:val="clear" w:color="auto" w:fill="D9D9D9"/>
            <w:vAlign w:val="center"/>
          </w:tcPr>
          <w:p w:rsidR="00800FAF" w:rsidRPr="00565D70" w:rsidRDefault="00800FAF" w:rsidP="00565D70">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508" w:type="dxa"/>
          </w:tcPr>
          <w:p w:rsidR="00FF16A3" w:rsidRPr="00565D70" w:rsidRDefault="00D61B18" w:rsidP="00565D70">
            <w:pPr>
              <w:spacing w:line="240" w:lineRule="auto"/>
              <w:jc w:val="left"/>
              <w:rPr>
                <w:rFonts w:cs="Arial"/>
                <w:bCs/>
                <w:sz w:val="24"/>
                <w:szCs w:val="24"/>
              </w:rPr>
            </w:pPr>
            <w:r w:rsidRPr="00565D70">
              <w:rPr>
                <w:rFonts w:cs="Arial"/>
                <w:bCs/>
                <w:sz w:val="24"/>
                <w:szCs w:val="24"/>
              </w:rPr>
              <w:t>Zakupu nowego taboru tramwajowego - nowoczesnego, niskopodłogowego oraz posiadającego szereg udogod</w:t>
            </w:r>
            <w:r w:rsidR="001C7957" w:rsidRPr="00565D70">
              <w:rPr>
                <w:rFonts w:cs="Arial"/>
                <w:bCs/>
                <w:sz w:val="24"/>
                <w:szCs w:val="24"/>
              </w:rPr>
              <w:t>nień dla osób niepełnosprawnych</w:t>
            </w:r>
            <w:r w:rsidRPr="00565D70">
              <w:rPr>
                <w:rFonts w:cs="Arial"/>
                <w:bCs/>
                <w:sz w:val="24"/>
                <w:szCs w:val="24"/>
              </w:rPr>
              <w:t xml:space="preserve"> oraz autobusowego z zasilaniem elektrycznym i wodorowym(lub, opcjonalnie w jednym z projektów, części taboru hybrydowego lub z wykorzystaniem LNG/ CNG/LPG) wraz z realizacją zaplecza technicznego – w tym infrastrukturą do ładowania, dostosowaniem infrastruktury miejskiej do o</w:t>
            </w:r>
            <w:r w:rsidR="00063259" w:rsidRPr="00565D70">
              <w:rPr>
                <w:rFonts w:cs="Arial"/>
                <w:bCs/>
                <w:sz w:val="24"/>
                <w:szCs w:val="24"/>
              </w:rPr>
              <w:t>bsługi transportu publicznego i </w:t>
            </w:r>
            <w:r w:rsidRPr="00565D70">
              <w:rPr>
                <w:rFonts w:cs="Arial"/>
                <w:bCs/>
                <w:sz w:val="24"/>
                <w:szCs w:val="24"/>
              </w:rPr>
              <w:t xml:space="preserve">pasażerów itd. przyczyni się do zwiększenia konkurencyjności transportu publicznego nad indywidualnym transportem samochodowym na teranie WrOF. Ponadto przełoży się na zmniejszenie emisyjności komunikacji zbiorowej, unowocześni  tabor  komunikacji miejskiej i </w:t>
            </w:r>
            <w:r w:rsidR="00D33978" w:rsidRPr="00565D70">
              <w:rPr>
                <w:rFonts w:cs="Arial"/>
                <w:bCs/>
                <w:sz w:val="24"/>
                <w:szCs w:val="24"/>
              </w:rPr>
              <w:t>pozamiejs</w:t>
            </w:r>
            <w:r w:rsidR="001C7957" w:rsidRPr="00565D70">
              <w:rPr>
                <w:rFonts w:cs="Arial"/>
                <w:bCs/>
                <w:sz w:val="24"/>
                <w:szCs w:val="24"/>
              </w:rPr>
              <w:t>kiej oraz  zapewnienie dostępności</w:t>
            </w:r>
            <w:r w:rsidR="00D33978" w:rsidRPr="00565D70">
              <w:rPr>
                <w:rFonts w:cs="Arial"/>
                <w:bCs/>
                <w:sz w:val="24"/>
                <w:szCs w:val="24"/>
              </w:rPr>
              <w:t xml:space="preserve"> </w:t>
            </w:r>
            <w:r w:rsidRPr="00565D70">
              <w:rPr>
                <w:rFonts w:cs="Arial"/>
                <w:bCs/>
                <w:sz w:val="24"/>
                <w:szCs w:val="24"/>
              </w:rPr>
              <w:t xml:space="preserve">transportu publicznego osobom z niepełnosprawnościami. </w:t>
            </w:r>
          </w:p>
          <w:p w:rsidR="00FF16A3" w:rsidRPr="00565D70" w:rsidRDefault="00D61B18" w:rsidP="00565D70">
            <w:pPr>
              <w:spacing w:line="240" w:lineRule="auto"/>
              <w:jc w:val="left"/>
              <w:rPr>
                <w:rFonts w:cs="Arial"/>
                <w:bCs/>
                <w:sz w:val="24"/>
                <w:szCs w:val="24"/>
              </w:rPr>
            </w:pPr>
            <w:r w:rsidRPr="00565D70">
              <w:rPr>
                <w:rFonts w:cs="Arial"/>
                <w:b/>
                <w:bCs/>
                <w:sz w:val="24"/>
                <w:szCs w:val="24"/>
              </w:rPr>
              <w:t>Projekty  wchodzące w skład wiązki mają wpływ na więcej niż jedną gminę we WrOF</w:t>
            </w:r>
            <w:r w:rsidRPr="00565D70">
              <w:rPr>
                <w:rFonts w:cs="Arial"/>
                <w:bCs/>
                <w:sz w:val="24"/>
                <w:szCs w:val="24"/>
              </w:rPr>
              <w:t xml:space="preserve"> ponieważ zakupiony tabor autobusowy będzie użytkowany do realizacji połączeń zarówno w ramach gmin</w:t>
            </w:r>
            <w:r w:rsidR="001C7957" w:rsidRPr="00565D70">
              <w:rPr>
                <w:rFonts w:cs="Arial"/>
                <w:bCs/>
                <w:sz w:val="24"/>
                <w:szCs w:val="24"/>
              </w:rPr>
              <w:t>,</w:t>
            </w:r>
            <w:r w:rsidRPr="00565D70">
              <w:rPr>
                <w:rFonts w:cs="Arial"/>
                <w:bCs/>
                <w:sz w:val="24"/>
                <w:szCs w:val="24"/>
              </w:rPr>
              <w:t xml:space="preserve"> jak i połączeń międzygminnych.  Tramwaje dzięki zastosowanym rozwiązaniom np. systemowi odzyskiwania energii, bateriom umożliwiającym jazdę w przypadku braku zasi</w:t>
            </w:r>
            <w:r w:rsidR="007C017C" w:rsidRPr="00565D70">
              <w:rPr>
                <w:rFonts w:cs="Arial"/>
                <w:bCs/>
                <w:sz w:val="24"/>
                <w:szCs w:val="24"/>
              </w:rPr>
              <w:t>lania z sieci przyczynia się do </w:t>
            </w:r>
            <w:r w:rsidRPr="00565D70">
              <w:rPr>
                <w:rFonts w:cs="Arial"/>
                <w:bCs/>
                <w:sz w:val="24"/>
                <w:szCs w:val="24"/>
              </w:rPr>
              <w:t>podniesienia skomunikowania wewnętrznego  gmin WrOF. Ponadto przyczyni się do zatrzymania potoku osób chcących przemieszczać się swoim samochodem, do innej miejscowości, poprzez umożli</w:t>
            </w:r>
            <w:r w:rsidR="00063259" w:rsidRPr="00565D70">
              <w:rPr>
                <w:rFonts w:cs="Arial"/>
                <w:bCs/>
                <w:sz w:val="24"/>
                <w:szCs w:val="24"/>
              </w:rPr>
              <w:t>wienie podróżnym skorzystania z </w:t>
            </w:r>
            <w:r w:rsidRPr="00565D70">
              <w:rPr>
                <w:rFonts w:cs="Arial"/>
                <w:bCs/>
                <w:sz w:val="24"/>
                <w:szCs w:val="24"/>
              </w:rPr>
              <w:t xml:space="preserve">nowoczesnego, pewnego i nieawaryjnego taboru. </w:t>
            </w:r>
          </w:p>
          <w:p w:rsidR="00FF16A3" w:rsidRPr="00565D70" w:rsidRDefault="00D61B18" w:rsidP="00565D70">
            <w:pPr>
              <w:spacing w:line="240" w:lineRule="auto"/>
              <w:jc w:val="left"/>
              <w:rPr>
                <w:bCs/>
                <w:sz w:val="24"/>
                <w:szCs w:val="24"/>
              </w:rPr>
            </w:pPr>
            <w:r w:rsidRPr="00565D70">
              <w:rPr>
                <w:bCs/>
                <w:sz w:val="24"/>
                <w:szCs w:val="24"/>
              </w:rPr>
              <w:t xml:space="preserve">Zaproponowana </w:t>
            </w:r>
            <w:r w:rsidRPr="00565D70">
              <w:rPr>
                <w:b/>
                <w:bCs/>
                <w:sz w:val="24"/>
                <w:szCs w:val="24"/>
              </w:rPr>
              <w:t>wiązka projektów</w:t>
            </w:r>
            <w:r w:rsidRPr="00565D70">
              <w:rPr>
                <w:bCs/>
                <w:sz w:val="24"/>
                <w:szCs w:val="24"/>
              </w:rPr>
              <w:t xml:space="preserve"> wykazuje pełną </w:t>
            </w:r>
            <w:r w:rsidRPr="00565D70">
              <w:rPr>
                <w:b/>
                <w:bCs/>
                <w:sz w:val="24"/>
                <w:szCs w:val="24"/>
              </w:rPr>
              <w:t>wewnętrzną  komplementarność  i synergię</w:t>
            </w:r>
            <w:r w:rsidRPr="00565D70">
              <w:rPr>
                <w:bCs/>
                <w:sz w:val="24"/>
                <w:szCs w:val="24"/>
              </w:rPr>
              <w:t xml:space="preserve"> w </w:t>
            </w:r>
            <w:r w:rsidRPr="00565D70">
              <w:rPr>
                <w:b/>
                <w:bCs/>
                <w:sz w:val="24"/>
                <w:szCs w:val="24"/>
              </w:rPr>
              <w:t>zakresie tematycznym</w:t>
            </w:r>
            <w:r w:rsidRPr="00565D70">
              <w:rPr>
                <w:bCs/>
                <w:sz w:val="24"/>
                <w:szCs w:val="24"/>
              </w:rPr>
              <w:t xml:space="preserve">: zakupu taboru szynowego i/lub autobusowego (zero </w:t>
            </w:r>
            <w:r w:rsidR="00063259" w:rsidRPr="00565D70">
              <w:rPr>
                <w:bCs/>
                <w:sz w:val="24"/>
                <w:szCs w:val="24"/>
              </w:rPr>
              <w:t>emisyjnego, hybrydowego, lub z </w:t>
            </w:r>
            <w:r w:rsidRPr="00565D70">
              <w:rPr>
                <w:bCs/>
                <w:sz w:val="24"/>
                <w:szCs w:val="24"/>
              </w:rPr>
              <w:t xml:space="preserve">wykorzystaniem LNG/CNG/LPG) wraz budową/zakupem niezbędnej infrastruktury na potrzeby obsługi transportu publicznego i w </w:t>
            </w:r>
            <w:r w:rsidRPr="00565D70">
              <w:rPr>
                <w:b/>
                <w:bCs/>
                <w:sz w:val="24"/>
                <w:szCs w:val="24"/>
              </w:rPr>
              <w:t>zakresie obszarowym</w:t>
            </w:r>
            <w:r w:rsidRPr="00565D70">
              <w:rPr>
                <w:bCs/>
                <w:sz w:val="24"/>
                <w:szCs w:val="24"/>
              </w:rPr>
              <w:t xml:space="preserve">: </w:t>
            </w:r>
            <w:r w:rsidR="00705FA3" w:rsidRPr="00565D70">
              <w:rPr>
                <w:rFonts w:cs="Arial"/>
                <w:bCs/>
                <w:sz w:val="24"/>
                <w:szCs w:val="24"/>
              </w:rPr>
              <w:t>ponieważ  rzeczowa realizacja projektów zaplanowana jest  na terenie gmin  ZIT WrOF, które są również objęte  opracowanym PZM MOFW</w:t>
            </w:r>
            <w:r w:rsidRPr="00565D70">
              <w:rPr>
                <w:bCs/>
                <w:sz w:val="24"/>
                <w:szCs w:val="24"/>
              </w:rPr>
              <w:t xml:space="preserve">. </w:t>
            </w:r>
          </w:p>
          <w:p w:rsidR="00833A04" w:rsidRPr="00565D70" w:rsidRDefault="00D61B18" w:rsidP="00565D70">
            <w:pPr>
              <w:spacing w:line="240" w:lineRule="auto"/>
              <w:jc w:val="left"/>
              <w:rPr>
                <w:rFonts w:cs="Arial"/>
                <w:bCs/>
                <w:sz w:val="24"/>
                <w:szCs w:val="24"/>
              </w:rPr>
            </w:pPr>
            <w:r w:rsidRPr="00565D70">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833A04" w:rsidRPr="00565D70" w:rsidRDefault="00D61B18" w:rsidP="00565D70">
            <w:pPr>
              <w:pStyle w:val="Default"/>
              <w:rPr>
                <w:rFonts w:asciiTheme="minorHAnsi" w:hAnsiTheme="minorHAnsi" w:cs="Arial"/>
                <w:b/>
                <w:bCs/>
                <w:color w:val="auto"/>
              </w:rPr>
            </w:pPr>
            <w:r w:rsidRPr="00565D70">
              <w:rPr>
                <w:rFonts w:asciiTheme="minorHAnsi" w:hAnsiTheme="minorHAnsi" w:cs="Arial"/>
                <w:b/>
                <w:bCs/>
                <w:color w:val="auto"/>
              </w:rPr>
              <w:t>Realizacja projektów stanowiących wiązkę wynika z części kierunkowej Strategii ZIT WrOF,  tj.:</w:t>
            </w:r>
          </w:p>
          <w:p w:rsidR="00833A04" w:rsidRPr="00565D70" w:rsidRDefault="001C7957" w:rsidP="00565D70">
            <w:pPr>
              <w:pStyle w:val="Default"/>
              <w:rPr>
                <w:rFonts w:asciiTheme="minorHAnsi" w:hAnsiTheme="minorHAnsi" w:cs="Arial"/>
                <w:b/>
                <w:bCs/>
                <w:color w:val="auto"/>
              </w:rPr>
            </w:pPr>
            <w:r w:rsidRPr="00565D70">
              <w:rPr>
                <w:rFonts w:asciiTheme="minorHAnsi" w:hAnsiTheme="minorHAnsi" w:cs="Arial"/>
                <w:b/>
                <w:bCs/>
                <w:color w:val="auto"/>
              </w:rPr>
              <w:t>Cel strategiczny 3.</w:t>
            </w:r>
            <w:r w:rsidR="00D61B18" w:rsidRPr="00565D70">
              <w:rPr>
                <w:rFonts w:asciiTheme="minorHAnsi" w:hAnsiTheme="minorHAnsi" w:cs="Arial"/>
                <w:b/>
                <w:bCs/>
                <w:color w:val="auto"/>
              </w:rPr>
              <w:t xml:space="preserve"> Ochrona środowiska naturalnego i adaptacja WrOF do zmian  </w:t>
            </w:r>
            <w:r w:rsidR="00460958" w:rsidRPr="00565D70">
              <w:rPr>
                <w:rFonts w:asciiTheme="minorHAnsi" w:hAnsiTheme="minorHAnsi" w:cs="Arial"/>
                <w:b/>
                <w:bCs/>
                <w:color w:val="auto"/>
              </w:rPr>
              <w:t xml:space="preserve">klimatu </w:t>
            </w:r>
          </w:p>
          <w:p w:rsidR="00833A04" w:rsidRPr="00565D70" w:rsidRDefault="00D61B18" w:rsidP="00565D70">
            <w:pPr>
              <w:pStyle w:val="Default"/>
              <w:rPr>
                <w:rFonts w:asciiTheme="minorHAnsi" w:hAnsiTheme="minorHAnsi" w:cs="Arial"/>
                <w:b/>
                <w:color w:val="auto"/>
              </w:rPr>
            </w:pPr>
            <w:r w:rsidRPr="00565D70">
              <w:rPr>
                <w:rFonts w:asciiTheme="minorHAnsi" w:hAnsiTheme="minorHAnsi" w:cs="Arial"/>
                <w:b/>
                <w:color w:val="auto"/>
              </w:rPr>
              <w:t xml:space="preserve">Priorytet 13. Zrównoważona mobilność </w:t>
            </w:r>
          </w:p>
          <w:p w:rsidR="00833A04" w:rsidRPr="00565D70" w:rsidRDefault="00D61B18" w:rsidP="00565D70">
            <w:pPr>
              <w:pStyle w:val="Default"/>
              <w:rPr>
                <w:rFonts w:asciiTheme="minorHAnsi" w:hAnsiTheme="minorHAnsi"/>
                <w:b/>
                <w:bCs/>
                <w:color w:val="auto"/>
              </w:rPr>
            </w:pPr>
            <w:r w:rsidRPr="00565D70">
              <w:rPr>
                <w:rFonts w:asciiTheme="minorHAnsi" w:hAnsiTheme="minorHAnsi" w:cs="Arial"/>
                <w:b/>
                <w:bCs/>
                <w:color w:val="auto"/>
              </w:rPr>
              <w:t>Kierunek działania 13.1  Zwiększenie konkurenc</w:t>
            </w:r>
            <w:r w:rsidR="00063259" w:rsidRPr="00565D70">
              <w:rPr>
                <w:rFonts w:asciiTheme="minorHAnsi" w:hAnsiTheme="minorHAnsi" w:cs="Arial"/>
                <w:b/>
                <w:bCs/>
                <w:color w:val="auto"/>
              </w:rPr>
              <w:t>yjności transportu zbiorowego i </w:t>
            </w:r>
            <w:r w:rsidRPr="00565D70">
              <w:rPr>
                <w:rFonts w:asciiTheme="minorHAnsi" w:hAnsiTheme="minorHAnsi" w:cs="Arial"/>
                <w:b/>
                <w:bCs/>
                <w:color w:val="auto"/>
              </w:rPr>
              <w:t>niskoemisyjnych form przemieszczania się</w:t>
            </w:r>
          </w:p>
          <w:p w:rsidR="00833A04" w:rsidRPr="00565D70" w:rsidRDefault="00D61B18" w:rsidP="00565D70">
            <w:pPr>
              <w:pStyle w:val="nadWrOF"/>
              <w:spacing w:after="120"/>
              <w:rPr>
                <w:rFonts w:asciiTheme="minorHAnsi" w:hAnsiTheme="minorHAnsi" w:cstheme="minorHAnsi"/>
                <w:i w:val="0"/>
                <w:color w:val="auto"/>
                <w:sz w:val="24"/>
                <w:szCs w:val="24"/>
              </w:rPr>
            </w:pPr>
            <w:r w:rsidRPr="00565D70">
              <w:rPr>
                <w:rFonts w:asciiTheme="minorHAnsi" w:hAnsiTheme="minorHAnsi" w:cs="Arial"/>
                <w:bCs/>
                <w:i w:val="0"/>
                <w:color w:val="auto"/>
                <w:sz w:val="24"/>
                <w:szCs w:val="24"/>
              </w:rPr>
              <w:t xml:space="preserve">Natomiast w </w:t>
            </w:r>
            <w:r w:rsidR="00460958" w:rsidRPr="00565D70">
              <w:rPr>
                <w:rFonts w:asciiTheme="minorHAnsi" w:hAnsiTheme="minorHAnsi" w:cs="Arial"/>
                <w:b/>
                <w:bCs/>
                <w:i w:val="0"/>
                <w:color w:val="auto"/>
                <w:sz w:val="24"/>
                <w:szCs w:val="24"/>
              </w:rPr>
              <w:t>części  II.</w:t>
            </w:r>
            <w:r w:rsidR="001C7957" w:rsidRPr="00565D70">
              <w:rPr>
                <w:rFonts w:asciiTheme="minorHAnsi" w:hAnsiTheme="minorHAnsi" w:cs="Arial"/>
                <w:b/>
                <w:bCs/>
                <w:i w:val="0"/>
                <w:color w:val="auto"/>
                <w:sz w:val="24"/>
                <w:szCs w:val="24"/>
              </w:rPr>
              <w:t xml:space="preserve"> </w:t>
            </w:r>
            <w:r w:rsidRPr="00565D70">
              <w:rPr>
                <w:rFonts w:asciiTheme="minorHAnsi" w:hAnsiTheme="minorHAnsi" w:cstheme="minorHAnsi"/>
                <w:b/>
                <w:i w:val="0"/>
                <w:color w:val="auto"/>
                <w:sz w:val="24"/>
                <w:szCs w:val="24"/>
              </w:rPr>
              <w:t>Synteza diagnozy strategicznej obszaru WrOF</w:t>
            </w:r>
            <w:r w:rsidRPr="00565D70">
              <w:rPr>
                <w:rFonts w:asciiTheme="minorHAnsi" w:hAnsiTheme="minorHAnsi" w:cs="Arial"/>
                <w:bCs/>
                <w:i w:val="0"/>
                <w:color w:val="auto"/>
                <w:sz w:val="24"/>
                <w:szCs w:val="24"/>
              </w:rPr>
              <w:t xml:space="preserve">, w opisie analizy </w:t>
            </w:r>
            <w:r w:rsidRPr="00565D70">
              <w:rPr>
                <w:rFonts w:asciiTheme="minorHAnsi" w:hAnsiTheme="minorHAnsi" w:cs="Arial"/>
                <w:b/>
                <w:bCs/>
                <w:i w:val="0"/>
                <w:color w:val="auto"/>
                <w:sz w:val="24"/>
                <w:szCs w:val="24"/>
              </w:rPr>
              <w:t xml:space="preserve">mobilności wskazano, że </w:t>
            </w:r>
            <w:r w:rsidRPr="00565D70">
              <w:rPr>
                <w:rFonts w:asciiTheme="minorHAnsi" w:hAnsiTheme="minorHAnsi" w:cstheme="minorHAnsi"/>
                <w:i w:val="0"/>
                <w:color w:val="auto"/>
                <w:sz w:val="24"/>
                <w:szCs w:val="24"/>
              </w:rPr>
              <w:t>dostępność spójnej sieci  komunikacyjnej, zapewniającej zrównoważoną mobilność,</w:t>
            </w:r>
            <w:r w:rsidR="001C7957" w:rsidRPr="00565D70">
              <w:rPr>
                <w:rFonts w:asciiTheme="minorHAnsi" w:hAnsiTheme="minorHAnsi" w:cstheme="minorHAnsi"/>
                <w:i w:val="0"/>
                <w:color w:val="auto"/>
                <w:sz w:val="24"/>
                <w:szCs w:val="24"/>
              </w:rPr>
              <w:t xml:space="preserve"> </w:t>
            </w:r>
            <w:r w:rsidRPr="00565D70">
              <w:rPr>
                <w:rFonts w:asciiTheme="minorHAnsi" w:hAnsiTheme="minorHAnsi" w:cstheme="minorHAnsi"/>
                <w:i w:val="0"/>
                <w:color w:val="auto"/>
                <w:sz w:val="24"/>
                <w:szCs w:val="24"/>
              </w:rPr>
              <w:t xml:space="preserve">jest jednym z czynników wpływających na rozwój społeczno-gospodarczy obszaru ZIT,  przyczyniając się do rozwoju i </w:t>
            </w:r>
            <w:r w:rsidR="00173E0D" w:rsidRPr="00565D70">
              <w:rPr>
                <w:rFonts w:asciiTheme="minorHAnsi" w:hAnsiTheme="minorHAnsi" w:cstheme="minorHAnsi"/>
                <w:i w:val="0"/>
                <w:color w:val="auto"/>
                <w:sz w:val="24"/>
                <w:szCs w:val="24"/>
              </w:rPr>
              <w:t> </w:t>
            </w:r>
            <w:r w:rsidRPr="00565D70">
              <w:rPr>
                <w:rFonts w:asciiTheme="minorHAnsi" w:hAnsiTheme="minorHAnsi" w:cstheme="minorHAnsi"/>
                <w:i w:val="0"/>
                <w:color w:val="auto"/>
                <w:sz w:val="24"/>
                <w:szCs w:val="24"/>
              </w:rPr>
              <w:t xml:space="preserve">wzmacniania powiązań między gminami. </w:t>
            </w:r>
            <w:r w:rsidRPr="00565D70">
              <w:rPr>
                <w:rFonts w:asciiTheme="minorHAnsi" w:hAnsiTheme="minorHAnsi" w:cs="Arial"/>
                <w:bCs/>
                <w:i w:val="0"/>
                <w:color w:val="auto"/>
                <w:sz w:val="24"/>
                <w:szCs w:val="24"/>
              </w:rPr>
              <w:t xml:space="preserve">Nadmienić należy, że pomimo  </w:t>
            </w:r>
            <w:r w:rsidRPr="00565D70">
              <w:rPr>
                <w:rFonts w:asciiTheme="minorHAnsi" w:hAnsiTheme="minorHAnsi" w:cstheme="minorHAnsi"/>
                <w:i w:val="0"/>
                <w:color w:val="auto"/>
                <w:sz w:val="24"/>
                <w:szCs w:val="24"/>
              </w:rPr>
              <w:t xml:space="preserve">dostępności komunikacyjnej obszaru  </w:t>
            </w:r>
            <w:r w:rsidR="00E2136A" w:rsidRPr="00565D70">
              <w:rPr>
                <w:rFonts w:asciiTheme="minorHAnsi" w:hAnsiTheme="minorHAnsi" w:cstheme="minorHAnsi"/>
                <w:i w:val="0"/>
                <w:color w:val="auto"/>
                <w:sz w:val="24"/>
                <w:szCs w:val="24"/>
              </w:rPr>
              <w:t>(</w:t>
            </w:r>
            <w:r w:rsidR="00A25A41" w:rsidRPr="00565D70">
              <w:rPr>
                <w:rFonts w:asciiTheme="minorHAnsi" w:hAnsiTheme="minorHAnsi" w:cstheme="minorHAnsi"/>
                <w:i w:val="0"/>
                <w:color w:val="auto"/>
                <w:sz w:val="24"/>
                <w:szCs w:val="24"/>
              </w:rPr>
              <w:t>z uwagi na obecność wielu systemów transportu: drogowego, kolejowego, tramwajowego,  lotniczego i rowerowego</w:t>
            </w:r>
            <w:r w:rsidRPr="00565D70">
              <w:rPr>
                <w:rFonts w:asciiTheme="minorHAnsi" w:hAnsiTheme="minorHAnsi" w:cstheme="minorHAnsi"/>
                <w:i w:val="0"/>
                <w:color w:val="auto"/>
                <w:sz w:val="24"/>
                <w:szCs w:val="24"/>
              </w:rPr>
              <w:t>) nadal występuje problem niedostatecznego poziomu skomunikowania wewnątrz gmin WrOF.</w:t>
            </w:r>
          </w:p>
          <w:p w:rsidR="00833A04" w:rsidRPr="00565D70" w:rsidRDefault="00D61B18" w:rsidP="00565D70">
            <w:pPr>
              <w:spacing w:line="240" w:lineRule="auto"/>
              <w:jc w:val="left"/>
              <w:rPr>
                <w:bCs/>
                <w:sz w:val="24"/>
                <w:szCs w:val="24"/>
              </w:rPr>
            </w:pPr>
            <w:r w:rsidRPr="00565D70">
              <w:rPr>
                <w:rFonts w:cstheme="minorHAnsi"/>
                <w:sz w:val="24"/>
                <w:szCs w:val="24"/>
              </w:rPr>
              <w:t xml:space="preserve">W części  </w:t>
            </w:r>
            <w:r w:rsidRPr="00565D70">
              <w:rPr>
                <w:b/>
                <w:sz w:val="24"/>
                <w:szCs w:val="24"/>
              </w:rPr>
              <w:t xml:space="preserve">Kluczowe wyzwania strategiczne </w:t>
            </w:r>
            <w:r w:rsidRPr="00565D70">
              <w:rPr>
                <w:rFonts w:cstheme="minorHAnsi"/>
                <w:sz w:val="24"/>
                <w:szCs w:val="24"/>
              </w:rPr>
              <w:t>wskazano, że z</w:t>
            </w:r>
            <w:r w:rsidR="00173E0D" w:rsidRPr="00565D70">
              <w:rPr>
                <w:rFonts w:cs="Calibri"/>
                <w:sz w:val="24"/>
                <w:szCs w:val="24"/>
              </w:rPr>
              <w:t>arówno Wrocław jak i </w:t>
            </w:r>
            <w:r w:rsidRPr="00565D70">
              <w:rPr>
                <w:rFonts w:cs="Calibri"/>
                <w:sz w:val="24"/>
                <w:szCs w:val="24"/>
              </w:rPr>
              <w:t>pozostałe jednostki terytorialne powinny dążyć do modernizacji taborów komunikacji zbiorowej, aby zmniejszać emisyjność pojazdów koncentrując się na rozwoju zero i nisko emisyjnej floty pojazdów i jej  zaplecza technicznego</w:t>
            </w:r>
            <w:r w:rsidRPr="00565D70">
              <w:rPr>
                <w:rFonts w:cstheme="minorHAnsi"/>
                <w:sz w:val="24"/>
                <w:szCs w:val="24"/>
              </w:rPr>
              <w:t>.</w:t>
            </w:r>
          </w:p>
          <w:p w:rsidR="00833A04" w:rsidRPr="00565D70" w:rsidRDefault="00D61B18" w:rsidP="00565D70">
            <w:pPr>
              <w:spacing w:line="240" w:lineRule="auto"/>
              <w:jc w:val="left"/>
              <w:rPr>
                <w:rFonts w:cs="Arial"/>
                <w:b/>
                <w:bCs/>
                <w:sz w:val="24"/>
                <w:szCs w:val="24"/>
              </w:rPr>
            </w:pPr>
            <w:r w:rsidRPr="00565D70">
              <w:rPr>
                <w:rFonts w:cs="Arial"/>
                <w:bCs/>
                <w:sz w:val="24"/>
                <w:szCs w:val="24"/>
              </w:rPr>
              <w:t xml:space="preserve">Ponadto wiązka </w:t>
            </w:r>
            <w:r w:rsidRPr="00565D70">
              <w:rPr>
                <w:rFonts w:cs="Arial"/>
                <w:b/>
                <w:bCs/>
                <w:sz w:val="24"/>
                <w:szCs w:val="24"/>
              </w:rPr>
              <w:t>realizuje zapisy PZM MOFW</w:t>
            </w:r>
          </w:p>
          <w:p w:rsidR="00833A04" w:rsidRPr="00565D70" w:rsidRDefault="00D61B18" w:rsidP="00565D70">
            <w:pPr>
              <w:spacing w:line="240" w:lineRule="auto"/>
              <w:jc w:val="left"/>
              <w:rPr>
                <w:bCs/>
                <w:sz w:val="24"/>
                <w:szCs w:val="24"/>
                <w:u w:val="single"/>
              </w:rPr>
            </w:pPr>
            <w:r w:rsidRPr="00565D70">
              <w:rPr>
                <w:rFonts w:cs="Arial"/>
                <w:bCs/>
                <w:sz w:val="24"/>
                <w:szCs w:val="24"/>
              </w:rPr>
              <w:t>Zaproponowane w powyższej wiązce projekty w</w:t>
            </w:r>
            <w:r w:rsidR="00063259" w:rsidRPr="00565D70">
              <w:rPr>
                <w:rFonts w:cs="Arial"/>
                <w:bCs/>
                <w:sz w:val="24"/>
                <w:szCs w:val="24"/>
              </w:rPr>
              <w:t>prost odpowiadają na wyzwania i </w:t>
            </w:r>
            <w:r w:rsidRPr="00565D70">
              <w:rPr>
                <w:rFonts w:cs="Arial"/>
                <w:bCs/>
                <w:sz w:val="24"/>
                <w:szCs w:val="24"/>
              </w:rPr>
              <w:t xml:space="preserve">cele zwarte w </w:t>
            </w:r>
            <w:r w:rsidRPr="00565D70">
              <w:rPr>
                <w:rFonts w:cs="Arial"/>
                <w:bCs/>
                <w:sz w:val="24"/>
                <w:szCs w:val="24"/>
                <w:u w:val="single"/>
              </w:rPr>
              <w:t>PZM MOFW, który integruje wszystkie działania dotyczące mobilności na terenie  MOFW.</w:t>
            </w:r>
          </w:p>
          <w:p w:rsidR="00833A04" w:rsidRPr="00565D70" w:rsidRDefault="00D61B18" w:rsidP="00565D70">
            <w:pPr>
              <w:spacing w:line="240" w:lineRule="auto"/>
              <w:jc w:val="left"/>
              <w:rPr>
                <w:b/>
                <w:bCs/>
                <w:sz w:val="24"/>
                <w:szCs w:val="24"/>
              </w:rPr>
            </w:pPr>
            <w:r w:rsidRPr="00565D70">
              <w:rPr>
                <w:bCs/>
                <w:sz w:val="24"/>
                <w:szCs w:val="24"/>
              </w:rPr>
              <w:t xml:space="preserve">Zakup taboru szynowego i/lub autobusowego (zero emisyjnego, hybrydowego, lub z wykorzystaniem LNG/CNG/LPG) wraz budową/zakupem niezbędnej  infrastruktury  na potrzeby obsługi transportu publicznego wpisuje się w Cel nadrzędny PZM MOFW tj. </w:t>
            </w:r>
            <w:r w:rsidRPr="00565D70">
              <w:rPr>
                <w:b/>
                <w:sz w:val="24"/>
                <w:szCs w:val="24"/>
              </w:rPr>
              <w:t xml:space="preserve">Poprawa dostępności transportowej. </w:t>
            </w:r>
            <w:r w:rsidRPr="00565D70">
              <w:rPr>
                <w:sz w:val="24"/>
                <w:szCs w:val="24"/>
              </w:rPr>
              <w:t xml:space="preserve">Ponadto </w:t>
            </w:r>
            <w:r w:rsidRPr="00565D70">
              <w:rPr>
                <w:bCs/>
                <w:sz w:val="24"/>
                <w:szCs w:val="24"/>
              </w:rPr>
              <w:t>jest wprost ujęty  w Celu szczegółowym 4</w:t>
            </w:r>
            <w:r w:rsidRPr="00565D70">
              <w:rPr>
                <w:b/>
                <w:bCs/>
                <w:sz w:val="24"/>
                <w:szCs w:val="24"/>
              </w:rPr>
              <w:t>: Zmniejszenie uciążliwości transportowej dla ludzi i środowiska wraz z poprawą bezpieczeństwa i jakości infrastruktury</w:t>
            </w:r>
            <w:r w:rsidRPr="00565D70">
              <w:rPr>
                <w:bCs/>
                <w:sz w:val="24"/>
                <w:szCs w:val="24"/>
              </w:rPr>
              <w:t xml:space="preserve">, gdzie jednym z </w:t>
            </w:r>
            <w:r w:rsidRPr="00565D70">
              <w:rPr>
                <w:b/>
                <w:bCs/>
                <w:sz w:val="24"/>
                <w:szCs w:val="24"/>
              </w:rPr>
              <w:t>pakietów działań</w:t>
            </w:r>
            <w:r w:rsidRPr="00565D70">
              <w:rPr>
                <w:bCs/>
                <w:sz w:val="24"/>
                <w:szCs w:val="24"/>
              </w:rPr>
              <w:t xml:space="preserve"> o wysokim  priorytecie realizacji  jest </w:t>
            </w:r>
            <w:r w:rsidRPr="00565D70">
              <w:rPr>
                <w:b/>
                <w:bCs/>
                <w:sz w:val="24"/>
                <w:szCs w:val="24"/>
              </w:rPr>
              <w:t xml:space="preserve">„Nisko lub </w:t>
            </w:r>
            <w:proofErr w:type="spellStart"/>
            <w:r w:rsidRPr="00565D70">
              <w:rPr>
                <w:b/>
                <w:bCs/>
                <w:sz w:val="24"/>
                <w:szCs w:val="24"/>
              </w:rPr>
              <w:t>zeroemisyjność</w:t>
            </w:r>
            <w:proofErr w:type="spellEnd"/>
            <w:r w:rsidRPr="00565D70">
              <w:rPr>
                <w:b/>
                <w:bCs/>
                <w:sz w:val="24"/>
                <w:szCs w:val="24"/>
              </w:rPr>
              <w:t xml:space="preserve"> w transporcie”. </w:t>
            </w:r>
          </w:p>
          <w:p w:rsidR="00833A04" w:rsidRPr="00565D70" w:rsidRDefault="00D61B18" w:rsidP="00565D70">
            <w:pPr>
              <w:spacing w:line="240" w:lineRule="auto"/>
              <w:jc w:val="left"/>
              <w:rPr>
                <w:bCs/>
                <w:sz w:val="24"/>
                <w:szCs w:val="24"/>
              </w:rPr>
            </w:pPr>
            <w:r w:rsidRPr="00565D70">
              <w:rPr>
                <w:bCs/>
                <w:sz w:val="24"/>
                <w:szCs w:val="24"/>
              </w:rPr>
              <w:t xml:space="preserve">W </w:t>
            </w:r>
            <w:r w:rsidRPr="00565D70">
              <w:rPr>
                <w:b/>
                <w:bCs/>
                <w:sz w:val="24"/>
                <w:szCs w:val="24"/>
              </w:rPr>
              <w:t>Rekomendacjach</w:t>
            </w:r>
            <w:r w:rsidRPr="00565D70">
              <w:rPr>
                <w:bCs/>
                <w:sz w:val="24"/>
                <w:szCs w:val="24"/>
              </w:rPr>
              <w:t xml:space="preserve"> </w:t>
            </w:r>
            <w:r w:rsidR="001C7957" w:rsidRPr="00565D70">
              <w:rPr>
                <w:bCs/>
                <w:sz w:val="24"/>
                <w:szCs w:val="24"/>
              </w:rPr>
              <w:t xml:space="preserve">w ramach PZM MOFW </w:t>
            </w:r>
            <w:r w:rsidRPr="00565D70">
              <w:rPr>
                <w:bCs/>
                <w:sz w:val="24"/>
                <w:szCs w:val="24"/>
              </w:rPr>
              <w:t xml:space="preserve">wskazany jest rozwój floty taboru szynowego (we Wrocławiu) oraz promowanie wykorzystywania w przewozach pasażerskich </w:t>
            </w:r>
            <w:proofErr w:type="spellStart"/>
            <w:r w:rsidRPr="00565D70">
              <w:rPr>
                <w:bCs/>
                <w:sz w:val="24"/>
                <w:szCs w:val="24"/>
              </w:rPr>
              <w:t>zeroemisyjnego</w:t>
            </w:r>
            <w:proofErr w:type="spellEnd"/>
            <w:r w:rsidRPr="00565D70">
              <w:rPr>
                <w:bCs/>
                <w:sz w:val="24"/>
                <w:szCs w:val="24"/>
              </w:rPr>
              <w:t xml:space="preserve"> taboru (wodorowego lub elektrycznego). </w:t>
            </w:r>
          </w:p>
          <w:p w:rsidR="00800FAF" w:rsidRPr="00565D70" w:rsidRDefault="00D61B18" w:rsidP="00565D70">
            <w:pPr>
              <w:autoSpaceDE w:val="0"/>
              <w:autoSpaceDN w:val="0"/>
              <w:adjustRightInd w:val="0"/>
              <w:spacing w:line="240" w:lineRule="auto"/>
              <w:jc w:val="left"/>
              <w:rPr>
                <w:rFonts w:ascii="Calibri" w:eastAsia="Calibri" w:hAnsi="Calibri" w:cs="Calibri"/>
                <w:color w:val="000000"/>
                <w:sz w:val="24"/>
                <w:szCs w:val="24"/>
              </w:rPr>
            </w:pPr>
            <w:r w:rsidRPr="00565D70">
              <w:rPr>
                <w:bCs/>
                <w:sz w:val="24"/>
                <w:szCs w:val="24"/>
              </w:rPr>
              <w:t>W PZM MOFW wskazano, że transformacja e</w:t>
            </w:r>
            <w:r w:rsidR="00A80C29" w:rsidRPr="00565D70">
              <w:rPr>
                <w:bCs/>
                <w:sz w:val="24"/>
                <w:szCs w:val="24"/>
              </w:rPr>
              <w:t>nergetyczna istotnie wpłynie na </w:t>
            </w:r>
            <w:r w:rsidRPr="00565D70">
              <w:rPr>
                <w:bCs/>
                <w:sz w:val="24"/>
                <w:szCs w:val="24"/>
              </w:rPr>
              <w:t xml:space="preserve">system transportowy, dlatego ujęto zapisy dotyczące wpływu </w:t>
            </w:r>
            <w:proofErr w:type="spellStart"/>
            <w:r w:rsidRPr="00565D70">
              <w:rPr>
                <w:bCs/>
                <w:sz w:val="24"/>
                <w:szCs w:val="24"/>
              </w:rPr>
              <w:t>zeroemisyjności</w:t>
            </w:r>
            <w:proofErr w:type="spellEnd"/>
            <w:r w:rsidRPr="00565D70">
              <w:rPr>
                <w:bCs/>
                <w:sz w:val="24"/>
                <w:szCs w:val="24"/>
              </w:rPr>
              <w:t xml:space="preserve"> transportu pod kątem  poprawy jakości środ</w:t>
            </w:r>
            <w:r w:rsidR="00A80C29" w:rsidRPr="00565D70">
              <w:rPr>
                <w:bCs/>
                <w:sz w:val="24"/>
                <w:szCs w:val="24"/>
              </w:rPr>
              <w:t>owiska i odporności regionu. Na </w:t>
            </w:r>
            <w:r w:rsidRPr="00565D70">
              <w:rPr>
                <w:bCs/>
                <w:sz w:val="24"/>
                <w:szCs w:val="24"/>
              </w:rPr>
              <w:t xml:space="preserve">terenie MOFW będą wspierane m.in.  inwestycje w </w:t>
            </w:r>
            <w:proofErr w:type="spellStart"/>
            <w:r w:rsidRPr="00565D70">
              <w:rPr>
                <w:bCs/>
                <w:sz w:val="24"/>
                <w:szCs w:val="24"/>
              </w:rPr>
              <w:t>zeroemisyjny</w:t>
            </w:r>
            <w:proofErr w:type="spellEnd"/>
            <w:r w:rsidRPr="00565D70">
              <w:rPr>
                <w:bCs/>
                <w:sz w:val="24"/>
                <w:szCs w:val="24"/>
              </w:rPr>
              <w:t xml:space="preserve"> tabor transportu publicznego wraz z budową infrastruktury do obsługi pojazdów o takim napędzie.</w:t>
            </w:r>
          </w:p>
        </w:tc>
      </w:tr>
    </w:tbl>
    <w:p w:rsidR="001C7957" w:rsidRPr="00A80C29" w:rsidRDefault="001C7957">
      <w:pPr>
        <w:rPr>
          <w:sz w:val="2"/>
          <w:szCs w:val="2"/>
        </w:rPr>
      </w:pP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2"/>
        <w:tblDescription w:val="Rozwój zrównoważonego systemu transportowego na terenie Wrocławskiego Obszaru Funkcjonalnego poprzez budowę węzłów przesiadkowych"/>
      </w:tblPr>
      <w:tblGrid>
        <w:gridCol w:w="1555"/>
        <w:gridCol w:w="7507"/>
      </w:tblGrid>
      <w:tr w:rsidR="00565D70" w:rsidRPr="00565D70" w:rsidTr="00525CAC">
        <w:trPr>
          <w:trHeight w:val="794"/>
          <w:tblHeader/>
        </w:trPr>
        <w:tc>
          <w:tcPr>
            <w:tcW w:w="1555" w:type="dxa"/>
            <w:shd w:val="clear" w:color="auto" w:fill="D9D9D9"/>
            <w:vAlign w:val="center"/>
          </w:tcPr>
          <w:p w:rsidR="00565D70" w:rsidRPr="00565D70" w:rsidRDefault="00565D70" w:rsidP="00525CAC">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sz w:val="24"/>
                <w:szCs w:val="24"/>
              </w:rPr>
              <w:br w:type="page"/>
            </w:r>
            <w:r w:rsidRPr="00565D70">
              <w:rPr>
                <w:rFonts w:ascii="Calibri" w:eastAsia="Calibri" w:hAnsi="Calibri" w:cs="Times New Roman"/>
                <w:b/>
                <w:sz w:val="24"/>
                <w:szCs w:val="24"/>
              </w:rPr>
              <w:t xml:space="preserve">Wiązka projektów </w:t>
            </w:r>
            <w:r>
              <w:rPr>
                <w:rFonts w:ascii="Calibri" w:eastAsia="Calibri" w:hAnsi="Calibri" w:cs="Times New Roman"/>
                <w:b/>
                <w:sz w:val="24"/>
                <w:szCs w:val="24"/>
              </w:rPr>
              <w:t>2</w:t>
            </w:r>
          </w:p>
        </w:tc>
        <w:tc>
          <w:tcPr>
            <w:tcW w:w="7507" w:type="dxa"/>
            <w:shd w:val="clear" w:color="auto" w:fill="D9D9D9"/>
            <w:vAlign w:val="center"/>
          </w:tcPr>
          <w:p w:rsidR="00565D70" w:rsidRPr="00565D70" w:rsidRDefault="00565D70" w:rsidP="00525CAC">
            <w:pPr>
              <w:spacing w:line="240" w:lineRule="auto"/>
              <w:jc w:val="left"/>
              <w:rPr>
                <w:rFonts w:ascii="Calibri" w:eastAsia="Calibri" w:hAnsi="Calibri" w:cs="Times New Roman"/>
                <w:b/>
                <w:sz w:val="24"/>
                <w:szCs w:val="24"/>
                <w:highlight w:val="yellow"/>
              </w:rPr>
            </w:pPr>
            <w:r w:rsidRPr="00565D70">
              <w:rPr>
                <w:rFonts w:ascii="Calibri" w:eastAsia="Calibri" w:hAnsi="Calibri" w:cs="Times New Roman"/>
                <w:b/>
                <w:sz w:val="24"/>
                <w:szCs w:val="24"/>
              </w:rPr>
              <w:t>Rozwój zrównoważonego systemu transportowego na terenie Wrocławskiego Obszaru Funkcjonalnego poprzez budowę węzłów przesiadkowych</w:t>
            </w:r>
          </w:p>
        </w:tc>
      </w:tr>
      <w:tr w:rsidR="00800FAF" w:rsidRPr="00565D70" w:rsidTr="00525CAC">
        <w:tc>
          <w:tcPr>
            <w:tcW w:w="1555" w:type="dxa"/>
            <w:shd w:val="clear" w:color="auto" w:fill="D9D9D9"/>
            <w:vAlign w:val="center"/>
          </w:tcPr>
          <w:p w:rsidR="00800FAF" w:rsidRPr="00565D70" w:rsidRDefault="00800FAF" w:rsidP="00525CAC">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Projekty w wiązce</w:t>
            </w:r>
          </w:p>
        </w:tc>
        <w:tc>
          <w:tcPr>
            <w:tcW w:w="7507" w:type="dxa"/>
            <w:vAlign w:val="center"/>
          </w:tcPr>
          <w:p w:rsidR="00B62D84" w:rsidRPr="00565D70" w:rsidRDefault="00B62D84" w:rsidP="00525CAC">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Projekty podstawowe:</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i rozbudowa parkingów P&amp;R na terenie Gminy Miasta Oleśnicy</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Parkingu Parkuj i Jedź w Pęgowie – etap 2</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Park&amp;Ride i Bike&amp;Ride w K</w:t>
            </w:r>
            <w:r w:rsidR="001C7957" w:rsidRPr="00565D70">
              <w:rPr>
                <w:rFonts w:cstheme="minorHAnsi"/>
                <w:sz w:val="24"/>
                <w:szCs w:val="24"/>
              </w:rPr>
              <w:t>rynicznie wraz z ciągiem pieszo</w:t>
            </w:r>
            <w:r w:rsidR="001C7957" w:rsidRPr="00565D70">
              <w:rPr>
                <w:rFonts w:cstheme="minorHAnsi"/>
                <w:sz w:val="24"/>
                <w:szCs w:val="24"/>
              </w:rPr>
              <w:br/>
              <w:t>-</w:t>
            </w:r>
            <w:r w:rsidRPr="00565D70">
              <w:rPr>
                <w:rFonts w:cstheme="minorHAnsi"/>
                <w:sz w:val="24"/>
                <w:szCs w:val="24"/>
              </w:rPr>
              <w:t>rowerowym przy drodze powiatowej nr 1368D relacji Kryniczno-Malin, gm. Wisznia Mała</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infrastruktury przesiadkowej P&amp;R oraz B&amp;R  przy Dworcu Kolejowym w Oławie</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parkingów typu Park&amp;Ride oraz Bike&amp;Ride wraz z ciągami pieszo-rowerowymi i infrastrukturą towarzyszącą na terenie Gminy Kobierzyce</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Rozbudowa systemu przesiadkowego P&amp;R na terenie Gminy Żórawina</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P&amp;R na terenie gminy Sobótka - etap II</w:t>
            </w:r>
          </w:p>
          <w:p w:rsidR="00B62D84" w:rsidRPr="00565D70" w:rsidRDefault="00B62D84" w:rsidP="00525CAC">
            <w:pPr>
              <w:pStyle w:val="Akapitzlist"/>
              <w:numPr>
                <w:ilvl w:val="0"/>
                <w:numId w:val="39"/>
              </w:numPr>
              <w:spacing w:line="240" w:lineRule="auto"/>
              <w:jc w:val="left"/>
              <w:rPr>
                <w:rFonts w:cstheme="minorHAnsi"/>
                <w:sz w:val="24"/>
                <w:szCs w:val="24"/>
              </w:rPr>
            </w:pPr>
            <w:r w:rsidRPr="00565D70">
              <w:rPr>
                <w:rFonts w:cstheme="minorHAnsi"/>
                <w:sz w:val="24"/>
                <w:szCs w:val="24"/>
              </w:rPr>
              <w:t>Budowa obiektów  Park&amp;Ride przy dworcach kolejowych na trasie Wrocław – Oleśnica w miejscowościach Długołęka i Borowa - Integracja systemu parkingów z systemami tra</w:t>
            </w:r>
            <w:r w:rsidR="007C017C" w:rsidRPr="00565D70">
              <w:rPr>
                <w:rFonts w:cstheme="minorHAnsi"/>
                <w:sz w:val="24"/>
                <w:szCs w:val="24"/>
              </w:rPr>
              <w:t>nsportu kolejowego, drogowego i </w:t>
            </w:r>
            <w:r w:rsidRPr="00565D70">
              <w:rPr>
                <w:rFonts w:cstheme="minorHAnsi"/>
                <w:sz w:val="24"/>
                <w:szCs w:val="24"/>
              </w:rPr>
              <w:t>publicznego</w:t>
            </w:r>
          </w:p>
          <w:p w:rsidR="00B62D84" w:rsidRPr="00565D70" w:rsidRDefault="00B62D84" w:rsidP="00525CAC">
            <w:pPr>
              <w:pStyle w:val="Akapitzlist"/>
              <w:numPr>
                <w:ilvl w:val="0"/>
                <w:numId w:val="39"/>
              </w:numPr>
              <w:spacing w:line="240" w:lineRule="auto"/>
              <w:jc w:val="left"/>
              <w:rPr>
                <w:rFonts w:ascii="Calibri" w:eastAsia="Calibri" w:hAnsi="Calibri" w:cs="Times New Roman"/>
                <w:b/>
                <w:sz w:val="24"/>
                <w:szCs w:val="24"/>
              </w:rPr>
            </w:pPr>
            <w:r w:rsidRPr="00565D70">
              <w:rPr>
                <w:rFonts w:cstheme="minorHAnsi"/>
                <w:sz w:val="24"/>
                <w:szCs w:val="24"/>
              </w:rPr>
              <w:t>II etap rozbudowy multimodalnych centrów przesiadkowych oraz budowy systemu parkingów P&amp;R wraz z dostosowaniem infrastruktury na terenie gminy Siechnice</w:t>
            </w:r>
          </w:p>
          <w:p w:rsidR="00B62D84" w:rsidRPr="00565D70" w:rsidRDefault="00B62D84" w:rsidP="00525CAC">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Projekty rezerwowe: </w:t>
            </w:r>
          </w:p>
          <w:p w:rsidR="00800FAF" w:rsidRPr="00565D70" w:rsidRDefault="00B62D84" w:rsidP="00525CAC">
            <w:pPr>
              <w:numPr>
                <w:ilvl w:val="0"/>
                <w:numId w:val="11"/>
              </w:numPr>
              <w:spacing w:line="240" w:lineRule="auto"/>
              <w:contextualSpacing/>
              <w:jc w:val="left"/>
              <w:rPr>
                <w:rFonts w:ascii="Calibri" w:eastAsia="Calibri" w:hAnsi="Calibri" w:cs="Times New Roman"/>
                <w:sz w:val="24"/>
                <w:szCs w:val="24"/>
              </w:rPr>
            </w:pPr>
            <w:r w:rsidRPr="00565D70">
              <w:rPr>
                <w:rFonts w:cstheme="minorHAnsi"/>
                <w:sz w:val="24"/>
                <w:szCs w:val="24"/>
              </w:rPr>
              <w:t>Budowa punktu Park&amp;Ride przy dworcu kolejowym w Dobroszycach</w:t>
            </w:r>
          </w:p>
        </w:tc>
      </w:tr>
      <w:tr w:rsidR="00800FAF" w:rsidRPr="00565D70" w:rsidTr="00525CAC">
        <w:tc>
          <w:tcPr>
            <w:tcW w:w="1555" w:type="dxa"/>
            <w:shd w:val="clear" w:color="auto" w:fill="D9D9D9"/>
            <w:vAlign w:val="center"/>
          </w:tcPr>
          <w:p w:rsidR="00800FAF" w:rsidRPr="00565D70" w:rsidRDefault="00800FAF" w:rsidP="00525CAC">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 xml:space="preserve">Cel szczegółowy </w:t>
            </w:r>
            <w:proofErr w:type="spellStart"/>
            <w:r w:rsidRPr="00565D70">
              <w:rPr>
                <w:rFonts w:ascii="Calibri" w:eastAsia="Calibri" w:hAnsi="Calibri" w:cs="Times New Roman"/>
                <w:sz w:val="24"/>
                <w:szCs w:val="24"/>
              </w:rPr>
              <w:t>FEnIKS</w:t>
            </w:r>
            <w:proofErr w:type="spellEnd"/>
            <w:r w:rsidRPr="00565D70">
              <w:rPr>
                <w:rFonts w:ascii="Calibri" w:eastAsia="Calibri" w:hAnsi="Calibri" w:cs="Times New Roman"/>
                <w:sz w:val="24"/>
                <w:szCs w:val="24"/>
              </w:rPr>
              <w:t xml:space="preserve"> 2021-2027</w:t>
            </w:r>
          </w:p>
        </w:tc>
        <w:tc>
          <w:tcPr>
            <w:tcW w:w="7507" w:type="dxa"/>
            <w:vAlign w:val="center"/>
          </w:tcPr>
          <w:p w:rsidR="00800FAF" w:rsidRPr="00565D70" w:rsidRDefault="00800FAF" w:rsidP="00525CAC">
            <w:pPr>
              <w:spacing w:line="240" w:lineRule="auto"/>
              <w:jc w:val="left"/>
              <w:rPr>
                <w:rFonts w:ascii="Calibri" w:eastAsia="Calibri" w:hAnsi="Calibri" w:cs="Times New Roman"/>
                <w:b/>
                <w:sz w:val="24"/>
                <w:szCs w:val="24"/>
              </w:rPr>
            </w:pPr>
            <w:r w:rsidRPr="00565D70">
              <w:rPr>
                <w:rFonts w:ascii="Calibri" w:eastAsia="Calibri" w:hAnsi="Calibri" w:cs="Times New Roman"/>
                <w:b/>
                <w:sz w:val="24"/>
                <w:szCs w:val="24"/>
              </w:rPr>
              <w:t xml:space="preserve">2.8 Wspieranie zrównoważonej multimodalnej mobilności miejskiej jako elementu transformacji w kierunku gospodarki </w:t>
            </w:r>
            <w:proofErr w:type="spellStart"/>
            <w:r w:rsidRPr="00565D70">
              <w:rPr>
                <w:rFonts w:ascii="Calibri" w:eastAsia="Calibri" w:hAnsi="Calibri" w:cs="Times New Roman"/>
                <w:b/>
                <w:sz w:val="24"/>
                <w:szCs w:val="24"/>
              </w:rPr>
              <w:t>zeroemisyjnej</w:t>
            </w:r>
            <w:proofErr w:type="spellEnd"/>
          </w:p>
        </w:tc>
      </w:tr>
      <w:tr w:rsidR="00800FAF" w:rsidRPr="00565D70" w:rsidTr="00525CAC">
        <w:tc>
          <w:tcPr>
            <w:tcW w:w="1555" w:type="dxa"/>
            <w:shd w:val="clear" w:color="auto" w:fill="D9D9D9"/>
            <w:vAlign w:val="center"/>
          </w:tcPr>
          <w:p w:rsidR="00800FAF" w:rsidRPr="00565D70" w:rsidRDefault="00800FAF" w:rsidP="00525CAC">
            <w:pPr>
              <w:spacing w:line="240" w:lineRule="auto"/>
              <w:jc w:val="left"/>
              <w:rPr>
                <w:rFonts w:ascii="Calibri" w:eastAsia="Calibri" w:hAnsi="Calibri" w:cs="Times New Roman"/>
                <w:sz w:val="24"/>
                <w:szCs w:val="24"/>
              </w:rPr>
            </w:pPr>
            <w:r w:rsidRPr="00565D70">
              <w:rPr>
                <w:rFonts w:ascii="Calibri" w:eastAsia="Calibri" w:hAnsi="Calibri" w:cs="Times New Roman"/>
                <w:sz w:val="24"/>
                <w:szCs w:val="24"/>
              </w:rPr>
              <w:t>Uzasadnienie realizacji wiązki projektów</w:t>
            </w:r>
          </w:p>
        </w:tc>
        <w:tc>
          <w:tcPr>
            <w:tcW w:w="7507" w:type="dxa"/>
            <w:vAlign w:val="center"/>
          </w:tcPr>
          <w:p w:rsidR="00833A04" w:rsidRPr="00565D70" w:rsidRDefault="00D61B18" w:rsidP="00525CAC">
            <w:pPr>
              <w:spacing w:line="240" w:lineRule="auto"/>
              <w:jc w:val="left"/>
              <w:rPr>
                <w:rFonts w:cs="Arial"/>
                <w:bCs/>
                <w:sz w:val="24"/>
                <w:szCs w:val="24"/>
              </w:rPr>
            </w:pPr>
            <w:r w:rsidRPr="00565D70">
              <w:rPr>
                <w:rFonts w:cs="Arial"/>
                <w:bCs/>
                <w:sz w:val="24"/>
                <w:szCs w:val="24"/>
              </w:rPr>
              <w:t xml:space="preserve">Budowa lub  rozbudowa węzłów przesiadkowych </w:t>
            </w:r>
            <w:r w:rsidR="00236834" w:rsidRPr="00565D70">
              <w:rPr>
                <w:rFonts w:cs="Arial"/>
                <w:bCs/>
                <w:sz w:val="24"/>
                <w:szCs w:val="24"/>
              </w:rPr>
              <w:t>obejmujących parkingi P&amp;R i </w:t>
            </w:r>
            <w:r w:rsidR="001C7957" w:rsidRPr="00565D70">
              <w:rPr>
                <w:rFonts w:cs="Arial"/>
                <w:bCs/>
                <w:sz w:val="24"/>
                <w:szCs w:val="24"/>
              </w:rPr>
              <w:t>towarzyszącą im infrastrukturę</w:t>
            </w:r>
            <w:r w:rsidRPr="00565D70">
              <w:rPr>
                <w:rFonts w:cs="Arial"/>
                <w:bCs/>
                <w:sz w:val="24"/>
                <w:szCs w:val="24"/>
              </w:rPr>
              <w:t xml:space="preserve"> oraz, w wybranyc</w:t>
            </w:r>
            <w:r w:rsidR="003D4284" w:rsidRPr="00565D70">
              <w:rPr>
                <w:rFonts w:cs="Arial"/>
                <w:bCs/>
                <w:sz w:val="24"/>
                <w:szCs w:val="24"/>
              </w:rPr>
              <w:t xml:space="preserve">h projektach, B&amp;R, skorelowanie z systemem </w:t>
            </w:r>
            <w:r w:rsidR="00236834" w:rsidRPr="00565D70">
              <w:rPr>
                <w:rFonts w:cs="Arial"/>
                <w:bCs/>
                <w:sz w:val="24"/>
                <w:szCs w:val="24"/>
              </w:rPr>
              <w:t>ITS</w:t>
            </w:r>
            <w:r w:rsidRPr="00565D70">
              <w:rPr>
                <w:rFonts w:cs="Arial"/>
                <w:bCs/>
                <w:sz w:val="24"/>
                <w:szCs w:val="24"/>
              </w:rPr>
              <w:t>, system wypożyczalni rowerów, budowę dróg rowerowych itp., zapewni przewagę konkurencyjną transportu publicznego nad indywidualnym transportem samoc</w:t>
            </w:r>
            <w:r w:rsidR="003D4284" w:rsidRPr="00565D70">
              <w:rPr>
                <w:rFonts w:cs="Arial"/>
                <w:bCs/>
                <w:sz w:val="24"/>
                <w:szCs w:val="24"/>
              </w:rPr>
              <w:t xml:space="preserve">hodowym. Tworzenie </w:t>
            </w:r>
            <w:r w:rsidRPr="00565D70">
              <w:rPr>
                <w:rFonts w:cs="Arial"/>
                <w:bCs/>
                <w:sz w:val="24"/>
                <w:szCs w:val="24"/>
              </w:rPr>
              <w:t xml:space="preserve"> jednolitej i powszechnie dostępnej sieci węzłów przesiadkowych  na terenie całego obszaru WrOF</w:t>
            </w:r>
            <w:r w:rsidR="001C7957" w:rsidRPr="00565D70">
              <w:rPr>
                <w:rFonts w:cs="Arial"/>
                <w:bCs/>
                <w:sz w:val="24"/>
                <w:szCs w:val="24"/>
              </w:rPr>
              <w:t xml:space="preserve"> </w:t>
            </w:r>
            <w:r w:rsidR="00236834" w:rsidRPr="00565D70">
              <w:rPr>
                <w:rFonts w:cs="Arial"/>
                <w:bCs/>
                <w:sz w:val="24"/>
                <w:szCs w:val="24"/>
              </w:rPr>
              <w:t>staje się obecnie priorytetem w </w:t>
            </w:r>
            <w:r w:rsidRPr="00565D70">
              <w:rPr>
                <w:rFonts w:cs="Arial"/>
                <w:bCs/>
                <w:sz w:val="24"/>
                <w:szCs w:val="24"/>
              </w:rPr>
              <w:t xml:space="preserve">walce z niską emisją oraz aglomeracyjnymi problemami komunikacyjnymi. </w:t>
            </w:r>
            <w:r w:rsidRPr="00565D70">
              <w:rPr>
                <w:rFonts w:cs="Arial"/>
                <w:b/>
                <w:bCs/>
                <w:sz w:val="24"/>
                <w:szCs w:val="24"/>
              </w:rPr>
              <w:t>Projekty  wchodzące w skład wiązki mają wpływ na więcej niż jedną gminę we WrOF</w:t>
            </w:r>
            <w:r w:rsidRPr="00565D70">
              <w:rPr>
                <w:rFonts w:cs="Arial"/>
                <w:bCs/>
                <w:sz w:val="24"/>
                <w:szCs w:val="24"/>
              </w:rPr>
              <w:t xml:space="preserve"> ponieważ budowa węzłów przesiadkowych, w tym przy dworcach PKP, umożliwi mieszkańcom WrOF korzystanie z multimodalnych połączeń  na  obszarze ZIT i podniesie poziom wewnętrznego skomunikowania gmin. Ponadto przyczyni się do zatrzymania potoku osób chcących przemieszczać się do innej miejscowości, poprzez umożliwienie podróżnym pozostawieni</w:t>
            </w:r>
            <w:r w:rsidR="00236834" w:rsidRPr="00565D70">
              <w:rPr>
                <w:rFonts w:cs="Arial"/>
                <w:bCs/>
                <w:sz w:val="24"/>
                <w:szCs w:val="24"/>
              </w:rPr>
              <w:t>a pojazdu: samochodu, roweru  w </w:t>
            </w:r>
            <w:r w:rsidRPr="00565D70">
              <w:rPr>
                <w:rFonts w:cs="Arial"/>
                <w:bCs/>
                <w:sz w:val="24"/>
                <w:szCs w:val="24"/>
              </w:rPr>
              <w:t>miejscowości</w:t>
            </w:r>
            <w:r w:rsidR="00A80C29" w:rsidRPr="00565D70">
              <w:rPr>
                <w:rFonts w:cs="Arial"/>
                <w:bCs/>
                <w:sz w:val="24"/>
                <w:szCs w:val="24"/>
              </w:rPr>
              <w:t xml:space="preserve"> zamieszkania na P&amp;R lub B&amp;R  i </w:t>
            </w:r>
            <w:r w:rsidRPr="00565D70">
              <w:rPr>
                <w:rFonts w:cs="Arial"/>
                <w:bCs/>
                <w:sz w:val="24"/>
                <w:szCs w:val="24"/>
              </w:rPr>
              <w:t xml:space="preserve">skorzystania z połączeń komunikacji publicznej. </w:t>
            </w:r>
          </w:p>
          <w:p w:rsidR="00833A04" w:rsidRPr="00565D70" w:rsidRDefault="00D61B18" w:rsidP="00525CAC">
            <w:pPr>
              <w:spacing w:line="240" w:lineRule="auto"/>
              <w:jc w:val="left"/>
              <w:rPr>
                <w:rFonts w:cs="Arial"/>
                <w:bCs/>
                <w:sz w:val="24"/>
                <w:szCs w:val="24"/>
              </w:rPr>
            </w:pPr>
            <w:r w:rsidRPr="00565D70">
              <w:rPr>
                <w:rFonts w:cs="Arial"/>
                <w:bCs/>
                <w:sz w:val="24"/>
                <w:szCs w:val="24"/>
              </w:rPr>
              <w:t xml:space="preserve">Zaproponowana </w:t>
            </w:r>
            <w:r w:rsidRPr="00565D70">
              <w:rPr>
                <w:rFonts w:cs="Arial"/>
                <w:b/>
                <w:bCs/>
                <w:sz w:val="24"/>
                <w:szCs w:val="24"/>
              </w:rPr>
              <w:t>wiązka projektów</w:t>
            </w:r>
            <w:r w:rsidRPr="00565D70">
              <w:rPr>
                <w:rFonts w:cs="Arial"/>
                <w:bCs/>
                <w:sz w:val="24"/>
                <w:szCs w:val="24"/>
              </w:rPr>
              <w:t xml:space="preserve"> wykazuje pełną </w:t>
            </w:r>
            <w:r w:rsidRPr="00565D70">
              <w:rPr>
                <w:rFonts w:cs="Arial"/>
                <w:b/>
                <w:bCs/>
                <w:sz w:val="24"/>
                <w:szCs w:val="24"/>
              </w:rPr>
              <w:t>wewnętrzną  komplementarność i synergię w zakresie tematycznym</w:t>
            </w:r>
            <w:r w:rsidRPr="00565D70">
              <w:rPr>
                <w:rFonts w:cs="Arial"/>
                <w:bCs/>
                <w:sz w:val="24"/>
                <w:szCs w:val="24"/>
              </w:rPr>
              <w:t xml:space="preserve">,  gdyż przedmiotem projektów jest  budowa parkingów P&amp;R wraz z m.in.  B&amp;R , odwodnieniem, oświetleniem  i inną niezbędną infrastrukturą </w:t>
            </w:r>
            <w:r w:rsidRPr="00565D70">
              <w:rPr>
                <w:rFonts w:cs="Arial"/>
                <w:b/>
                <w:bCs/>
                <w:sz w:val="24"/>
                <w:szCs w:val="24"/>
              </w:rPr>
              <w:t>oraz w zakresie obszarowym</w:t>
            </w:r>
            <w:r w:rsidRPr="00565D70">
              <w:rPr>
                <w:rFonts w:cs="Arial"/>
                <w:bCs/>
                <w:sz w:val="24"/>
                <w:szCs w:val="24"/>
              </w:rPr>
              <w:t>, ponieważ  rzeczowa realizacja projektów zaplanowana jest  na terenie gmin  ZIT WrOF</w:t>
            </w:r>
            <w:r w:rsidR="00F36E0D" w:rsidRPr="00565D70">
              <w:rPr>
                <w:rFonts w:cs="Arial"/>
                <w:bCs/>
                <w:sz w:val="24"/>
                <w:szCs w:val="24"/>
              </w:rPr>
              <w:t xml:space="preserve">, które są również objęte </w:t>
            </w:r>
            <w:r w:rsidRPr="00565D70">
              <w:rPr>
                <w:rFonts w:cs="Arial"/>
                <w:bCs/>
                <w:sz w:val="24"/>
                <w:szCs w:val="24"/>
              </w:rPr>
              <w:t xml:space="preserve"> opracowan</w:t>
            </w:r>
            <w:r w:rsidR="00F36E0D" w:rsidRPr="00565D70">
              <w:rPr>
                <w:rFonts w:cs="Arial"/>
                <w:bCs/>
                <w:sz w:val="24"/>
                <w:szCs w:val="24"/>
              </w:rPr>
              <w:t>ym</w:t>
            </w:r>
            <w:r w:rsidRPr="00565D70">
              <w:rPr>
                <w:rFonts w:cs="Arial"/>
                <w:bCs/>
                <w:sz w:val="24"/>
                <w:szCs w:val="24"/>
              </w:rPr>
              <w:t xml:space="preserve"> PZM MOFW. </w:t>
            </w:r>
          </w:p>
          <w:p w:rsidR="00833A04" w:rsidRPr="00565D70" w:rsidRDefault="00D61B18" w:rsidP="00525CAC">
            <w:pPr>
              <w:spacing w:line="240" w:lineRule="auto"/>
              <w:jc w:val="left"/>
              <w:rPr>
                <w:rFonts w:cs="Arial"/>
                <w:bCs/>
                <w:sz w:val="24"/>
                <w:szCs w:val="24"/>
              </w:rPr>
            </w:pPr>
            <w:r w:rsidRPr="00565D70">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8D566B" w:rsidRPr="00565D70" w:rsidRDefault="00D61B18" w:rsidP="00525CAC">
            <w:pPr>
              <w:pStyle w:val="Default"/>
              <w:keepNext/>
              <w:keepLines/>
              <w:rPr>
                <w:rFonts w:asciiTheme="minorHAnsi" w:hAnsiTheme="minorHAnsi" w:cs="Arial"/>
                <w:bCs/>
                <w:color w:val="auto"/>
              </w:rPr>
            </w:pPr>
            <w:r w:rsidRPr="00565D70">
              <w:rPr>
                <w:rFonts w:asciiTheme="minorHAnsi" w:hAnsiTheme="minorHAnsi" w:cs="Arial"/>
                <w:bCs/>
                <w:color w:val="auto"/>
              </w:rPr>
              <w:t xml:space="preserve">Realizacja projektów stanowiących wiązkę wynika z części kierunkowej Strategii ZIT WrOF,  tj.: </w:t>
            </w:r>
          </w:p>
          <w:p w:rsidR="00833A04" w:rsidRPr="00565D70" w:rsidRDefault="001C7957" w:rsidP="00525CAC">
            <w:pPr>
              <w:pStyle w:val="Default"/>
              <w:rPr>
                <w:rFonts w:asciiTheme="minorHAnsi" w:hAnsiTheme="minorHAnsi" w:cs="Arial"/>
                <w:b/>
                <w:bCs/>
                <w:color w:val="auto"/>
              </w:rPr>
            </w:pPr>
            <w:r w:rsidRPr="00565D70">
              <w:rPr>
                <w:rFonts w:asciiTheme="minorHAnsi" w:hAnsiTheme="minorHAnsi" w:cs="Arial"/>
                <w:b/>
                <w:bCs/>
                <w:color w:val="auto"/>
              </w:rPr>
              <w:t xml:space="preserve">Cel strategiczny 3. </w:t>
            </w:r>
            <w:r w:rsidR="00D61B18" w:rsidRPr="00565D70">
              <w:rPr>
                <w:rFonts w:asciiTheme="minorHAnsi" w:hAnsiTheme="minorHAnsi" w:cs="Arial"/>
                <w:b/>
                <w:bCs/>
                <w:color w:val="auto"/>
              </w:rPr>
              <w:t>Ochrona środowiska naturalnego i adaptacja WrOF do zmian</w:t>
            </w:r>
            <w:r w:rsidR="00460958" w:rsidRPr="00565D70">
              <w:rPr>
                <w:rFonts w:asciiTheme="minorHAnsi" w:hAnsiTheme="minorHAnsi" w:cs="Arial"/>
                <w:b/>
                <w:bCs/>
                <w:color w:val="auto"/>
              </w:rPr>
              <w:t xml:space="preserve"> klimatu </w:t>
            </w:r>
          </w:p>
          <w:p w:rsidR="00833A04" w:rsidRPr="00565D70" w:rsidRDefault="00D61B18" w:rsidP="00525CAC">
            <w:pPr>
              <w:pStyle w:val="Default"/>
              <w:rPr>
                <w:rFonts w:asciiTheme="minorHAnsi" w:hAnsiTheme="minorHAnsi" w:cs="Arial"/>
                <w:b/>
                <w:color w:val="auto"/>
              </w:rPr>
            </w:pPr>
            <w:r w:rsidRPr="00565D70">
              <w:rPr>
                <w:rFonts w:asciiTheme="minorHAnsi" w:hAnsiTheme="minorHAnsi" w:cs="Arial"/>
                <w:b/>
                <w:color w:val="auto"/>
              </w:rPr>
              <w:t xml:space="preserve">Priorytet 13. Zrównoważona mobilność </w:t>
            </w:r>
          </w:p>
          <w:p w:rsidR="00833A04" w:rsidRPr="00565D70" w:rsidRDefault="00D61B18" w:rsidP="00525CAC">
            <w:pPr>
              <w:pStyle w:val="Default"/>
              <w:rPr>
                <w:rFonts w:asciiTheme="minorHAnsi" w:hAnsiTheme="minorHAnsi" w:cs="Arial"/>
                <w:b/>
                <w:bCs/>
                <w:color w:val="auto"/>
              </w:rPr>
            </w:pPr>
            <w:r w:rsidRPr="00565D70">
              <w:rPr>
                <w:rFonts w:asciiTheme="minorHAnsi" w:hAnsiTheme="minorHAnsi" w:cs="Arial"/>
                <w:b/>
                <w:bCs/>
                <w:color w:val="auto"/>
              </w:rPr>
              <w:t>Kierunek działania 13.2  Rozwój infrastruktury i działań wspierających osiąg</w:t>
            </w:r>
            <w:r w:rsidR="001C7957" w:rsidRPr="00565D70">
              <w:rPr>
                <w:rFonts w:asciiTheme="minorHAnsi" w:hAnsiTheme="minorHAnsi" w:cs="Arial"/>
                <w:b/>
                <w:bCs/>
                <w:color w:val="auto"/>
              </w:rPr>
              <w:t>nięcie zrównoważonej mobilności</w:t>
            </w:r>
          </w:p>
          <w:p w:rsidR="00D61B18" w:rsidRPr="00565D70" w:rsidRDefault="00D61B18" w:rsidP="00525CAC">
            <w:pPr>
              <w:pStyle w:val="Default"/>
              <w:rPr>
                <w:rFonts w:asciiTheme="minorHAnsi" w:hAnsiTheme="minorHAnsi" w:cs="Arial"/>
                <w:color w:val="auto"/>
              </w:rPr>
            </w:pPr>
          </w:p>
          <w:p w:rsidR="00A1431D" w:rsidRDefault="00D61B18" w:rsidP="00525CAC">
            <w:pPr>
              <w:spacing w:line="240" w:lineRule="auto"/>
              <w:jc w:val="left"/>
              <w:rPr>
                <w:rFonts w:cs="Arial"/>
                <w:sz w:val="24"/>
                <w:szCs w:val="24"/>
              </w:rPr>
            </w:pPr>
            <w:r w:rsidRPr="00565D70">
              <w:rPr>
                <w:rFonts w:cs="Arial"/>
                <w:bCs/>
                <w:sz w:val="24"/>
                <w:szCs w:val="24"/>
              </w:rPr>
              <w:t>Natomiast w</w:t>
            </w:r>
            <w:r w:rsidR="002E2C88" w:rsidRPr="00565D70">
              <w:rPr>
                <w:rFonts w:cs="Arial"/>
                <w:bCs/>
                <w:sz w:val="24"/>
                <w:szCs w:val="24"/>
              </w:rPr>
              <w:t xml:space="preserve"> </w:t>
            </w:r>
            <w:r w:rsidR="00460958" w:rsidRPr="00565D70">
              <w:rPr>
                <w:rFonts w:cs="Arial"/>
                <w:b/>
                <w:bCs/>
                <w:sz w:val="24"/>
                <w:szCs w:val="24"/>
              </w:rPr>
              <w:t xml:space="preserve">części  II. </w:t>
            </w:r>
            <w:r w:rsidRPr="00565D70">
              <w:rPr>
                <w:rFonts w:cs="Arial"/>
                <w:b/>
                <w:sz w:val="24"/>
                <w:szCs w:val="24"/>
              </w:rPr>
              <w:t>Synteza diagnozy strategicznej obszaru WrOF</w:t>
            </w:r>
            <w:r w:rsidRPr="00565D70">
              <w:rPr>
                <w:rFonts w:cs="Arial"/>
                <w:bCs/>
                <w:sz w:val="24"/>
                <w:szCs w:val="24"/>
              </w:rPr>
              <w:t xml:space="preserve">, w opisie analizy </w:t>
            </w:r>
            <w:r w:rsidRPr="00565D70">
              <w:rPr>
                <w:rFonts w:cs="Arial"/>
                <w:b/>
                <w:bCs/>
                <w:sz w:val="24"/>
                <w:szCs w:val="24"/>
              </w:rPr>
              <w:t>mobilności</w:t>
            </w:r>
            <w:r w:rsidR="002E2C88" w:rsidRPr="00565D70">
              <w:rPr>
                <w:rFonts w:cs="Arial"/>
                <w:b/>
                <w:bCs/>
                <w:sz w:val="24"/>
                <w:szCs w:val="24"/>
              </w:rPr>
              <w:t xml:space="preserve"> </w:t>
            </w:r>
            <w:r w:rsidRPr="00565D70">
              <w:rPr>
                <w:rFonts w:cs="Arial"/>
                <w:bCs/>
                <w:sz w:val="24"/>
                <w:szCs w:val="24"/>
              </w:rPr>
              <w:t>wskazano, iż mimo</w:t>
            </w:r>
            <w:r w:rsidRPr="00565D70">
              <w:rPr>
                <w:rFonts w:cs="Arial"/>
                <w:sz w:val="24"/>
                <w:szCs w:val="24"/>
              </w:rPr>
              <w:t xml:space="preserve"> dostępności komunikacyjnej obszaru  </w:t>
            </w:r>
            <w:r w:rsidR="00236834" w:rsidRPr="00565D70">
              <w:rPr>
                <w:rFonts w:cs="Arial"/>
                <w:sz w:val="24"/>
                <w:szCs w:val="24"/>
              </w:rPr>
              <w:br/>
            </w:r>
            <w:r w:rsidR="00E2136A" w:rsidRPr="00565D70">
              <w:rPr>
                <w:rFonts w:cs="Arial"/>
                <w:sz w:val="24"/>
                <w:szCs w:val="24"/>
              </w:rPr>
              <w:t xml:space="preserve">(z uwagi na obecność wielu systemów transportu: drogowego, kolejowego, tramwajowego,  lotniczego i rowerowego) </w:t>
            </w:r>
            <w:r w:rsidRPr="00565D70">
              <w:rPr>
                <w:rFonts w:cs="Arial"/>
                <w:sz w:val="24"/>
                <w:szCs w:val="24"/>
              </w:rPr>
              <w:t>nadal występuje problem niedostatecznego poziomu skomunikowania wewnątrz gmin WrOF .</w:t>
            </w:r>
          </w:p>
          <w:p w:rsidR="00833A04" w:rsidRPr="00565D70" w:rsidRDefault="00A1431D" w:rsidP="00525CAC">
            <w:pPr>
              <w:spacing w:line="240" w:lineRule="auto"/>
              <w:jc w:val="left"/>
              <w:rPr>
                <w:rFonts w:cs="Arial"/>
                <w:b/>
                <w:sz w:val="24"/>
                <w:szCs w:val="24"/>
              </w:rPr>
            </w:pPr>
            <w:r w:rsidRPr="00565D70">
              <w:rPr>
                <w:rFonts w:cs="Arial"/>
                <w:b/>
                <w:sz w:val="24"/>
                <w:szCs w:val="24"/>
              </w:rPr>
              <w:t xml:space="preserve"> </w:t>
            </w:r>
            <w:r w:rsidR="001C7957" w:rsidRPr="00565D70">
              <w:rPr>
                <w:rFonts w:cs="Arial"/>
                <w:b/>
                <w:sz w:val="24"/>
                <w:szCs w:val="24"/>
              </w:rPr>
              <w:t>W części K</w:t>
            </w:r>
            <w:r w:rsidR="00D61B18" w:rsidRPr="00565D70">
              <w:rPr>
                <w:rFonts w:cs="Arial"/>
                <w:b/>
                <w:sz w:val="24"/>
                <w:szCs w:val="24"/>
              </w:rPr>
              <w:t>luczowe wyzwania strategiczne</w:t>
            </w:r>
            <w:r w:rsidR="001C7957" w:rsidRPr="00565D70">
              <w:rPr>
                <w:rFonts w:cs="Arial"/>
                <w:b/>
                <w:sz w:val="24"/>
                <w:szCs w:val="24"/>
              </w:rPr>
              <w:t xml:space="preserve"> wskazano:</w:t>
            </w:r>
          </w:p>
          <w:p w:rsidR="00833A04" w:rsidRPr="00565D70" w:rsidRDefault="00D61B18" w:rsidP="00525CAC">
            <w:pPr>
              <w:spacing w:line="240" w:lineRule="auto"/>
              <w:jc w:val="left"/>
              <w:rPr>
                <w:b/>
                <w:sz w:val="24"/>
                <w:szCs w:val="24"/>
              </w:rPr>
            </w:pPr>
            <w:r w:rsidRPr="00565D70">
              <w:rPr>
                <w:rFonts w:cs="Calibri"/>
                <w:b/>
                <w:sz w:val="24"/>
                <w:szCs w:val="24"/>
              </w:rPr>
              <w:t>Rozwój infrastruktury przesiadkowej, parkingów Park&amp;Ride oraz Bike&amp;Ride uwzględniający łączenie podróży realizowanych środkami transportu indywidualnego (samochód, rower) z komunikacją zbiorową.</w:t>
            </w:r>
          </w:p>
          <w:p w:rsidR="00833A04" w:rsidRPr="00565D70" w:rsidRDefault="00D61B18" w:rsidP="00525CAC">
            <w:pPr>
              <w:spacing w:line="240" w:lineRule="auto"/>
              <w:jc w:val="left"/>
              <w:rPr>
                <w:b/>
                <w:sz w:val="24"/>
                <w:szCs w:val="24"/>
              </w:rPr>
            </w:pPr>
            <w:r w:rsidRPr="00565D70">
              <w:rPr>
                <w:rFonts w:cstheme="minorHAnsi"/>
                <w:sz w:val="24"/>
                <w:szCs w:val="24"/>
              </w:rPr>
              <w:t xml:space="preserve">Realizacja projektu pozwoli przeciwdziałać zdiagnozowanym problemom obszaru WrOF w kwestii mobilności i negatywnemu wpływowi transportu prywatnego na klimat i jakość powietrza. Projekt wpisuje się w założenia priorytetu 13 „Zrównoważona mobilność”, pozwalając na wdrożenie zakładanego celu strategicznego jakim jest aktywna ochrona środowiska naturalnego i adaptacja obszaru do skutków kryzysu klimatycznego.  Projekt jest elementem   wiązki projektów   </w:t>
            </w:r>
            <w:r w:rsidRPr="00565D70">
              <w:rPr>
                <w:sz w:val="24"/>
                <w:szCs w:val="24"/>
              </w:rPr>
              <w:t xml:space="preserve">Budowa lub rozbudowa centrów, węzłów przesiadkowych, P&amp;R oraz B&amp;R na terenie Wrocławskiego Obszaru Funkcjonalnego  odpowiadającej na zdiagnozowane  problemy w obszarze mobilności . </w:t>
            </w:r>
          </w:p>
          <w:p w:rsidR="00833A04" w:rsidRPr="00565D70" w:rsidRDefault="00D61B18" w:rsidP="00525CAC">
            <w:pPr>
              <w:spacing w:line="240" w:lineRule="auto"/>
              <w:jc w:val="left"/>
              <w:rPr>
                <w:rFonts w:cstheme="minorHAnsi"/>
                <w:sz w:val="24"/>
                <w:szCs w:val="24"/>
              </w:rPr>
            </w:pPr>
            <w:r w:rsidRPr="00565D70">
              <w:rPr>
                <w:rFonts w:cstheme="minorHAnsi"/>
                <w:sz w:val="24"/>
                <w:szCs w:val="24"/>
              </w:rPr>
              <w:t>System parkingów P&amp;R, B&amp;R, węzłów i centrów  przesiadkowych ma zachęcać do korzystania z transportu zbiorowego, co przełoży się  na ograniczenie ruchu samochodowego oraz zmniejszenie nadmiernej emisji zanieczyszczeń do atmosfery.  Jednym ze zidentyfikowanych   wyzwań komunikacyjnych obszaru ZIT jest zmniejszenie codziennej, samochodowej migracji mieszkańców gmin ościennych   do Wrocławia w godzinach poranny</w:t>
            </w:r>
            <w:r w:rsidR="00236834" w:rsidRPr="00565D70">
              <w:rPr>
                <w:rFonts w:cstheme="minorHAnsi"/>
                <w:sz w:val="24"/>
                <w:szCs w:val="24"/>
              </w:rPr>
              <w:t>ch i popołudniowych  związana z </w:t>
            </w:r>
            <w:r w:rsidRPr="00565D70">
              <w:rPr>
                <w:rFonts w:cstheme="minorHAnsi"/>
                <w:sz w:val="24"/>
                <w:szCs w:val="24"/>
              </w:rPr>
              <w:t xml:space="preserve">dojazdem do i z pracy i placówek edukacyjnych.  Ponadto, wzrost znaczenia podróży wykonywanych pieszo, rowerem, czy też urządzeniami transportu osobistego (UTO), </w:t>
            </w:r>
            <w:r w:rsidR="00825BF1" w:rsidRPr="00565D70">
              <w:rPr>
                <w:rFonts w:cstheme="minorHAnsi"/>
                <w:sz w:val="24"/>
                <w:szCs w:val="24"/>
              </w:rPr>
              <w:t>przekłada się  na ciągły rozwój i doskonalenie infrastruktury</w:t>
            </w:r>
            <w:r w:rsidR="001C7957" w:rsidRPr="00565D70">
              <w:rPr>
                <w:rFonts w:cstheme="minorHAnsi"/>
                <w:sz w:val="24"/>
                <w:szCs w:val="24"/>
              </w:rPr>
              <w:t xml:space="preserve"> </w:t>
            </w:r>
            <w:r w:rsidR="00236834" w:rsidRPr="00565D70">
              <w:rPr>
                <w:rFonts w:cstheme="minorHAnsi"/>
                <w:sz w:val="24"/>
                <w:szCs w:val="24"/>
              </w:rPr>
              <w:t>związanej z </w:t>
            </w:r>
            <w:r w:rsidRPr="00565D70">
              <w:rPr>
                <w:rFonts w:cstheme="minorHAnsi"/>
                <w:sz w:val="24"/>
                <w:szCs w:val="24"/>
              </w:rPr>
              <w:t>tymi środkami transportu.  Mając na</w:t>
            </w:r>
            <w:r w:rsidR="002E2C88" w:rsidRPr="00565D70">
              <w:rPr>
                <w:rFonts w:cstheme="minorHAnsi"/>
                <w:sz w:val="24"/>
                <w:szCs w:val="24"/>
              </w:rPr>
              <w:t xml:space="preserve"> uwadze powyższe kluczowe dla WrO</w:t>
            </w:r>
            <w:r w:rsidRPr="00565D70">
              <w:rPr>
                <w:rFonts w:cstheme="minorHAnsi"/>
                <w:sz w:val="24"/>
                <w:szCs w:val="24"/>
              </w:rPr>
              <w:t>F  jest   zwiększenie liczby miejsc B&amp;R oraz P&amp;R oraz budowa i rozbudowa centrów/węzłów  przesiadkowych. Kierunek ten jest  zgodny z  </w:t>
            </w:r>
            <w:r w:rsidRPr="00565D70">
              <w:rPr>
                <w:rFonts w:cstheme="minorHAnsi"/>
                <w:i/>
                <w:sz w:val="24"/>
                <w:szCs w:val="24"/>
              </w:rPr>
              <w:t>Rekomendacjami zawartymi w Planem Zrównoważonej Mobilności dla MOFW (SUMP)</w:t>
            </w:r>
            <w:r w:rsidRPr="00565D70">
              <w:rPr>
                <w:rFonts w:cstheme="minorHAnsi"/>
                <w:sz w:val="24"/>
                <w:szCs w:val="24"/>
              </w:rPr>
              <w:t xml:space="preserve">.  </w:t>
            </w:r>
          </w:p>
          <w:p w:rsidR="00833A04" w:rsidRPr="00565D70" w:rsidRDefault="00D61B18" w:rsidP="00525CAC">
            <w:pPr>
              <w:spacing w:line="240" w:lineRule="auto"/>
              <w:jc w:val="left"/>
              <w:rPr>
                <w:sz w:val="24"/>
                <w:szCs w:val="24"/>
              </w:rPr>
            </w:pPr>
            <w:r w:rsidRPr="00565D70">
              <w:rPr>
                <w:rFonts w:cs="Arial"/>
                <w:bCs/>
                <w:sz w:val="24"/>
                <w:szCs w:val="24"/>
              </w:rPr>
              <w:t xml:space="preserve">Ponadto wiązka </w:t>
            </w:r>
            <w:r w:rsidRPr="00565D70">
              <w:rPr>
                <w:rFonts w:cs="Arial"/>
                <w:b/>
                <w:bCs/>
                <w:sz w:val="24"/>
                <w:szCs w:val="24"/>
              </w:rPr>
              <w:t xml:space="preserve">realizuje zapisy PZM MOFW.  </w:t>
            </w:r>
          </w:p>
          <w:p w:rsidR="00833A04" w:rsidRPr="00565D70" w:rsidRDefault="00D61B18" w:rsidP="00525CAC">
            <w:pPr>
              <w:spacing w:line="240" w:lineRule="auto"/>
              <w:jc w:val="left"/>
              <w:rPr>
                <w:rFonts w:cs="Arial"/>
                <w:sz w:val="24"/>
                <w:szCs w:val="24"/>
              </w:rPr>
            </w:pPr>
            <w:r w:rsidRPr="00565D70">
              <w:rPr>
                <w:rFonts w:cs="Arial"/>
                <w:bCs/>
                <w:sz w:val="24"/>
                <w:szCs w:val="24"/>
              </w:rPr>
              <w:t>Zaproponowane w powyższej wiązce projekty w</w:t>
            </w:r>
            <w:r w:rsidR="00236834" w:rsidRPr="00565D70">
              <w:rPr>
                <w:rFonts w:cs="Arial"/>
                <w:bCs/>
                <w:sz w:val="24"/>
                <w:szCs w:val="24"/>
              </w:rPr>
              <w:t>prost odpowiadają na wyzwania i </w:t>
            </w:r>
            <w:r w:rsidRPr="00565D70">
              <w:rPr>
                <w:rFonts w:cs="Arial"/>
                <w:bCs/>
                <w:sz w:val="24"/>
                <w:szCs w:val="24"/>
              </w:rPr>
              <w:t xml:space="preserve">cele zwarte w </w:t>
            </w:r>
            <w:r w:rsidRPr="00565D70">
              <w:rPr>
                <w:rFonts w:cs="Arial"/>
                <w:bCs/>
                <w:sz w:val="24"/>
                <w:szCs w:val="24"/>
                <w:u w:val="single"/>
              </w:rPr>
              <w:t>PZM MOFW, który integruje wszystkie działania dotyczące mobilności na terenie  MOFW.</w:t>
            </w:r>
          </w:p>
          <w:p w:rsidR="00833A04" w:rsidRPr="00565D70" w:rsidRDefault="00D61B18" w:rsidP="00525CAC">
            <w:pPr>
              <w:spacing w:line="240" w:lineRule="auto"/>
              <w:jc w:val="left"/>
              <w:rPr>
                <w:rFonts w:cs="Arial"/>
                <w:bCs/>
                <w:sz w:val="24"/>
                <w:szCs w:val="24"/>
              </w:rPr>
            </w:pPr>
            <w:r w:rsidRPr="00565D70">
              <w:rPr>
                <w:rFonts w:cs="Arial"/>
                <w:bCs/>
                <w:sz w:val="24"/>
                <w:szCs w:val="24"/>
              </w:rPr>
              <w:t xml:space="preserve">Budowa parkingów P&amp;R wpisuje się w Cel nadrzędny PZM MOFW tj. </w:t>
            </w:r>
            <w:r w:rsidRPr="00565D70">
              <w:rPr>
                <w:rFonts w:cs="Arial"/>
                <w:b/>
                <w:sz w:val="24"/>
                <w:szCs w:val="24"/>
              </w:rPr>
              <w:t xml:space="preserve">Poprawa dostępności transportowej. </w:t>
            </w:r>
            <w:r w:rsidRPr="00565D70">
              <w:rPr>
                <w:rFonts w:cs="Arial"/>
                <w:sz w:val="24"/>
                <w:szCs w:val="24"/>
              </w:rPr>
              <w:t xml:space="preserve">Ponadto </w:t>
            </w:r>
            <w:r w:rsidRPr="00565D70">
              <w:rPr>
                <w:rFonts w:cs="Arial"/>
                <w:bCs/>
                <w:sz w:val="24"/>
                <w:szCs w:val="24"/>
              </w:rPr>
              <w:t>jest</w:t>
            </w:r>
            <w:r w:rsidR="001C7957" w:rsidRPr="00565D70">
              <w:rPr>
                <w:rFonts w:cs="Arial"/>
                <w:bCs/>
                <w:sz w:val="24"/>
                <w:szCs w:val="24"/>
              </w:rPr>
              <w:t xml:space="preserve"> </w:t>
            </w:r>
            <w:r w:rsidRPr="00565D70">
              <w:rPr>
                <w:rFonts w:cs="Arial"/>
                <w:bCs/>
                <w:sz w:val="24"/>
                <w:szCs w:val="24"/>
              </w:rPr>
              <w:t xml:space="preserve">ona wprost ujęta w Celu szczegółowym 2: </w:t>
            </w:r>
            <w:r w:rsidRPr="00565D70">
              <w:rPr>
                <w:rFonts w:cs="Arial"/>
                <w:b/>
                <w:bCs/>
                <w:sz w:val="24"/>
                <w:szCs w:val="24"/>
              </w:rPr>
              <w:t xml:space="preserve">Zwiększenie konkurencyjności transportu </w:t>
            </w:r>
            <w:proofErr w:type="spellStart"/>
            <w:r w:rsidRPr="00565D70">
              <w:rPr>
                <w:rFonts w:cs="Arial"/>
                <w:b/>
                <w:bCs/>
                <w:sz w:val="24"/>
                <w:szCs w:val="24"/>
              </w:rPr>
              <w:t>niesamochodowego</w:t>
            </w:r>
            <w:proofErr w:type="spellEnd"/>
            <w:r w:rsidRPr="00565D70">
              <w:rPr>
                <w:rFonts w:cs="Arial"/>
                <w:b/>
                <w:bCs/>
                <w:sz w:val="24"/>
                <w:szCs w:val="24"/>
              </w:rPr>
              <w:t xml:space="preserve"> w codziennych przemieszczeniach w obszarze MOFW</w:t>
            </w:r>
            <w:r w:rsidRPr="00565D70">
              <w:rPr>
                <w:rFonts w:cs="Arial"/>
                <w:bCs/>
                <w:sz w:val="24"/>
                <w:szCs w:val="24"/>
              </w:rPr>
              <w:t xml:space="preserve">, gdzie jednym z </w:t>
            </w:r>
            <w:r w:rsidRPr="00565D70">
              <w:rPr>
                <w:rFonts w:cs="Arial"/>
                <w:b/>
                <w:bCs/>
                <w:sz w:val="24"/>
                <w:szCs w:val="24"/>
              </w:rPr>
              <w:t>pakietów działań</w:t>
            </w:r>
            <w:r w:rsidR="00236834" w:rsidRPr="00565D70">
              <w:rPr>
                <w:rFonts w:cs="Arial"/>
                <w:bCs/>
                <w:sz w:val="24"/>
                <w:szCs w:val="24"/>
              </w:rPr>
              <w:t xml:space="preserve"> o </w:t>
            </w:r>
            <w:r w:rsidRPr="00565D70">
              <w:rPr>
                <w:rFonts w:cs="Arial"/>
                <w:bCs/>
                <w:sz w:val="24"/>
                <w:szCs w:val="24"/>
              </w:rPr>
              <w:t xml:space="preserve">wysokim priorytecie realizacji  jest „Sieć parkingów Park&amp;Ride”. </w:t>
            </w:r>
          </w:p>
          <w:p w:rsidR="00833A04" w:rsidRPr="00565D70" w:rsidRDefault="00D61B18" w:rsidP="00525CAC">
            <w:pPr>
              <w:pStyle w:val="Default"/>
              <w:rPr>
                <w:rFonts w:asciiTheme="minorHAnsi" w:hAnsiTheme="minorHAnsi" w:cstheme="minorBidi"/>
                <w:color w:val="auto"/>
              </w:rPr>
            </w:pPr>
            <w:r w:rsidRPr="00565D70">
              <w:rPr>
                <w:rFonts w:asciiTheme="minorHAnsi" w:hAnsiTheme="minorHAnsi" w:cs="Arial"/>
                <w:bCs/>
              </w:rPr>
              <w:t xml:space="preserve">W </w:t>
            </w:r>
            <w:r w:rsidRPr="00565D70">
              <w:rPr>
                <w:rFonts w:asciiTheme="minorHAnsi" w:hAnsiTheme="minorHAnsi" w:cs="Arial"/>
                <w:b/>
                <w:bCs/>
              </w:rPr>
              <w:t>Rekomendacjach</w:t>
            </w:r>
            <w:r w:rsidRPr="00565D70">
              <w:rPr>
                <w:rFonts w:asciiTheme="minorHAnsi" w:hAnsiTheme="minorHAnsi" w:cs="Arial"/>
                <w:bCs/>
              </w:rPr>
              <w:t xml:space="preserve"> wykazana jest konieczność  budowy węzłów przesiadkowych w powiązaniu z główną  stacją kolejową w miastach satelickich oraz, w pozostałych gminach, </w:t>
            </w:r>
            <w:r w:rsidRPr="00565D70">
              <w:rPr>
                <w:rFonts w:asciiTheme="minorHAnsi" w:hAnsiTheme="minorHAnsi"/>
              </w:rPr>
              <w:t xml:space="preserve">budowa parkingów w systemie P&amp;R przy węźle głównym oraz w formie parkingów przesiadkowych towarzyszących przy węzłach pomocniczych, zależnie od potrzeb. </w:t>
            </w:r>
          </w:p>
          <w:p w:rsidR="004D1FFC" w:rsidRPr="00565D70" w:rsidRDefault="004D1FFC" w:rsidP="00525CAC">
            <w:pPr>
              <w:pStyle w:val="Default"/>
              <w:keepNext/>
              <w:keepLines/>
              <w:spacing w:before="40"/>
              <w:outlineLvl w:val="2"/>
              <w:rPr>
                <w:rFonts w:asciiTheme="minorHAnsi" w:eastAsiaTheme="majorEastAsia" w:hAnsiTheme="minorHAnsi" w:cstheme="minorBidi"/>
                <w:color w:val="auto"/>
              </w:rPr>
            </w:pPr>
          </w:p>
          <w:p w:rsidR="00800FAF" w:rsidRPr="00565D70" w:rsidRDefault="00D61B18" w:rsidP="00525CAC">
            <w:pPr>
              <w:spacing w:line="240" w:lineRule="auto"/>
              <w:jc w:val="left"/>
              <w:rPr>
                <w:rFonts w:cs="Arial"/>
                <w:bCs/>
                <w:sz w:val="24"/>
                <w:szCs w:val="24"/>
              </w:rPr>
            </w:pPr>
            <w:r w:rsidRPr="00565D70">
              <w:rPr>
                <w:rFonts w:cs="Arial"/>
                <w:bCs/>
                <w:sz w:val="24"/>
                <w:szCs w:val="24"/>
              </w:rPr>
              <w:t>W PZM MOFW wskazano, że Parkingi Park&amp;Ride zapewnią przewagę</w:t>
            </w:r>
            <w:r w:rsidR="002E2C88" w:rsidRPr="00565D70">
              <w:rPr>
                <w:rFonts w:cs="Arial"/>
                <w:bCs/>
                <w:sz w:val="24"/>
                <w:szCs w:val="24"/>
              </w:rPr>
              <w:t xml:space="preserve"> konkurencyjną nad samochodem. D</w:t>
            </w:r>
            <w:r w:rsidRPr="00565D70">
              <w:rPr>
                <w:rFonts w:cs="Arial"/>
                <w:bCs/>
                <w:sz w:val="24"/>
                <w:szCs w:val="24"/>
              </w:rPr>
              <w:t>latego tworzenie jednolitej i powszechnie dostępnej sieci parkingów P&amp;R na terenie całego obszaru MOFW powinno być wprowadzane w pełnej integracji taryfowej z systemem transportu publicznego na terenie MOFW.</w:t>
            </w:r>
            <w:r w:rsidR="002E2C88" w:rsidRPr="00565D70">
              <w:rPr>
                <w:rFonts w:cs="Arial"/>
                <w:bCs/>
                <w:sz w:val="24"/>
                <w:szCs w:val="24"/>
              </w:rPr>
              <w:t xml:space="preserve"> </w:t>
            </w:r>
            <w:r w:rsidRPr="00565D70">
              <w:rPr>
                <w:rFonts w:cs="Arial"/>
                <w:bCs/>
                <w:sz w:val="24"/>
                <w:szCs w:val="24"/>
              </w:rPr>
              <w:t>Przedmiotowe parkingi</w:t>
            </w:r>
            <w:r w:rsidR="00A80C29" w:rsidRPr="00565D70">
              <w:rPr>
                <w:rFonts w:cs="Arial"/>
                <w:bCs/>
                <w:sz w:val="24"/>
                <w:szCs w:val="24"/>
              </w:rPr>
              <w:t xml:space="preserve"> powinny być także wyposażone w </w:t>
            </w:r>
            <w:r w:rsidRPr="00565D70">
              <w:rPr>
                <w:rFonts w:cs="Arial"/>
                <w:bCs/>
                <w:sz w:val="24"/>
                <w:szCs w:val="24"/>
              </w:rPr>
              <w:t>zadaszone miejsca postojowe dla rowerów (Bik</w:t>
            </w:r>
            <w:r w:rsidR="00236834" w:rsidRPr="00565D70">
              <w:rPr>
                <w:rFonts w:cs="Arial"/>
                <w:bCs/>
                <w:sz w:val="24"/>
                <w:szCs w:val="24"/>
              </w:rPr>
              <w:t>e&amp;Ride). Takie parkingi powinny </w:t>
            </w:r>
            <w:r w:rsidRPr="00565D70">
              <w:rPr>
                <w:rFonts w:cs="Arial"/>
                <w:bCs/>
                <w:sz w:val="24"/>
                <w:szCs w:val="24"/>
              </w:rPr>
              <w:t>być integralną częścią węzłów przesiadkowych nadrzędnych oraz głównych jako element integrujący transport indywidualny i zbiorowy oraz  stanowić ważne punkty styczne dla innych systemów, w szczególności rowerowego.  Dojazd rowerowy do miejsc węzłowych należałoby umożliwić, łącząc węzeł przesiadkowy z przebiegającą w pobliżu główną trasą rowerową.</w:t>
            </w:r>
          </w:p>
        </w:tc>
      </w:tr>
    </w:tbl>
    <w:p w:rsidR="00D72C00" w:rsidRDefault="00D72C00"/>
    <w:tbl>
      <w:tblPr>
        <w:tblStyle w:val="Tabela-Siatka"/>
        <w:tblW w:w="0" w:type="auto"/>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Wiązka projektów 3 "/>
        <w:tblDescription w:val="Rozwój zrównoważonego systemu transportowego na terenie Wrocławskiego Obszaru Funkcjonalnego poprzez budowę, rozbudowę i przebudowę infrastruktury transportowej oraz rozwój zintegrowanego systemu zarządzania ruchem ITS"/>
      </w:tblPr>
      <w:tblGrid>
        <w:gridCol w:w="1532"/>
        <w:gridCol w:w="7507"/>
      </w:tblGrid>
      <w:tr w:rsidR="00525CAC" w:rsidRPr="00525CAC" w:rsidTr="00525CAC">
        <w:trPr>
          <w:trHeight w:val="794"/>
          <w:tblHeader/>
        </w:trPr>
        <w:tc>
          <w:tcPr>
            <w:tcW w:w="1532" w:type="dxa"/>
            <w:shd w:val="clear" w:color="auto" w:fill="D9D9D9"/>
            <w:vAlign w:val="center"/>
          </w:tcPr>
          <w:p w:rsidR="00525CAC" w:rsidRPr="00525CAC" w:rsidRDefault="00525CAC" w:rsidP="00525CAC">
            <w:pPr>
              <w:spacing w:line="240" w:lineRule="auto"/>
              <w:jc w:val="left"/>
              <w:rPr>
                <w:rFonts w:ascii="Calibri" w:eastAsia="Calibri" w:hAnsi="Calibri" w:cs="Times New Roman"/>
                <w:b/>
                <w:sz w:val="24"/>
                <w:szCs w:val="24"/>
                <w:highlight w:val="yellow"/>
              </w:rPr>
            </w:pPr>
            <w:r w:rsidRPr="00525CAC">
              <w:rPr>
                <w:rFonts w:ascii="Calibri" w:eastAsia="Calibri" w:hAnsi="Calibri" w:cs="Times New Roman"/>
                <w:sz w:val="24"/>
                <w:szCs w:val="24"/>
              </w:rPr>
              <w:br w:type="page"/>
            </w:r>
            <w:r w:rsidRPr="00525CAC">
              <w:rPr>
                <w:rFonts w:ascii="Calibri" w:eastAsia="Calibri" w:hAnsi="Calibri" w:cs="Times New Roman"/>
                <w:b/>
                <w:sz w:val="24"/>
                <w:szCs w:val="24"/>
              </w:rPr>
              <w:t xml:space="preserve">Wiązka projektów </w:t>
            </w:r>
            <w:r>
              <w:rPr>
                <w:rFonts w:ascii="Calibri" w:eastAsia="Calibri" w:hAnsi="Calibri" w:cs="Times New Roman"/>
                <w:b/>
                <w:sz w:val="24"/>
                <w:szCs w:val="24"/>
              </w:rPr>
              <w:t>3</w:t>
            </w:r>
            <w:r w:rsidRPr="00525CAC">
              <w:rPr>
                <w:rFonts w:cstheme="minorHAnsi"/>
                <w:b/>
                <w:bCs/>
                <w:color w:val="000000" w:themeColor="text1"/>
                <w:sz w:val="24"/>
                <w:szCs w:val="24"/>
              </w:rPr>
              <w:t xml:space="preserve"> </w:t>
            </w:r>
          </w:p>
        </w:tc>
        <w:tc>
          <w:tcPr>
            <w:tcW w:w="7507" w:type="dxa"/>
            <w:shd w:val="clear" w:color="auto" w:fill="D9D9D9"/>
            <w:vAlign w:val="center"/>
          </w:tcPr>
          <w:p w:rsidR="00525CAC" w:rsidRPr="00525CAC" w:rsidRDefault="00525CAC" w:rsidP="00525CAC">
            <w:pPr>
              <w:spacing w:line="240" w:lineRule="auto"/>
              <w:jc w:val="left"/>
              <w:rPr>
                <w:rFonts w:ascii="Calibri" w:eastAsia="Calibri" w:hAnsi="Calibri" w:cs="Times New Roman"/>
                <w:b/>
                <w:sz w:val="24"/>
                <w:szCs w:val="24"/>
                <w:highlight w:val="yellow"/>
              </w:rPr>
            </w:pPr>
            <w:r w:rsidRPr="00525CAC">
              <w:rPr>
                <w:rFonts w:ascii="Calibri" w:eastAsia="Calibri" w:hAnsi="Calibri" w:cs="Times New Roman"/>
                <w:b/>
                <w:sz w:val="24"/>
                <w:szCs w:val="24"/>
              </w:rPr>
              <w:t>Rozwój zrównoważonego systemu transportowego na terenie Wrocławskiego Obszaru Funkcjonalnego poprzez budowę, rozbudowę i przebudowę infrastruktury transportowej oraz rozwój zintegrowanego systemu zarządzania ruchem ITS</w:t>
            </w:r>
          </w:p>
        </w:tc>
      </w:tr>
      <w:tr w:rsidR="00800FAF" w:rsidRPr="00525CAC" w:rsidTr="00525CAC">
        <w:tc>
          <w:tcPr>
            <w:tcW w:w="1532" w:type="dxa"/>
            <w:shd w:val="clear" w:color="auto" w:fill="D9D9D9"/>
            <w:vAlign w:val="center"/>
          </w:tcPr>
          <w:p w:rsidR="00800FAF" w:rsidRPr="00525CAC" w:rsidRDefault="00800FAF" w:rsidP="00525CAC">
            <w:pPr>
              <w:spacing w:line="240" w:lineRule="auto"/>
              <w:jc w:val="left"/>
              <w:rPr>
                <w:rFonts w:ascii="Calibri" w:eastAsia="Calibri" w:hAnsi="Calibri" w:cs="Times New Roman"/>
                <w:sz w:val="24"/>
                <w:szCs w:val="24"/>
              </w:rPr>
            </w:pPr>
            <w:r w:rsidRPr="00525CAC">
              <w:rPr>
                <w:rFonts w:ascii="Calibri" w:eastAsia="Calibri" w:hAnsi="Calibri" w:cs="Times New Roman"/>
                <w:sz w:val="24"/>
                <w:szCs w:val="24"/>
              </w:rPr>
              <w:t>Projekty w wiązce</w:t>
            </w:r>
          </w:p>
        </w:tc>
        <w:tc>
          <w:tcPr>
            <w:tcW w:w="7507" w:type="dxa"/>
            <w:vAlign w:val="center"/>
          </w:tcPr>
          <w:p w:rsidR="00CE6880" w:rsidRPr="00525CAC" w:rsidRDefault="00CE6880" w:rsidP="00525CAC">
            <w:pPr>
              <w:spacing w:line="240" w:lineRule="auto"/>
              <w:jc w:val="left"/>
              <w:rPr>
                <w:rFonts w:ascii="Calibri" w:eastAsia="Calibri" w:hAnsi="Calibri" w:cs="Times New Roman"/>
                <w:b/>
                <w:sz w:val="24"/>
                <w:szCs w:val="24"/>
              </w:rPr>
            </w:pPr>
            <w:r w:rsidRPr="00525CAC">
              <w:rPr>
                <w:rFonts w:ascii="Calibri" w:eastAsia="Calibri" w:hAnsi="Calibri" w:cs="Times New Roman"/>
                <w:b/>
                <w:sz w:val="24"/>
                <w:szCs w:val="24"/>
              </w:rPr>
              <w:t>Projekty podstawowe:</w:t>
            </w:r>
          </w:p>
          <w:p w:rsidR="00CE6880" w:rsidRPr="00525CAC" w:rsidRDefault="00CE6880" w:rsidP="00525CAC">
            <w:pPr>
              <w:pStyle w:val="Akapitzlist"/>
              <w:numPr>
                <w:ilvl w:val="0"/>
                <w:numId w:val="39"/>
              </w:numPr>
              <w:tabs>
                <w:tab w:val="left" w:pos="1671"/>
              </w:tabs>
              <w:spacing w:line="240" w:lineRule="auto"/>
              <w:jc w:val="left"/>
              <w:rPr>
                <w:rFonts w:cstheme="minorHAnsi"/>
                <w:color w:val="000000" w:themeColor="text1"/>
                <w:sz w:val="24"/>
                <w:szCs w:val="24"/>
              </w:rPr>
            </w:pPr>
            <w:r w:rsidRPr="00525CAC">
              <w:rPr>
                <w:rFonts w:cstheme="minorHAnsi"/>
                <w:color w:val="000000" w:themeColor="text1"/>
                <w:sz w:val="24"/>
                <w:szCs w:val="24"/>
              </w:rPr>
              <w:t xml:space="preserve">Budowa trasy tramwajowej na osiedle </w:t>
            </w:r>
            <w:proofErr w:type="spellStart"/>
            <w:r w:rsidRPr="00525CAC">
              <w:rPr>
                <w:rFonts w:cstheme="minorHAnsi"/>
                <w:color w:val="000000" w:themeColor="text1"/>
                <w:sz w:val="24"/>
                <w:szCs w:val="24"/>
              </w:rPr>
              <w:t>Swojczyce</w:t>
            </w:r>
            <w:proofErr w:type="spellEnd"/>
            <w:r w:rsidRPr="00525CAC">
              <w:rPr>
                <w:rFonts w:cstheme="minorHAnsi"/>
                <w:color w:val="000000" w:themeColor="text1"/>
                <w:sz w:val="24"/>
                <w:szCs w:val="24"/>
              </w:rPr>
              <w:t xml:space="preserve"> wraz z budową nowych mostów Chrobrego we Wrocławiu</w:t>
            </w:r>
          </w:p>
          <w:p w:rsidR="00CE6880" w:rsidRPr="00525CAC" w:rsidRDefault="00CE6880" w:rsidP="00525CAC">
            <w:pPr>
              <w:pStyle w:val="Akapitzlist"/>
              <w:numPr>
                <w:ilvl w:val="0"/>
                <w:numId w:val="39"/>
              </w:numPr>
              <w:spacing w:line="240" w:lineRule="auto"/>
              <w:jc w:val="left"/>
              <w:rPr>
                <w:rFonts w:ascii="Calibri" w:eastAsia="Calibri" w:hAnsi="Calibri" w:cs="Times New Roman"/>
                <w:b/>
                <w:sz w:val="24"/>
                <w:szCs w:val="24"/>
              </w:rPr>
            </w:pPr>
            <w:r w:rsidRPr="00525CAC">
              <w:rPr>
                <w:rFonts w:cstheme="minorHAnsi"/>
                <w:color w:val="000000" w:themeColor="text1"/>
                <w:sz w:val="24"/>
                <w:szCs w:val="24"/>
              </w:rPr>
              <w:t xml:space="preserve">Rozwój zrównoważonego systemu transportowego we Wrocławiu </w:t>
            </w:r>
            <w:r w:rsidR="002E2C88" w:rsidRPr="00525CAC">
              <w:rPr>
                <w:rFonts w:cstheme="minorHAnsi"/>
                <w:color w:val="000000" w:themeColor="text1"/>
                <w:sz w:val="24"/>
                <w:szCs w:val="24"/>
              </w:rPr>
              <w:br/>
            </w:r>
            <w:r w:rsidRPr="00525CAC">
              <w:rPr>
                <w:rFonts w:cstheme="minorHAnsi"/>
                <w:color w:val="000000" w:themeColor="text1"/>
                <w:sz w:val="24"/>
                <w:szCs w:val="24"/>
              </w:rPr>
              <w:t>– etap I</w:t>
            </w:r>
          </w:p>
          <w:p w:rsidR="00CE6880" w:rsidRPr="00525CAC" w:rsidRDefault="00CE6880" w:rsidP="00525CAC">
            <w:pPr>
              <w:spacing w:line="240" w:lineRule="auto"/>
              <w:jc w:val="left"/>
              <w:rPr>
                <w:rFonts w:ascii="Calibri" w:eastAsia="Calibri" w:hAnsi="Calibri" w:cs="Times New Roman"/>
                <w:b/>
                <w:sz w:val="24"/>
                <w:szCs w:val="24"/>
              </w:rPr>
            </w:pPr>
            <w:r w:rsidRPr="00525CAC">
              <w:rPr>
                <w:rFonts w:ascii="Calibri" w:eastAsia="Calibri" w:hAnsi="Calibri" w:cs="Times New Roman"/>
                <w:b/>
                <w:sz w:val="24"/>
                <w:szCs w:val="24"/>
              </w:rPr>
              <w:t xml:space="preserve">Projekty rezerwowe: </w:t>
            </w:r>
          </w:p>
          <w:p w:rsidR="00CE6880" w:rsidRPr="00525CAC" w:rsidRDefault="00CE6880" w:rsidP="00525CAC">
            <w:pPr>
              <w:pStyle w:val="Akapitzlist"/>
              <w:numPr>
                <w:ilvl w:val="0"/>
                <w:numId w:val="39"/>
              </w:numPr>
              <w:spacing w:line="240" w:lineRule="auto"/>
              <w:jc w:val="left"/>
              <w:rPr>
                <w:rFonts w:cstheme="minorHAnsi"/>
                <w:sz w:val="24"/>
                <w:szCs w:val="24"/>
              </w:rPr>
            </w:pPr>
            <w:r w:rsidRPr="00525CAC">
              <w:rPr>
                <w:rFonts w:cstheme="minorHAnsi"/>
                <w:sz w:val="24"/>
                <w:szCs w:val="24"/>
              </w:rPr>
              <w:t xml:space="preserve">Budowa wydzielonej trasy komunikacji zbiorowej we Wrocławiu prowadzącej na osiedle </w:t>
            </w:r>
            <w:proofErr w:type="spellStart"/>
            <w:r w:rsidRPr="00525CAC">
              <w:rPr>
                <w:rFonts w:cstheme="minorHAnsi"/>
                <w:sz w:val="24"/>
                <w:szCs w:val="24"/>
              </w:rPr>
              <w:t>Maślice</w:t>
            </w:r>
            <w:proofErr w:type="spellEnd"/>
          </w:p>
          <w:p w:rsidR="002E2C88" w:rsidRPr="00525CAC" w:rsidRDefault="00CE6880" w:rsidP="00525CAC">
            <w:pPr>
              <w:pStyle w:val="Akapitzlist"/>
              <w:numPr>
                <w:ilvl w:val="0"/>
                <w:numId w:val="39"/>
              </w:numPr>
              <w:spacing w:line="240" w:lineRule="auto"/>
              <w:jc w:val="left"/>
              <w:rPr>
                <w:rFonts w:ascii="Calibri" w:eastAsia="Calibri" w:hAnsi="Calibri" w:cs="Times New Roman"/>
                <w:sz w:val="24"/>
                <w:szCs w:val="24"/>
              </w:rPr>
            </w:pPr>
            <w:r w:rsidRPr="00525CAC">
              <w:rPr>
                <w:rFonts w:cstheme="minorHAnsi"/>
                <w:sz w:val="24"/>
                <w:szCs w:val="24"/>
              </w:rPr>
              <w:t xml:space="preserve">Rozwój zrównoważonego systemu transportowego we Wrocławiu </w:t>
            </w:r>
          </w:p>
          <w:p w:rsidR="00CE6880" w:rsidRPr="00525CAC" w:rsidRDefault="00CE6880" w:rsidP="00525CAC">
            <w:pPr>
              <w:pStyle w:val="Akapitzlist"/>
              <w:spacing w:line="240" w:lineRule="auto"/>
              <w:jc w:val="left"/>
              <w:rPr>
                <w:rFonts w:ascii="Calibri" w:eastAsia="Calibri" w:hAnsi="Calibri" w:cs="Times New Roman"/>
                <w:sz w:val="24"/>
                <w:szCs w:val="24"/>
              </w:rPr>
            </w:pPr>
            <w:r w:rsidRPr="00525CAC">
              <w:rPr>
                <w:rFonts w:cstheme="minorHAnsi"/>
                <w:sz w:val="24"/>
                <w:szCs w:val="24"/>
              </w:rPr>
              <w:t>– etap II</w:t>
            </w:r>
          </w:p>
          <w:p w:rsidR="00E640C9" w:rsidRPr="00525CAC" w:rsidRDefault="00CE6880" w:rsidP="00525CAC">
            <w:pPr>
              <w:pStyle w:val="Akapitzlist"/>
              <w:numPr>
                <w:ilvl w:val="0"/>
                <w:numId w:val="39"/>
              </w:numPr>
              <w:spacing w:line="240" w:lineRule="auto"/>
              <w:jc w:val="left"/>
              <w:rPr>
                <w:rFonts w:ascii="Calibri" w:eastAsia="Calibri" w:hAnsi="Calibri" w:cs="Times New Roman"/>
                <w:sz w:val="24"/>
                <w:szCs w:val="24"/>
              </w:rPr>
            </w:pPr>
            <w:r w:rsidRPr="00525CAC">
              <w:rPr>
                <w:rFonts w:cstheme="minorHAnsi"/>
                <w:sz w:val="24"/>
                <w:szCs w:val="24"/>
              </w:rPr>
              <w:t>Rozwój zintegrowanego systemu zarządzania ruchem ITS</w:t>
            </w:r>
          </w:p>
        </w:tc>
      </w:tr>
      <w:tr w:rsidR="00800FAF" w:rsidRPr="00525CAC" w:rsidTr="00525CAC">
        <w:tc>
          <w:tcPr>
            <w:tcW w:w="1532" w:type="dxa"/>
            <w:shd w:val="clear" w:color="auto" w:fill="D9D9D9"/>
            <w:vAlign w:val="center"/>
          </w:tcPr>
          <w:p w:rsidR="00800FAF" w:rsidRPr="00525CAC" w:rsidRDefault="00800FAF" w:rsidP="00525CAC">
            <w:pPr>
              <w:spacing w:line="240" w:lineRule="auto"/>
              <w:jc w:val="left"/>
              <w:rPr>
                <w:rFonts w:ascii="Calibri" w:eastAsia="Calibri" w:hAnsi="Calibri" w:cs="Times New Roman"/>
                <w:sz w:val="24"/>
                <w:szCs w:val="24"/>
              </w:rPr>
            </w:pPr>
            <w:r w:rsidRPr="00525CAC">
              <w:rPr>
                <w:rFonts w:ascii="Calibri" w:eastAsia="Calibri" w:hAnsi="Calibri" w:cs="Times New Roman"/>
                <w:sz w:val="24"/>
                <w:szCs w:val="24"/>
              </w:rPr>
              <w:t xml:space="preserve">Cel szczegółowy </w:t>
            </w:r>
            <w:proofErr w:type="spellStart"/>
            <w:r w:rsidRPr="00525CAC">
              <w:rPr>
                <w:rFonts w:ascii="Calibri" w:eastAsia="Calibri" w:hAnsi="Calibri" w:cs="Times New Roman"/>
                <w:sz w:val="24"/>
                <w:szCs w:val="24"/>
              </w:rPr>
              <w:t>FEnIKS</w:t>
            </w:r>
            <w:proofErr w:type="spellEnd"/>
            <w:r w:rsidRPr="00525CAC">
              <w:rPr>
                <w:rFonts w:ascii="Calibri" w:eastAsia="Calibri" w:hAnsi="Calibri" w:cs="Times New Roman"/>
                <w:sz w:val="24"/>
                <w:szCs w:val="24"/>
              </w:rPr>
              <w:t xml:space="preserve"> 2021-2027</w:t>
            </w:r>
          </w:p>
        </w:tc>
        <w:tc>
          <w:tcPr>
            <w:tcW w:w="7507" w:type="dxa"/>
            <w:vAlign w:val="center"/>
          </w:tcPr>
          <w:p w:rsidR="00800FAF" w:rsidRPr="00525CAC" w:rsidRDefault="00800FAF" w:rsidP="00525CAC">
            <w:pPr>
              <w:spacing w:line="240" w:lineRule="auto"/>
              <w:jc w:val="left"/>
              <w:rPr>
                <w:rFonts w:ascii="Calibri" w:eastAsia="Calibri" w:hAnsi="Calibri" w:cs="Times New Roman"/>
                <w:b/>
                <w:sz w:val="24"/>
                <w:szCs w:val="24"/>
              </w:rPr>
            </w:pPr>
            <w:r w:rsidRPr="00525CAC">
              <w:rPr>
                <w:rFonts w:ascii="Calibri" w:eastAsia="Calibri" w:hAnsi="Calibri" w:cs="Times New Roman"/>
                <w:b/>
                <w:sz w:val="24"/>
                <w:szCs w:val="24"/>
              </w:rPr>
              <w:t xml:space="preserve">2.8 Wspieranie zrównoważonej multimodalnej mobilności miejskiej jako elementu transformacji w kierunku gospodarki </w:t>
            </w:r>
            <w:proofErr w:type="spellStart"/>
            <w:r w:rsidRPr="00525CAC">
              <w:rPr>
                <w:rFonts w:ascii="Calibri" w:eastAsia="Calibri" w:hAnsi="Calibri" w:cs="Times New Roman"/>
                <w:b/>
                <w:sz w:val="24"/>
                <w:szCs w:val="24"/>
              </w:rPr>
              <w:t>zeroemisyjnej</w:t>
            </w:r>
            <w:proofErr w:type="spellEnd"/>
          </w:p>
        </w:tc>
      </w:tr>
      <w:tr w:rsidR="00800FAF" w:rsidRPr="00525CAC" w:rsidTr="00525CAC">
        <w:tc>
          <w:tcPr>
            <w:tcW w:w="1532" w:type="dxa"/>
            <w:shd w:val="clear" w:color="auto" w:fill="D9D9D9"/>
            <w:vAlign w:val="center"/>
          </w:tcPr>
          <w:p w:rsidR="00800FAF" w:rsidRPr="00525CAC" w:rsidRDefault="00800FAF" w:rsidP="00525CAC">
            <w:pPr>
              <w:spacing w:line="240" w:lineRule="auto"/>
              <w:jc w:val="left"/>
              <w:rPr>
                <w:rFonts w:ascii="Calibri" w:eastAsia="Calibri" w:hAnsi="Calibri" w:cs="Times New Roman"/>
                <w:sz w:val="24"/>
                <w:szCs w:val="24"/>
              </w:rPr>
            </w:pPr>
            <w:r w:rsidRPr="00525CAC">
              <w:rPr>
                <w:rFonts w:ascii="Calibri" w:eastAsia="Calibri" w:hAnsi="Calibri" w:cs="Times New Roman"/>
                <w:sz w:val="24"/>
                <w:szCs w:val="24"/>
              </w:rPr>
              <w:t>Uzasadnienie realizacji wiązki projektów</w:t>
            </w:r>
          </w:p>
        </w:tc>
        <w:tc>
          <w:tcPr>
            <w:tcW w:w="7507" w:type="dxa"/>
            <w:vAlign w:val="center"/>
          </w:tcPr>
          <w:p w:rsidR="008728FD" w:rsidRPr="00525CAC" w:rsidRDefault="00D61B18" w:rsidP="00525CAC">
            <w:pPr>
              <w:keepNext/>
              <w:keepLines/>
              <w:spacing w:line="240" w:lineRule="auto"/>
              <w:jc w:val="left"/>
              <w:rPr>
                <w:rFonts w:cs="Arial"/>
                <w:bCs/>
                <w:sz w:val="24"/>
                <w:szCs w:val="24"/>
              </w:rPr>
            </w:pPr>
            <w:r w:rsidRPr="00525CAC">
              <w:rPr>
                <w:rFonts w:cs="Arial"/>
                <w:bCs/>
                <w:sz w:val="24"/>
                <w:szCs w:val="24"/>
              </w:rPr>
              <w:t xml:space="preserve">Budowa nowych tras tramwajowych, węzłów przystankowych, mijanki tramwajowej wraz z infrastrukturą tj. parkingami P&amp;R, </w:t>
            </w:r>
            <w:r w:rsidR="008728FD" w:rsidRPr="00525CAC">
              <w:rPr>
                <w:rFonts w:cs="Arial"/>
                <w:bCs/>
                <w:sz w:val="24"/>
                <w:szCs w:val="24"/>
              </w:rPr>
              <w:t xml:space="preserve">w tym </w:t>
            </w:r>
            <w:r w:rsidR="008728FD" w:rsidRPr="00525CAC">
              <w:rPr>
                <w:bCs/>
                <w:sz w:val="24"/>
                <w:szCs w:val="24"/>
              </w:rPr>
              <w:t>w rejonie planowanego przystanku kolejowego,</w:t>
            </w:r>
            <w:r w:rsidR="002E2C88" w:rsidRPr="00525CAC">
              <w:rPr>
                <w:bCs/>
                <w:sz w:val="24"/>
                <w:szCs w:val="24"/>
              </w:rPr>
              <w:t xml:space="preserve"> </w:t>
            </w:r>
            <w:r w:rsidRPr="00525CAC">
              <w:rPr>
                <w:rFonts w:cs="Arial"/>
                <w:bCs/>
                <w:sz w:val="24"/>
                <w:szCs w:val="24"/>
              </w:rPr>
              <w:t xml:space="preserve">zapewni przewagę konkurencyjną transportu publicznego nad indywidualnym transportem samochodowym.   Utworzenie nowych tras wraz z węzłami przesiadkowymi wpisują się w  działania obniżenia  niskiej emisji oraz aglomeracyjnymi problemami komunikacyjnymi. </w:t>
            </w:r>
            <w:r w:rsidR="00915897" w:rsidRPr="00525CAC">
              <w:rPr>
                <w:rFonts w:cs="Arial"/>
                <w:bCs/>
                <w:sz w:val="24"/>
                <w:szCs w:val="24"/>
              </w:rPr>
              <w:t>Ponadto rozwój systemu</w:t>
            </w:r>
            <w:r w:rsidR="00C9095E" w:rsidRPr="00525CAC">
              <w:rPr>
                <w:rFonts w:cs="Arial"/>
                <w:bCs/>
                <w:sz w:val="24"/>
                <w:szCs w:val="24"/>
              </w:rPr>
              <w:t xml:space="preserve"> ITS</w:t>
            </w:r>
            <w:r w:rsidR="006E0717" w:rsidRPr="00525CAC">
              <w:rPr>
                <w:rFonts w:cs="Arial"/>
                <w:bCs/>
                <w:sz w:val="24"/>
                <w:szCs w:val="24"/>
              </w:rPr>
              <w:t xml:space="preserve"> </w:t>
            </w:r>
            <w:r w:rsidR="00915897" w:rsidRPr="00525CAC">
              <w:rPr>
                <w:rFonts w:cstheme="minorHAnsi"/>
                <w:sz w:val="24"/>
                <w:szCs w:val="24"/>
              </w:rPr>
              <w:t>pozwoli zwi</w:t>
            </w:r>
            <w:r w:rsidR="002E2C88" w:rsidRPr="00525CAC">
              <w:rPr>
                <w:rFonts w:cstheme="minorHAnsi"/>
                <w:sz w:val="24"/>
                <w:szCs w:val="24"/>
              </w:rPr>
              <w:t>ększyć efektywność transportu z </w:t>
            </w:r>
            <w:r w:rsidR="00915897" w:rsidRPr="00525CAC">
              <w:rPr>
                <w:rFonts w:cstheme="minorHAnsi"/>
                <w:sz w:val="24"/>
                <w:szCs w:val="24"/>
              </w:rPr>
              <w:t>uwzględnieniem aspektu ochrony środowiska.</w:t>
            </w:r>
          </w:p>
          <w:p w:rsidR="00833A04" w:rsidRPr="00525CAC" w:rsidRDefault="00D61B18" w:rsidP="00525CAC">
            <w:pPr>
              <w:spacing w:line="240" w:lineRule="auto"/>
              <w:jc w:val="left"/>
              <w:rPr>
                <w:rFonts w:cs="Arial"/>
                <w:bCs/>
                <w:sz w:val="24"/>
                <w:szCs w:val="24"/>
              </w:rPr>
            </w:pPr>
            <w:r w:rsidRPr="00525CAC">
              <w:rPr>
                <w:rFonts w:cs="Arial"/>
                <w:b/>
                <w:bCs/>
                <w:sz w:val="24"/>
                <w:szCs w:val="24"/>
              </w:rPr>
              <w:t>Projekty mają  wpływ na więcej niż jedną gminę we WrOF</w:t>
            </w:r>
            <w:r w:rsidRPr="00525CAC">
              <w:rPr>
                <w:rFonts w:cs="Arial"/>
                <w:bCs/>
                <w:sz w:val="24"/>
                <w:szCs w:val="24"/>
              </w:rPr>
              <w:t xml:space="preserve"> ponieważ</w:t>
            </w:r>
            <w:r w:rsidR="00236834" w:rsidRPr="00525CAC">
              <w:rPr>
                <w:bCs/>
                <w:sz w:val="24"/>
                <w:szCs w:val="24"/>
              </w:rPr>
              <w:t xml:space="preserve"> trasa i </w:t>
            </w:r>
            <w:r w:rsidRPr="00525CAC">
              <w:rPr>
                <w:bCs/>
                <w:sz w:val="24"/>
                <w:szCs w:val="24"/>
              </w:rPr>
              <w:t>planowane inwestycje infrastrukturalne przyczyną się do odciążenia dróg od indywidualnego ruchu samochodowego  umożliwiając mieszkańcom Wrocławia oraz  gmin ościennych pozostanie samochodów na dedykowanych P&amp;R  na obrzeżach  Wrocławia oraz  kontynuację podróży komunikacją zbiorową  lub odbycia całej podróży komunikacją publiczną.</w:t>
            </w:r>
            <w:r w:rsidR="00592E7A" w:rsidRPr="00525CAC">
              <w:rPr>
                <w:bCs/>
                <w:sz w:val="24"/>
                <w:szCs w:val="24"/>
              </w:rPr>
              <w:t xml:space="preserve"> Ponadto zmodernizowany system ITS  </w:t>
            </w:r>
            <w:r w:rsidR="00592E7A" w:rsidRPr="00525CAC">
              <w:rPr>
                <w:rFonts w:cstheme="minorHAnsi"/>
                <w:sz w:val="24"/>
                <w:szCs w:val="24"/>
              </w:rPr>
              <w:t>przyczyni się do zwiększenia korzystania przez mieszkańców</w:t>
            </w:r>
            <w:r w:rsidR="006E0717" w:rsidRPr="00525CAC">
              <w:rPr>
                <w:rFonts w:cstheme="minorHAnsi"/>
                <w:sz w:val="24"/>
                <w:szCs w:val="24"/>
              </w:rPr>
              <w:t xml:space="preserve"> </w:t>
            </w:r>
            <w:r w:rsidR="00592E7A" w:rsidRPr="00525CAC">
              <w:rPr>
                <w:rFonts w:cstheme="minorHAnsi"/>
                <w:sz w:val="24"/>
                <w:szCs w:val="24"/>
              </w:rPr>
              <w:t>z komunikacji zbiorowej np</w:t>
            </w:r>
            <w:r w:rsidR="006E0717" w:rsidRPr="00525CAC">
              <w:rPr>
                <w:rFonts w:cstheme="minorHAnsi"/>
                <w:sz w:val="24"/>
                <w:szCs w:val="24"/>
              </w:rPr>
              <w:t>. nadanie priorytetu przejazdom</w:t>
            </w:r>
            <w:r w:rsidR="00680BD3" w:rsidRPr="00525CAC">
              <w:rPr>
                <w:rFonts w:cstheme="minorHAnsi"/>
                <w:sz w:val="24"/>
                <w:szCs w:val="24"/>
              </w:rPr>
              <w:t xml:space="preserve">: tramwajom i </w:t>
            </w:r>
            <w:r w:rsidR="002E2C88" w:rsidRPr="00525CAC">
              <w:rPr>
                <w:rFonts w:cstheme="minorHAnsi"/>
                <w:sz w:val="24"/>
                <w:szCs w:val="24"/>
              </w:rPr>
              <w:t>autobusowym w </w:t>
            </w:r>
            <w:r w:rsidR="00592E7A" w:rsidRPr="00525CAC">
              <w:rPr>
                <w:rFonts w:cstheme="minorHAnsi"/>
                <w:sz w:val="24"/>
                <w:szCs w:val="24"/>
              </w:rPr>
              <w:t xml:space="preserve">istotny sposób zwiększy szybkość podróży i wprowadzi konkurencyjność transportu zbiorowego. </w:t>
            </w:r>
          </w:p>
          <w:p w:rsidR="00833A04" w:rsidRPr="00525CAC" w:rsidRDefault="00D61B18" w:rsidP="00525CAC">
            <w:pPr>
              <w:spacing w:line="240" w:lineRule="auto"/>
              <w:jc w:val="left"/>
              <w:rPr>
                <w:bCs/>
                <w:sz w:val="24"/>
                <w:szCs w:val="24"/>
              </w:rPr>
            </w:pPr>
            <w:r w:rsidRPr="00525CAC">
              <w:rPr>
                <w:bCs/>
                <w:sz w:val="24"/>
                <w:szCs w:val="24"/>
              </w:rPr>
              <w:t xml:space="preserve">Zaproponowana </w:t>
            </w:r>
            <w:r w:rsidRPr="00525CAC">
              <w:rPr>
                <w:b/>
                <w:bCs/>
                <w:sz w:val="24"/>
                <w:szCs w:val="24"/>
              </w:rPr>
              <w:t>wiązka projektów</w:t>
            </w:r>
            <w:r w:rsidRPr="00525CAC">
              <w:rPr>
                <w:bCs/>
                <w:sz w:val="24"/>
                <w:szCs w:val="24"/>
              </w:rPr>
              <w:t xml:space="preserve"> wykazuje pełną </w:t>
            </w:r>
            <w:r w:rsidRPr="00525CAC">
              <w:rPr>
                <w:b/>
                <w:bCs/>
                <w:sz w:val="24"/>
                <w:szCs w:val="24"/>
              </w:rPr>
              <w:t>wewnętrzną  komplementarność  i synergię</w:t>
            </w:r>
            <w:r w:rsidRPr="00525CAC">
              <w:rPr>
                <w:bCs/>
                <w:sz w:val="24"/>
                <w:szCs w:val="24"/>
              </w:rPr>
              <w:t xml:space="preserve"> w </w:t>
            </w:r>
            <w:r w:rsidRPr="00525CAC">
              <w:rPr>
                <w:b/>
                <w:bCs/>
                <w:sz w:val="24"/>
                <w:szCs w:val="24"/>
              </w:rPr>
              <w:t>zakresie tematycznym</w:t>
            </w:r>
            <w:r w:rsidR="00533BCE" w:rsidRPr="00525CAC">
              <w:rPr>
                <w:bCs/>
                <w:sz w:val="24"/>
                <w:szCs w:val="24"/>
              </w:rPr>
              <w:t>, tj. zawiera: budow</w:t>
            </w:r>
            <w:r w:rsidR="006E0717" w:rsidRPr="00525CAC">
              <w:rPr>
                <w:bCs/>
                <w:sz w:val="24"/>
                <w:szCs w:val="24"/>
              </w:rPr>
              <w:t>ę</w:t>
            </w:r>
            <w:r w:rsidRPr="00525CAC">
              <w:rPr>
                <w:bCs/>
                <w:sz w:val="24"/>
                <w:szCs w:val="24"/>
              </w:rPr>
              <w:t xml:space="preserve"> nowych tras tramwajowych,</w:t>
            </w:r>
            <w:r w:rsidRPr="00525CAC">
              <w:rPr>
                <w:rFonts w:cs="Arial"/>
                <w:bCs/>
                <w:sz w:val="24"/>
                <w:szCs w:val="24"/>
              </w:rPr>
              <w:t xml:space="preserve"> węzłów przystankowych, mijanki tramwajowej </w:t>
            </w:r>
            <w:r w:rsidR="00236834" w:rsidRPr="00525CAC">
              <w:rPr>
                <w:bCs/>
                <w:sz w:val="24"/>
                <w:szCs w:val="24"/>
              </w:rPr>
              <w:t>wraz z </w:t>
            </w:r>
            <w:r w:rsidRPr="00525CAC">
              <w:rPr>
                <w:bCs/>
                <w:sz w:val="24"/>
                <w:szCs w:val="24"/>
              </w:rPr>
              <w:t>infrastrukturą np. pętlami, P&amp;R</w:t>
            </w:r>
            <w:r w:rsidR="00533BCE" w:rsidRPr="00525CAC">
              <w:rPr>
                <w:bCs/>
                <w:sz w:val="24"/>
                <w:szCs w:val="24"/>
              </w:rPr>
              <w:t xml:space="preserve"> oraz rozbudowa systemu zarządzania ruchem itd.   </w:t>
            </w:r>
            <w:r w:rsidRPr="00525CAC">
              <w:rPr>
                <w:bCs/>
                <w:sz w:val="24"/>
                <w:szCs w:val="24"/>
              </w:rPr>
              <w:t xml:space="preserve">Ponadto projekty są  zintegrowane w </w:t>
            </w:r>
            <w:r w:rsidRPr="00525CAC">
              <w:rPr>
                <w:b/>
                <w:bCs/>
                <w:sz w:val="24"/>
                <w:szCs w:val="24"/>
              </w:rPr>
              <w:t>zakresie obszarowym</w:t>
            </w:r>
            <w:r w:rsidRPr="00525CAC">
              <w:rPr>
                <w:bCs/>
                <w:sz w:val="24"/>
                <w:szCs w:val="24"/>
              </w:rPr>
              <w:t>: inwestycje realizowane na terenie Wrocławia m</w:t>
            </w:r>
            <w:r w:rsidR="002E2C88" w:rsidRPr="00525CAC">
              <w:rPr>
                <w:bCs/>
                <w:sz w:val="24"/>
                <w:szCs w:val="24"/>
              </w:rPr>
              <w:t>ają bezpośrednie przełożenie na </w:t>
            </w:r>
            <w:r w:rsidRPr="00525CAC">
              <w:rPr>
                <w:bCs/>
                <w:sz w:val="24"/>
                <w:szCs w:val="24"/>
              </w:rPr>
              <w:t>zintegrowanie transportu publicznego oraz poszerzenie oferty przesiadkowej na obszarze całego  MOFW i są ukierunkowane na zidentyfikowane wektory przemieszczania się mieszkańców  MOF</w:t>
            </w:r>
            <w:r w:rsidR="00BA01F5" w:rsidRPr="00525CAC">
              <w:rPr>
                <w:bCs/>
                <w:sz w:val="24"/>
                <w:szCs w:val="24"/>
              </w:rPr>
              <w:t>W</w:t>
            </w:r>
            <w:r w:rsidRPr="00525CAC">
              <w:rPr>
                <w:bCs/>
                <w:sz w:val="24"/>
                <w:szCs w:val="24"/>
              </w:rPr>
              <w:t xml:space="preserve">.  </w:t>
            </w:r>
          </w:p>
          <w:p w:rsidR="00833A04" w:rsidRPr="00525CAC" w:rsidRDefault="00D61B18" w:rsidP="00525CAC">
            <w:pPr>
              <w:spacing w:line="240" w:lineRule="auto"/>
              <w:jc w:val="left"/>
              <w:rPr>
                <w:rFonts w:cs="Arial"/>
                <w:bCs/>
                <w:sz w:val="24"/>
                <w:szCs w:val="24"/>
              </w:rPr>
            </w:pPr>
            <w:r w:rsidRPr="00525CAC">
              <w:rPr>
                <w:rFonts w:cs="Arial"/>
                <w:bCs/>
                <w:sz w:val="24"/>
                <w:szCs w:val="24"/>
              </w:rPr>
              <w:t xml:space="preserve">Projekty wchodzące w skład wiązki spełniają wymogi definicji projektu zintegrowanego, tj. wpisują się w cele rozwoju obszaru funkcjonalnego objętego instrumentem tj. Strategii ZIT WrOF, i są ukierunkowane na rozwiązywanie wspólnych problemów  rozwojowych w obszarze mobilności.  Ponadto ich realizacja jest uzasadniona zarówno w części diagnostycznej, jak i kierunkowej strategii ZIT WrOF. </w:t>
            </w:r>
          </w:p>
          <w:p w:rsidR="00833A04" w:rsidRPr="00525CAC" w:rsidRDefault="00D61B18" w:rsidP="00525CAC">
            <w:pPr>
              <w:pStyle w:val="Default"/>
              <w:rPr>
                <w:rFonts w:asciiTheme="minorHAnsi" w:hAnsiTheme="minorHAnsi" w:cs="Arial"/>
                <w:bCs/>
                <w:color w:val="auto"/>
              </w:rPr>
            </w:pPr>
            <w:r w:rsidRPr="00525CAC">
              <w:rPr>
                <w:rFonts w:asciiTheme="minorHAnsi" w:hAnsiTheme="minorHAnsi" w:cs="Arial"/>
                <w:bCs/>
                <w:color w:val="auto"/>
              </w:rPr>
              <w:t xml:space="preserve">Realizacja projektów stanowiących wiązkę wynika z części kierunkowej Strategii ZIT WrOF,  tj.: </w:t>
            </w:r>
          </w:p>
          <w:p w:rsidR="00833A04" w:rsidRPr="00525CAC" w:rsidRDefault="002E2C88" w:rsidP="00525CAC">
            <w:pPr>
              <w:pStyle w:val="Default"/>
              <w:rPr>
                <w:rFonts w:asciiTheme="minorHAnsi" w:hAnsiTheme="minorHAnsi" w:cs="Arial"/>
                <w:b/>
                <w:bCs/>
                <w:color w:val="auto"/>
              </w:rPr>
            </w:pPr>
            <w:r w:rsidRPr="00525CAC">
              <w:rPr>
                <w:rFonts w:asciiTheme="minorHAnsi" w:hAnsiTheme="minorHAnsi" w:cs="Arial"/>
                <w:b/>
                <w:bCs/>
                <w:color w:val="auto"/>
              </w:rPr>
              <w:t xml:space="preserve">Cel strategiczny 3. </w:t>
            </w:r>
            <w:r w:rsidR="00D61B18" w:rsidRPr="00525CAC">
              <w:rPr>
                <w:rFonts w:asciiTheme="minorHAnsi" w:hAnsiTheme="minorHAnsi" w:cs="Arial"/>
                <w:b/>
                <w:bCs/>
                <w:color w:val="auto"/>
              </w:rPr>
              <w:t xml:space="preserve">Ochrona środowiska naturalnego i adaptacja WrOF do zmian </w:t>
            </w:r>
            <w:r w:rsidR="00460958" w:rsidRPr="00525CAC">
              <w:rPr>
                <w:rFonts w:asciiTheme="minorHAnsi" w:hAnsiTheme="minorHAnsi" w:cs="Arial"/>
                <w:b/>
                <w:bCs/>
                <w:color w:val="auto"/>
              </w:rPr>
              <w:t xml:space="preserve">klimatu </w:t>
            </w:r>
          </w:p>
          <w:p w:rsidR="00833A04" w:rsidRPr="00525CAC" w:rsidRDefault="00D61B18" w:rsidP="00525CAC">
            <w:pPr>
              <w:pStyle w:val="Default"/>
              <w:rPr>
                <w:rFonts w:asciiTheme="minorHAnsi" w:hAnsiTheme="minorHAnsi" w:cs="Arial"/>
                <w:b/>
                <w:color w:val="auto"/>
              </w:rPr>
            </w:pPr>
            <w:r w:rsidRPr="00525CAC">
              <w:rPr>
                <w:rFonts w:asciiTheme="minorHAnsi" w:hAnsiTheme="minorHAnsi" w:cs="Arial"/>
                <w:b/>
                <w:color w:val="auto"/>
              </w:rPr>
              <w:t xml:space="preserve">Priorytet 13. Zrównoważona mobilność </w:t>
            </w:r>
          </w:p>
          <w:p w:rsidR="00833A04" w:rsidRPr="00525CAC" w:rsidRDefault="00D61B18" w:rsidP="00525CAC">
            <w:pPr>
              <w:pStyle w:val="Default"/>
              <w:rPr>
                <w:rFonts w:asciiTheme="minorHAnsi" w:hAnsiTheme="minorHAnsi" w:cs="Arial"/>
                <w:b/>
                <w:bCs/>
                <w:color w:val="auto"/>
              </w:rPr>
            </w:pPr>
            <w:r w:rsidRPr="00525CAC">
              <w:rPr>
                <w:rFonts w:asciiTheme="minorHAnsi" w:hAnsiTheme="minorHAnsi" w:cs="Arial"/>
                <w:b/>
                <w:bCs/>
                <w:color w:val="auto"/>
              </w:rPr>
              <w:t>Kierunek działania 13.1  Zwiększenie konkurenc</w:t>
            </w:r>
            <w:r w:rsidR="00236834" w:rsidRPr="00525CAC">
              <w:rPr>
                <w:rFonts w:asciiTheme="minorHAnsi" w:hAnsiTheme="minorHAnsi" w:cs="Arial"/>
                <w:b/>
                <w:bCs/>
                <w:color w:val="auto"/>
              </w:rPr>
              <w:t>yjności transportu zbiorowego i </w:t>
            </w:r>
            <w:r w:rsidRPr="00525CAC">
              <w:rPr>
                <w:rFonts w:asciiTheme="minorHAnsi" w:hAnsiTheme="minorHAnsi" w:cs="Arial"/>
                <w:b/>
                <w:bCs/>
                <w:color w:val="auto"/>
              </w:rPr>
              <w:t>niskoemisyjnych form przemieszczania się</w:t>
            </w:r>
          </w:p>
          <w:p w:rsidR="00BA49EE" w:rsidRPr="00525CAC" w:rsidRDefault="00D61B18" w:rsidP="00525CAC">
            <w:pPr>
              <w:pStyle w:val="Default"/>
              <w:rPr>
                <w:rFonts w:asciiTheme="minorHAnsi" w:hAnsiTheme="minorHAnsi" w:cs="Arial"/>
                <w:b/>
                <w:bCs/>
                <w:color w:val="auto"/>
              </w:rPr>
            </w:pPr>
            <w:r w:rsidRPr="00525CAC">
              <w:rPr>
                <w:rFonts w:asciiTheme="minorHAnsi" w:hAnsiTheme="minorHAnsi" w:cs="Arial"/>
                <w:b/>
                <w:bCs/>
                <w:color w:val="auto"/>
              </w:rPr>
              <w:t>Kierunek działania 13.2  Rozwój infrastruktury i działań wspierających osiągnięcie zrównoważonej mobilności.</w:t>
            </w:r>
          </w:p>
          <w:p w:rsidR="00833A04" w:rsidRPr="00525CAC" w:rsidRDefault="00D61B18" w:rsidP="00525CAC">
            <w:pPr>
              <w:pStyle w:val="nadWrOF"/>
              <w:spacing w:after="120"/>
              <w:rPr>
                <w:rFonts w:asciiTheme="minorHAnsi" w:hAnsiTheme="minorHAnsi" w:cstheme="minorHAnsi"/>
                <w:i w:val="0"/>
                <w:sz w:val="24"/>
                <w:szCs w:val="24"/>
              </w:rPr>
            </w:pPr>
            <w:r w:rsidRPr="00525CAC">
              <w:rPr>
                <w:rFonts w:asciiTheme="minorHAnsi" w:hAnsiTheme="minorHAnsi" w:cs="Arial"/>
                <w:bCs/>
                <w:i w:val="0"/>
                <w:color w:val="auto"/>
                <w:sz w:val="24"/>
                <w:szCs w:val="24"/>
              </w:rPr>
              <w:t xml:space="preserve">Natomiast w </w:t>
            </w:r>
            <w:r w:rsidR="00460958" w:rsidRPr="00525CAC">
              <w:rPr>
                <w:rFonts w:asciiTheme="minorHAnsi" w:hAnsiTheme="minorHAnsi" w:cs="Arial"/>
                <w:b/>
                <w:bCs/>
                <w:i w:val="0"/>
                <w:color w:val="auto"/>
                <w:sz w:val="24"/>
                <w:szCs w:val="24"/>
              </w:rPr>
              <w:t xml:space="preserve">części  II. </w:t>
            </w:r>
            <w:r w:rsidRPr="00525CAC">
              <w:rPr>
                <w:rFonts w:asciiTheme="minorHAnsi" w:hAnsiTheme="minorHAnsi" w:cstheme="minorHAnsi"/>
                <w:b/>
                <w:i w:val="0"/>
                <w:color w:val="auto"/>
                <w:sz w:val="24"/>
                <w:szCs w:val="24"/>
              </w:rPr>
              <w:t>Synteza diagnozy strategicznej obszaru WrOF</w:t>
            </w:r>
            <w:r w:rsidRPr="00525CAC">
              <w:rPr>
                <w:rFonts w:asciiTheme="minorHAnsi" w:hAnsiTheme="minorHAnsi" w:cs="Arial"/>
                <w:bCs/>
                <w:i w:val="0"/>
                <w:color w:val="auto"/>
                <w:sz w:val="24"/>
                <w:szCs w:val="24"/>
              </w:rPr>
              <w:t xml:space="preserve">, w opisie analizy </w:t>
            </w:r>
            <w:r w:rsidRPr="00525CAC">
              <w:rPr>
                <w:rFonts w:asciiTheme="minorHAnsi" w:hAnsiTheme="minorHAnsi" w:cs="Arial"/>
                <w:b/>
                <w:bCs/>
                <w:i w:val="0"/>
                <w:color w:val="auto"/>
                <w:sz w:val="24"/>
                <w:szCs w:val="24"/>
              </w:rPr>
              <w:t xml:space="preserve">mobilności </w:t>
            </w:r>
            <w:r w:rsidRPr="00525CAC">
              <w:rPr>
                <w:rFonts w:asciiTheme="minorHAnsi" w:hAnsiTheme="minorHAnsi" w:cs="Arial"/>
                <w:bCs/>
                <w:i w:val="0"/>
                <w:color w:val="auto"/>
                <w:sz w:val="24"/>
                <w:szCs w:val="24"/>
              </w:rPr>
              <w:t>wskazano</w:t>
            </w:r>
            <w:r w:rsidRPr="00525CAC">
              <w:rPr>
                <w:rFonts w:asciiTheme="minorHAnsi" w:hAnsiTheme="minorHAnsi" w:cs="Arial"/>
                <w:b/>
                <w:bCs/>
                <w:i w:val="0"/>
                <w:color w:val="auto"/>
                <w:sz w:val="24"/>
                <w:szCs w:val="24"/>
              </w:rPr>
              <w:t xml:space="preserve">, </w:t>
            </w:r>
            <w:r w:rsidRPr="00525CAC">
              <w:rPr>
                <w:rFonts w:asciiTheme="minorHAnsi" w:hAnsiTheme="minorHAnsi" w:cs="Arial"/>
                <w:bCs/>
                <w:i w:val="0"/>
                <w:color w:val="auto"/>
                <w:sz w:val="24"/>
                <w:szCs w:val="24"/>
              </w:rPr>
              <w:t>że</w:t>
            </w:r>
            <w:r w:rsidR="002E2C88" w:rsidRPr="00525CAC">
              <w:rPr>
                <w:rFonts w:asciiTheme="minorHAnsi" w:hAnsiTheme="minorHAnsi" w:cs="Arial"/>
                <w:bCs/>
                <w:i w:val="0"/>
                <w:color w:val="auto"/>
                <w:sz w:val="24"/>
                <w:szCs w:val="24"/>
              </w:rPr>
              <w:t xml:space="preserve"> </w:t>
            </w:r>
            <w:r w:rsidRPr="00525CAC">
              <w:rPr>
                <w:rFonts w:asciiTheme="minorHAnsi" w:hAnsiTheme="minorHAnsi" w:cstheme="minorHAnsi"/>
                <w:i w:val="0"/>
                <w:color w:val="auto"/>
                <w:sz w:val="24"/>
                <w:szCs w:val="24"/>
              </w:rPr>
              <w:t>dostępność spójnej sieci  komunikacyjnej, zapewniającej zrównoważoną mobilność</w:t>
            </w:r>
            <w:r w:rsidR="002E2C88" w:rsidRPr="00525CAC">
              <w:rPr>
                <w:rFonts w:asciiTheme="minorHAnsi" w:hAnsiTheme="minorHAnsi" w:cstheme="minorHAnsi"/>
                <w:i w:val="0"/>
                <w:color w:val="auto"/>
                <w:sz w:val="24"/>
                <w:szCs w:val="24"/>
              </w:rPr>
              <w:t xml:space="preserve">, </w:t>
            </w:r>
            <w:r w:rsidRPr="00525CAC">
              <w:rPr>
                <w:rFonts w:asciiTheme="minorHAnsi" w:hAnsiTheme="minorHAnsi" w:cstheme="minorHAnsi"/>
                <w:i w:val="0"/>
                <w:color w:val="auto"/>
                <w:sz w:val="24"/>
                <w:szCs w:val="24"/>
              </w:rPr>
              <w:t xml:space="preserve">jest jednym z czynników wpływających na rozwój społeczno-gospodarczy obszaru ZIT,  </w:t>
            </w:r>
            <w:r w:rsidR="00173E0D" w:rsidRPr="00525CAC">
              <w:rPr>
                <w:rFonts w:asciiTheme="minorHAnsi" w:hAnsiTheme="minorHAnsi" w:cstheme="minorHAnsi"/>
                <w:i w:val="0"/>
                <w:color w:val="auto"/>
                <w:sz w:val="24"/>
                <w:szCs w:val="24"/>
              </w:rPr>
              <w:t>przyczyniając się do rozwoju i  </w:t>
            </w:r>
            <w:r w:rsidRPr="00525CAC">
              <w:rPr>
                <w:rFonts w:asciiTheme="minorHAnsi" w:hAnsiTheme="minorHAnsi" w:cstheme="minorHAnsi"/>
                <w:i w:val="0"/>
                <w:color w:val="auto"/>
                <w:sz w:val="24"/>
                <w:szCs w:val="24"/>
              </w:rPr>
              <w:t>wzm</w:t>
            </w:r>
            <w:r w:rsidR="00FD61C3" w:rsidRPr="00525CAC">
              <w:rPr>
                <w:rFonts w:asciiTheme="minorHAnsi" w:hAnsiTheme="minorHAnsi" w:cstheme="minorHAnsi"/>
                <w:i w:val="0"/>
                <w:color w:val="auto"/>
                <w:sz w:val="24"/>
                <w:szCs w:val="24"/>
              </w:rPr>
              <w:t>acniania powiązań między gminami (…).</w:t>
            </w:r>
            <w:r w:rsidR="002E2C88" w:rsidRPr="00525CAC">
              <w:rPr>
                <w:rFonts w:asciiTheme="minorHAnsi" w:hAnsiTheme="minorHAnsi" w:cstheme="minorHAnsi"/>
                <w:i w:val="0"/>
                <w:color w:val="auto"/>
                <w:sz w:val="24"/>
                <w:szCs w:val="24"/>
              </w:rPr>
              <w:t xml:space="preserve"> </w:t>
            </w:r>
            <w:r w:rsidRPr="00525CAC">
              <w:rPr>
                <w:rFonts w:asciiTheme="minorHAnsi" w:hAnsiTheme="minorHAnsi" w:cs="Arial"/>
                <w:bCs/>
                <w:i w:val="0"/>
                <w:color w:val="auto"/>
                <w:sz w:val="24"/>
                <w:szCs w:val="24"/>
              </w:rPr>
              <w:t xml:space="preserve">Nadmienić należy, że pomimo  </w:t>
            </w:r>
            <w:r w:rsidRPr="00525CAC">
              <w:rPr>
                <w:rFonts w:asciiTheme="minorHAnsi" w:hAnsiTheme="minorHAnsi" w:cstheme="minorHAnsi"/>
                <w:i w:val="0"/>
                <w:color w:val="auto"/>
                <w:sz w:val="24"/>
                <w:szCs w:val="24"/>
              </w:rPr>
              <w:t xml:space="preserve">dostępności komunikacyjnej obszaru  </w:t>
            </w:r>
            <w:r w:rsidR="00E2136A" w:rsidRPr="00525CAC">
              <w:rPr>
                <w:rFonts w:asciiTheme="minorHAnsi" w:hAnsiTheme="minorHAnsi" w:cstheme="minorHAnsi"/>
                <w:i w:val="0"/>
                <w:color w:val="auto"/>
                <w:sz w:val="24"/>
                <w:szCs w:val="24"/>
              </w:rPr>
              <w:t>(z uwagi na obecność wielu systemów transportu: drogowego, kolejowego, tramwajowego,  lotniczego i rowerowego</w:t>
            </w:r>
            <w:r w:rsidRPr="00525CAC">
              <w:rPr>
                <w:rFonts w:asciiTheme="minorHAnsi" w:hAnsiTheme="minorHAnsi" w:cstheme="minorHAnsi"/>
                <w:i w:val="0"/>
                <w:color w:val="auto"/>
                <w:sz w:val="24"/>
                <w:szCs w:val="24"/>
              </w:rPr>
              <w:t>) nadal występuje problem niedostatecznego poziomu skomunikowania wewnątrz gmin WrOF.</w:t>
            </w:r>
            <w:r w:rsidR="006E0717" w:rsidRPr="00525CAC">
              <w:rPr>
                <w:rFonts w:asciiTheme="minorHAnsi" w:hAnsiTheme="minorHAnsi" w:cstheme="minorHAnsi"/>
                <w:i w:val="0"/>
                <w:color w:val="auto"/>
                <w:sz w:val="24"/>
                <w:szCs w:val="24"/>
              </w:rPr>
              <w:t xml:space="preserve"> </w:t>
            </w:r>
            <w:r w:rsidR="002C1699" w:rsidRPr="00525CAC">
              <w:rPr>
                <w:i w:val="0"/>
                <w:color w:val="auto"/>
                <w:sz w:val="24"/>
                <w:szCs w:val="24"/>
              </w:rPr>
              <w:t xml:space="preserve">Cyfryzacja pozwoli zoptymalizować poziom wykorzystania transportu publicznego oraz pomoże w identyfikacji obszarów problemowych i preferencji mieszkańców, co przełoży się na sprawne zarządzanie ruchem. </w:t>
            </w:r>
            <w:r w:rsidR="00FA45E8" w:rsidRPr="00525CAC">
              <w:rPr>
                <w:i w:val="0"/>
                <w:color w:val="auto"/>
                <w:sz w:val="24"/>
                <w:szCs w:val="24"/>
              </w:rPr>
              <w:t>P</w:t>
            </w:r>
            <w:r w:rsidRPr="00525CAC">
              <w:rPr>
                <w:rFonts w:asciiTheme="minorHAnsi" w:hAnsiTheme="minorHAnsi" w:cs="Arial"/>
                <w:bCs/>
                <w:i w:val="0"/>
                <w:color w:val="auto"/>
                <w:sz w:val="24"/>
                <w:szCs w:val="24"/>
              </w:rPr>
              <w:t>onadto w  opisie analizy obszaru mobilności wskazano, że</w:t>
            </w:r>
            <w:r w:rsidRPr="00525CAC">
              <w:rPr>
                <w:rFonts w:asciiTheme="minorHAnsi" w:hAnsiTheme="minorHAnsi" w:cstheme="minorHAnsi"/>
                <w:i w:val="0"/>
                <w:color w:val="auto"/>
                <w:sz w:val="24"/>
                <w:szCs w:val="24"/>
              </w:rPr>
              <w:t xml:space="preserve"> na obszarze ZIT obowiązują dwa dokumenty:</w:t>
            </w:r>
            <w:r w:rsidR="006E0717" w:rsidRPr="00525CAC">
              <w:rPr>
                <w:rFonts w:asciiTheme="minorHAnsi" w:hAnsiTheme="minorHAnsi" w:cstheme="minorHAnsi"/>
                <w:i w:val="0"/>
                <w:color w:val="auto"/>
                <w:sz w:val="24"/>
                <w:szCs w:val="24"/>
              </w:rPr>
              <w:t xml:space="preserve"> </w:t>
            </w:r>
            <w:r w:rsidRPr="00525CAC">
              <w:rPr>
                <w:rFonts w:asciiTheme="minorHAnsi" w:hAnsiTheme="minorHAnsi" w:cstheme="minorHAnsi"/>
                <w:i w:val="0"/>
                <w:sz w:val="24"/>
                <w:szCs w:val="24"/>
              </w:rPr>
              <w:t>Plan Zrównoważonej Mobilności Miejskiej dla Wrocławia oraz Plan Zrównoważonej Mobilności dla Miejskiego Obsza</w:t>
            </w:r>
            <w:r w:rsidR="006E0717" w:rsidRPr="00525CAC">
              <w:rPr>
                <w:rFonts w:asciiTheme="minorHAnsi" w:hAnsiTheme="minorHAnsi" w:cstheme="minorHAnsi"/>
                <w:i w:val="0"/>
                <w:sz w:val="24"/>
                <w:szCs w:val="24"/>
              </w:rPr>
              <w:t>ru Funkcjonalnego Wrocławia. Są </w:t>
            </w:r>
            <w:r w:rsidRPr="00525CAC">
              <w:rPr>
                <w:rFonts w:asciiTheme="minorHAnsi" w:hAnsiTheme="minorHAnsi" w:cstheme="minorHAnsi"/>
                <w:i w:val="0"/>
                <w:sz w:val="24"/>
                <w:szCs w:val="24"/>
              </w:rPr>
              <w:t xml:space="preserve">one względem siebie komplementarne oraz wskazują kierunki rozwoju oraz działania, które zostaną podjęte w celu osiągnięcia zrównoważonej mobilności miejskiej. </w:t>
            </w:r>
          </w:p>
          <w:p w:rsidR="00833A04" w:rsidRPr="00525CAC" w:rsidRDefault="00D61B18" w:rsidP="00525CAC">
            <w:pPr>
              <w:spacing w:line="240" w:lineRule="auto"/>
              <w:jc w:val="left"/>
              <w:rPr>
                <w:rFonts w:cs="Calibri"/>
                <w:sz w:val="24"/>
                <w:szCs w:val="24"/>
              </w:rPr>
            </w:pPr>
            <w:r w:rsidRPr="00525CAC">
              <w:rPr>
                <w:rFonts w:cs="Calibri"/>
                <w:sz w:val="24"/>
                <w:szCs w:val="24"/>
              </w:rPr>
              <w:t xml:space="preserve">W części Kluczowe Wyzwania Strategiczne wskazano: </w:t>
            </w:r>
          </w:p>
          <w:p w:rsidR="00833A04" w:rsidRPr="00525CAC" w:rsidRDefault="00D61B18" w:rsidP="00525CAC">
            <w:pPr>
              <w:pStyle w:val="Akapitzlist"/>
              <w:numPr>
                <w:ilvl w:val="0"/>
                <w:numId w:val="47"/>
              </w:numPr>
              <w:spacing w:line="240" w:lineRule="auto"/>
              <w:jc w:val="left"/>
              <w:rPr>
                <w:rFonts w:cs="Calibri"/>
                <w:sz w:val="24"/>
                <w:szCs w:val="24"/>
              </w:rPr>
            </w:pPr>
            <w:r w:rsidRPr="00525CAC">
              <w:rPr>
                <w:rFonts w:cs="Calibri"/>
                <w:sz w:val="24"/>
                <w:szCs w:val="24"/>
              </w:rPr>
              <w:t>Rozwój transportu zbiorowego oraz jego integracja systemowa w ramach obs</w:t>
            </w:r>
            <w:r w:rsidR="006E0717" w:rsidRPr="00525CAC">
              <w:rPr>
                <w:rFonts w:cs="Calibri"/>
                <w:sz w:val="24"/>
                <w:szCs w:val="24"/>
              </w:rPr>
              <w:t>zaru funkcjonalnego</w:t>
            </w:r>
            <w:r w:rsidRPr="00525CAC">
              <w:rPr>
                <w:rFonts w:cs="Calibri"/>
                <w:sz w:val="24"/>
                <w:szCs w:val="24"/>
              </w:rPr>
              <w:t>. Takie działanie  znacząco wpłynie na poprawę spójności  przestrzennej we WrOF oraz podniesie jakości życia mieszkańców. Należy zintegrować transport kolejowy i tramwajowy z transportem autobusowym (także z uwzględnieniem integracji w</w:t>
            </w:r>
            <w:r w:rsidR="00FD61C3" w:rsidRPr="00525CAC">
              <w:rPr>
                <w:rFonts w:cs="Calibri"/>
                <w:sz w:val="24"/>
                <w:szCs w:val="24"/>
              </w:rPr>
              <w:t xml:space="preserve"> zakresie rozkładów jazdy) </w:t>
            </w:r>
          </w:p>
          <w:p w:rsidR="00833A04" w:rsidRPr="00525CAC" w:rsidRDefault="00833A04" w:rsidP="00525CAC">
            <w:pPr>
              <w:spacing w:line="240" w:lineRule="auto"/>
              <w:jc w:val="left"/>
              <w:rPr>
                <w:rFonts w:cs="Calibri"/>
                <w:sz w:val="24"/>
                <w:szCs w:val="24"/>
              </w:rPr>
            </w:pPr>
          </w:p>
          <w:p w:rsidR="00833A04" w:rsidRPr="00525CAC" w:rsidRDefault="00D61B18" w:rsidP="00525CAC">
            <w:pPr>
              <w:spacing w:line="240" w:lineRule="auto"/>
              <w:jc w:val="left"/>
              <w:rPr>
                <w:bCs/>
                <w:color w:val="FF0000"/>
                <w:sz w:val="24"/>
                <w:szCs w:val="24"/>
              </w:rPr>
            </w:pPr>
            <w:r w:rsidRPr="00525CAC">
              <w:rPr>
                <w:rFonts w:cs="Arial"/>
                <w:bCs/>
                <w:sz w:val="24"/>
                <w:szCs w:val="24"/>
              </w:rPr>
              <w:t xml:space="preserve">Ponadto wiązka realizuje zapisy PZM MOFW.  </w:t>
            </w:r>
          </w:p>
          <w:p w:rsidR="00833A04" w:rsidRPr="00525CAC" w:rsidRDefault="00D61B18" w:rsidP="00525CAC">
            <w:pPr>
              <w:spacing w:line="240" w:lineRule="auto"/>
              <w:jc w:val="left"/>
              <w:rPr>
                <w:rFonts w:cs="Arial"/>
                <w:sz w:val="24"/>
                <w:szCs w:val="24"/>
              </w:rPr>
            </w:pPr>
            <w:r w:rsidRPr="00525CAC">
              <w:rPr>
                <w:rFonts w:cs="Arial"/>
                <w:bCs/>
                <w:sz w:val="24"/>
                <w:szCs w:val="24"/>
              </w:rPr>
              <w:t xml:space="preserve">Zaproponowane projekt wprost odpowiadają na wyzwania i cele zwarte w </w:t>
            </w:r>
            <w:r w:rsidRPr="00525CAC">
              <w:rPr>
                <w:rFonts w:cs="Arial"/>
                <w:bCs/>
                <w:sz w:val="24"/>
                <w:szCs w:val="24"/>
                <w:u w:val="single"/>
              </w:rPr>
              <w:t>PZM MOFW, który integruje wszystkie działania dotyczące mobilności na terenie  MOFW.</w:t>
            </w:r>
          </w:p>
          <w:p w:rsidR="00833A04" w:rsidRPr="00525CAC" w:rsidRDefault="00D61B18" w:rsidP="00525CAC">
            <w:pPr>
              <w:spacing w:line="240" w:lineRule="auto"/>
              <w:jc w:val="left"/>
              <w:rPr>
                <w:b/>
                <w:sz w:val="24"/>
                <w:szCs w:val="24"/>
              </w:rPr>
            </w:pPr>
            <w:r w:rsidRPr="00525CAC">
              <w:rPr>
                <w:bCs/>
                <w:sz w:val="24"/>
                <w:szCs w:val="24"/>
              </w:rPr>
              <w:t xml:space="preserve">Budowa nowych tras tramwajowych wraz z infrastrukturą np. pętlami, P&amp;R itd. </w:t>
            </w:r>
            <w:r w:rsidR="009D2E42" w:rsidRPr="00525CAC">
              <w:rPr>
                <w:bCs/>
                <w:sz w:val="24"/>
                <w:szCs w:val="24"/>
              </w:rPr>
              <w:t xml:space="preserve">oraz </w:t>
            </w:r>
            <w:r w:rsidR="004A4951" w:rsidRPr="00525CAC">
              <w:rPr>
                <w:bCs/>
                <w:sz w:val="24"/>
                <w:szCs w:val="24"/>
              </w:rPr>
              <w:t>rozwój zintegrowanego systemu ITS wpisują</w:t>
            </w:r>
            <w:r w:rsidRPr="00525CAC">
              <w:rPr>
                <w:bCs/>
                <w:sz w:val="24"/>
                <w:szCs w:val="24"/>
              </w:rPr>
              <w:t xml:space="preserve"> się w Cel nadrzędny PZM MOFW tj. </w:t>
            </w:r>
            <w:r w:rsidRPr="00525CAC">
              <w:rPr>
                <w:b/>
                <w:sz w:val="24"/>
                <w:szCs w:val="24"/>
              </w:rPr>
              <w:t xml:space="preserve">Poprawa dostępności transportowej. </w:t>
            </w:r>
            <w:r w:rsidRPr="00525CAC">
              <w:rPr>
                <w:sz w:val="24"/>
                <w:szCs w:val="24"/>
              </w:rPr>
              <w:t xml:space="preserve">Ponadto </w:t>
            </w:r>
            <w:r w:rsidRPr="00525CAC">
              <w:rPr>
                <w:bCs/>
                <w:sz w:val="24"/>
                <w:szCs w:val="24"/>
              </w:rPr>
              <w:t xml:space="preserve">jest ujęta w </w:t>
            </w:r>
            <w:r w:rsidRPr="00525CAC">
              <w:rPr>
                <w:rFonts w:cs="Arial"/>
                <w:bCs/>
                <w:sz w:val="24"/>
                <w:szCs w:val="24"/>
              </w:rPr>
              <w:t xml:space="preserve">Celu szczegółowym 2:  </w:t>
            </w:r>
            <w:r w:rsidRPr="00525CAC">
              <w:rPr>
                <w:rFonts w:cs="Arial"/>
                <w:b/>
                <w:bCs/>
                <w:sz w:val="24"/>
                <w:szCs w:val="24"/>
              </w:rPr>
              <w:t xml:space="preserve">Zwiększenie konkurencyjności transportu </w:t>
            </w:r>
            <w:proofErr w:type="spellStart"/>
            <w:r w:rsidRPr="00525CAC">
              <w:rPr>
                <w:rFonts w:cs="Arial"/>
                <w:b/>
                <w:bCs/>
                <w:sz w:val="24"/>
                <w:szCs w:val="24"/>
              </w:rPr>
              <w:t>niesamochodowego</w:t>
            </w:r>
            <w:proofErr w:type="spellEnd"/>
            <w:r w:rsidRPr="00525CAC">
              <w:rPr>
                <w:rFonts w:cs="Arial"/>
                <w:b/>
                <w:bCs/>
                <w:sz w:val="24"/>
                <w:szCs w:val="24"/>
              </w:rPr>
              <w:t xml:space="preserve"> w codziennych przemieszczeniach w obszarze MOFW</w:t>
            </w:r>
            <w:r w:rsidRPr="00525CAC">
              <w:rPr>
                <w:rFonts w:cs="Arial"/>
                <w:bCs/>
                <w:sz w:val="24"/>
                <w:szCs w:val="24"/>
              </w:rPr>
              <w:t xml:space="preserve">, gdzie </w:t>
            </w:r>
            <w:r w:rsidR="004A4951" w:rsidRPr="00525CAC">
              <w:rPr>
                <w:rFonts w:cs="Arial"/>
                <w:bCs/>
                <w:sz w:val="24"/>
                <w:szCs w:val="24"/>
              </w:rPr>
              <w:t xml:space="preserve">ujęto pakiety działań: </w:t>
            </w:r>
            <w:r w:rsidRPr="00525CAC">
              <w:rPr>
                <w:rFonts w:cs="Arial"/>
                <w:bCs/>
                <w:sz w:val="24"/>
                <w:szCs w:val="24"/>
              </w:rPr>
              <w:t xml:space="preserve">  „Int</w:t>
            </w:r>
            <w:r w:rsidR="004A4951" w:rsidRPr="00525CAC">
              <w:rPr>
                <w:rFonts w:cs="Arial"/>
                <w:bCs/>
                <w:sz w:val="24"/>
                <w:szCs w:val="24"/>
              </w:rPr>
              <w:t>egracja transportu publicznego” oraz „Cyfryzacja transpo</w:t>
            </w:r>
            <w:r w:rsidR="007C017C" w:rsidRPr="00525CAC">
              <w:rPr>
                <w:rFonts w:cs="Arial"/>
                <w:bCs/>
                <w:sz w:val="24"/>
                <w:szCs w:val="24"/>
              </w:rPr>
              <w:t>rtu, otwarte dane, informacja w </w:t>
            </w:r>
            <w:r w:rsidR="004A4951" w:rsidRPr="00525CAC">
              <w:rPr>
                <w:rFonts w:cs="Arial"/>
                <w:bCs/>
                <w:sz w:val="24"/>
                <w:szCs w:val="24"/>
              </w:rPr>
              <w:t xml:space="preserve">czasie rzeczywistym”. </w:t>
            </w:r>
          </w:p>
          <w:p w:rsidR="00800FAF" w:rsidRPr="00525CAC" w:rsidRDefault="00D61B18" w:rsidP="00525CAC">
            <w:pPr>
              <w:spacing w:line="240" w:lineRule="auto"/>
              <w:jc w:val="left"/>
              <w:rPr>
                <w:rFonts w:cs="Arial"/>
                <w:bCs/>
                <w:sz w:val="24"/>
                <w:szCs w:val="24"/>
              </w:rPr>
            </w:pPr>
            <w:r w:rsidRPr="00525CAC">
              <w:rPr>
                <w:bCs/>
                <w:sz w:val="24"/>
                <w:szCs w:val="24"/>
              </w:rPr>
              <w:t xml:space="preserve">W </w:t>
            </w:r>
            <w:r w:rsidRPr="00525CAC">
              <w:rPr>
                <w:b/>
                <w:bCs/>
                <w:sz w:val="24"/>
                <w:szCs w:val="24"/>
              </w:rPr>
              <w:t>Rekomendacjach</w:t>
            </w:r>
            <w:r w:rsidRPr="00525CAC">
              <w:rPr>
                <w:bCs/>
                <w:sz w:val="24"/>
                <w:szCs w:val="24"/>
              </w:rPr>
              <w:t xml:space="preserve"> dla Miasta rdzenia (Wrocław) ujęto rozszerzenie zasięgu obsługi szynowej – wyd</w:t>
            </w:r>
            <w:r w:rsidR="00D31F75" w:rsidRPr="00525CAC">
              <w:rPr>
                <w:bCs/>
                <w:sz w:val="24"/>
                <w:szCs w:val="24"/>
              </w:rPr>
              <w:t>łużani</w:t>
            </w:r>
            <w:r w:rsidR="00967FB8" w:rsidRPr="00525CAC">
              <w:rPr>
                <w:bCs/>
                <w:sz w:val="24"/>
                <w:szCs w:val="24"/>
              </w:rPr>
              <w:t>e sieci tras tramwajowych oraz r</w:t>
            </w:r>
            <w:r w:rsidR="00D31F75" w:rsidRPr="00525CAC">
              <w:rPr>
                <w:bCs/>
                <w:sz w:val="24"/>
                <w:szCs w:val="24"/>
              </w:rPr>
              <w:t>ozwijanie Inteligentnego Systemu  Transportowego.</w:t>
            </w:r>
            <w:r w:rsidRPr="00525CAC">
              <w:rPr>
                <w:bCs/>
                <w:sz w:val="24"/>
                <w:szCs w:val="24"/>
              </w:rPr>
              <w:t xml:space="preserve"> W PZM MOFW w</w:t>
            </w:r>
            <w:r w:rsidR="007C017C" w:rsidRPr="00525CAC">
              <w:rPr>
                <w:bCs/>
                <w:sz w:val="24"/>
                <w:szCs w:val="24"/>
              </w:rPr>
              <w:t>skazano, że </w:t>
            </w:r>
            <w:r w:rsidR="001C2CD0" w:rsidRPr="00525CAC">
              <w:rPr>
                <w:bCs/>
                <w:sz w:val="24"/>
                <w:szCs w:val="24"/>
              </w:rPr>
              <w:t xml:space="preserve">kluczowym aspektem </w:t>
            </w:r>
            <w:r w:rsidRPr="00525CAC">
              <w:rPr>
                <w:bCs/>
                <w:sz w:val="24"/>
                <w:szCs w:val="24"/>
              </w:rPr>
              <w:t>są działania prowadzące do zintegrowania transportu szynowego na obszarze MOFW z innymi podsystemami transportowymi. Kręgosłupem transportu publicznego w MOFW powinny być połączenia szynowe, tj. kolejowe w przypadku połączeń o charakt</w:t>
            </w:r>
            <w:r w:rsidR="00236834" w:rsidRPr="00525CAC">
              <w:rPr>
                <w:bCs/>
                <w:sz w:val="24"/>
                <w:szCs w:val="24"/>
              </w:rPr>
              <w:t>erze lokalnym oraz tramwajowe w </w:t>
            </w:r>
            <w:r w:rsidRPr="00525CAC">
              <w:rPr>
                <w:bCs/>
                <w:sz w:val="24"/>
                <w:szCs w:val="24"/>
              </w:rPr>
              <w:t xml:space="preserve">przypadku Wrocławia wydłużone do granic miasta. </w:t>
            </w:r>
          </w:p>
        </w:tc>
      </w:tr>
    </w:tbl>
    <w:p w:rsidR="00ED1504" w:rsidRDefault="00ED1504" w:rsidP="00340206">
      <w:pPr>
        <w:jc w:val="left"/>
      </w:pPr>
    </w:p>
    <w:p w:rsidR="009923BB" w:rsidRPr="0087010C" w:rsidRDefault="009923BB" w:rsidP="00340206">
      <w:pPr>
        <w:jc w:val="left"/>
        <w:sectPr w:rsidR="009923BB" w:rsidRPr="0087010C" w:rsidSect="00B61BA4">
          <w:pgSz w:w="11906" w:h="16838"/>
          <w:pgMar w:top="1417" w:right="1417" w:bottom="1417" w:left="1417" w:header="708" w:footer="708" w:gutter="0"/>
          <w:cols w:space="708"/>
          <w:docGrid w:linePitch="360"/>
        </w:sectPr>
      </w:pPr>
    </w:p>
    <w:p w:rsidR="004A0007" w:rsidRPr="00525CAC" w:rsidRDefault="00E04558" w:rsidP="00525CAC">
      <w:pPr>
        <w:pStyle w:val="Nagwek2"/>
      </w:pPr>
      <w:bookmarkStart w:id="168" w:name="_Toc143673227"/>
      <w:r w:rsidRPr="00525CAC">
        <w:t>IV.3</w:t>
      </w:r>
      <w:r w:rsidR="006E0717" w:rsidRPr="00525CAC">
        <w:t xml:space="preserve"> </w:t>
      </w:r>
      <w:r w:rsidR="00C919BB" w:rsidRPr="00525CAC">
        <w:t xml:space="preserve">Lista projektów wybieranych w </w:t>
      </w:r>
      <w:r w:rsidR="00820BB8" w:rsidRPr="00525CAC">
        <w:t>trybie</w:t>
      </w:r>
      <w:r w:rsidR="00C919BB" w:rsidRPr="00525CAC">
        <w:t xml:space="preserve"> niekonkurencyjny</w:t>
      </w:r>
      <w:r w:rsidR="00820BB8" w:rsidRPr="00525CAC">
        <w:t>m</w:t>
      </w:r>
      <w:bookmarkEnd w:id="168"/>
    </w:p>
    <w:p w:rsidR="003C187F" w:rsidRPr="00525CAC" w:rsidRDefault="003C187F" w:rsidP="00525CAC">
      <w:pPr>
        <w:spacing w:after="0"/>
        <w:jc w:val="left"/>
        <w:rPr>
          <w:sz w:val="24"/>
        </w:rPr>
      </w:pPr>
      <w:r w:rsidRPr="00525CAC">
        <w:rPr>
          <w:sz w:val="24"/>
        </w:rPr>
        <w:t xml:space="preserve">W rozdziale przedstawiono w formie tabelarycznej wszystkie projekty realizowane w ramach poszczególnych przedsięwzięć zintegrowanych przewidzianych do realizacji w ramach Strategii ZIT WrOF 2021-2027. </w:t>
      </w:r>
    </w:p>
    <w:p w:rsidR="000165A1" w:rsidRPr="002F3FDC" w:rsidRDefault="00292BDA" w:rsidP="00525CAC">
      <w:pPr>
        <w:pStyle w:val="Nagwek3"/>
      </w:pPr>
      <w:bookmarkStart w:id="169" w:name="_Toc143673228"/>
      <w:r w:rsidRPr="002F3FDC">
        <w:t>IV.3.</w:t>
      </w:r>
      <w:r w:rsidR="00E36EE1" w:rsidRPr="002F3FDC">
        <w:t>1</w:t>
      </w:r>
      <w:r w:rsidR="006E0717">
        <w:t xml:space="preserve"> </w:t>
      </w:r>
      <w:r w:rsidR="00B10C2A" w:rsidRPr="002F3FDC">
        <w:t xml:space="preserve">Lista projektów podstawowych </w:t>
      </w:r>
      <w:r w:rsidR="005A7729" w:rsidRPr="002F3FDC">
        <w:t xml:space="preserve">wybieranych w </w:t>
      </w:r>
      <w:r w:rsidR="00820BB8" w:rsidRPr="002F3FDC">
        <w:t>trybie</w:t>
      </w:r>
      <w:r w:rsidR="005A7729" w:rsidRPr="002F3FDC">
        <w:t xml:space="preserve"> niekonkurencyjny</w:t>
      </w:r>
      <w:r w:rsidR="00820BB8" w:rsidRPr="002F3FDC">
        <w:t>m</w:t>
      </w:r>
      <w:r w:rsidR="005A7729" w:rsidRPr="002F3FDC">
        <w:t xml:space="preserve"> finansowanych z FEDS 2021-2027</w:t>
      </w:r>
      <w:bookmarkEnd w:id="169"/>
    </w:p>
    <w:tbl>
      <w:tblPr>
        <w:tblStyle w:val="Tabela-Siatka"/>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Lista projektów podstawowych wybieranych w trybie niekonkurencyjnym finansowanych z FEDS 2021-2027"/>
        <w:tblDescription w:val="Lista projektów podstawowych wybieranych w trybie niekonkurencyjnym finansowanych z FEDS 2021-2027"/>
      </w:tblPr>
      <w:tblGrid>
        <w:gridCol w:w="13992"/>
      </w:tblGrid>
      <w:tr w:rsidR="00525CAC" w:rsidRPr="00CB6D03" w:rsidTr="00525CAC">
        <w:trPr>
          <w:trHeight w:val="454"/>
          <w:tblHeader/>
          <w:jc w:val="center"/>
        </w:trPr>
        <w:tc>
          <w:tcPr>
            <w:tcW w:w="14004" w:type="dxa"/>
            <w:shd w:val="clear" w:color="auto" w:fill="F2F2F2" w:themeFill="background1" w:themeFillShade="F2"/>
            <w:vAlign w:val="center"/>
          </w:tcPr>
          <w:p w:rsidR="00525CAC" w:rsidRPr="00CB6D03" w:rsidRDefault="00525CAC" w:rsidP="00CB6D03">
            <w:pPr>
              <w:spacing w:line="240" w:lineRule="auto"/>
              <w:jc w:val="left"/>
              <w:rPr>
                <w:rFonts w:eastAsia="Calibri" w:cstheme="minorHAnsi"/>
                <w:b/>
                <w:bCs/>
                <w:color w:val="000000" w:themeColor="text1"/>
                <w:sz w:val="24"/>
                <w:szCs w:val="24"/>
              </w:rPr>
            </w:pPr>
            <w:r w:rsidRPr="00CB6D03">
              <w:rPr>
                <w:b/>
                <w:color w:val="000000" w:themeColor="text1"/>
                <w:sz w:val="24"/>
                <w:szCs w:val="24"/>
              </w:rPr>
              <w:t>Lista projektów podstawowych wybieranych w trybie niekonkurencyjnym finansowanych z FEDS 2021-2027</w:t>
            </w:r>
          </w:p>
        </w:tc>
      </w:tr>
      <w:tr w:rsidR="009E310E" w:rsidRPr="00525CAC" w:rsidTr="00CB6D03">
        <w:trPr>
          <w:trHeight w:val="387"/>
          <w:jc w:val="center"/>
        </w:trPr>
        <w:tc>
          <w:tcPr>
            <w:tcW w:w="14004" w:type="dxa"/>
            <w:shd w:val="clear" w:color="auto" w:fill="F2F2F2" w:themeFill="background1" w:themeFillShade="F2"/>
            <w:vAlign w:val="center"/>
            <w:hideMark/>
          </w:tcPr>
          <w:p w:rsidR="009E310E" w:rsidRPr="00CB6D03" w:rsidRDefault="00E7052C" w:rsidP="00CB6D03">
            <w:pPr>
              <w:spacing w:line="240" w:lineRule="auto"/>
              <w:jc w:val="left"/>
              <w:rPr>
                <w:rFonts w:eastAsia="Calibri" w:cstheme="minorHAnsi"/>
                <w:bCs/>
                <w:sz w:val="24"/>
                <w:szCs w:val="24"/>
              </w:rPr>
            </w:pPr>
            <w:r w:rsidRPr="00CB6D03">
              <w:rPr>
                <w:rFonts w:eastAsia="Calibri" w:cstheme="minorHAnsi"/>
                <w:bCs/>
                <w:sz w:val="24"/>
                <w:szCs w:val="24"/>
              </w:rPr>
              <w:t>Wiązka projektów 1: Rozwój usług społecznych na terenie Wrocławskiego Obszaru Funkcjonalnego</w:t>
            </w:r>
          </w:p>
        </w:tc>
      </w:tr>
      <w:tr w:rsidR="009E310E" w:rsidRPr="00525CAC" w:rsidTr="00525CAC">
        <w:trPr>
          <w:trHeight w:val="113"/>
          <w:jc w:val="center"/>
        </w:trPr>
        <w:tc>
          <w:tcPr>
            <w:tcW w:w="14004" w:type="dxa"/>
            <w:shd w:val="clear" w:color="auto" w:fill="auto"/>
            <w:vAlign w:val="center"/>
            <w:hideMark/>
          </w:tcPr>
          <w:p w:rsidR="009E310E" w:rsidRPr="00CB6D03" w:rsidRDefault="00E7052C" w:rsidP="00CB6D03">
            <w:pPr>
              <w:pStyle w:val="Akapitzlist"/>
              <w:numPr>
                <w:ilvl w:val="0"/>
                <w:numId w:val="47"/>
              </w:numPr>
              <w:spacing w:line="240" w:lineRule="auto"/>
              <w:ind w:left="709" w:hanging="283"/>
              <w:jc w:val="left"/>
              <w:rPr>
                <w:rFonts w:eastAsia="Calibri" w:cstheme="minorHAnsi"/>
                <w:bCs/>
                <w:sz w:val="24"/>
                <w:szCs w:val="24"/>
              </w:rPr>
            </w:pPr>
            <w:r w:rsidRPr="00CB6D03">
              <w:rPr>
                <w:rFonts w:cstheme="minorHAnsi"/>
                <w:color w:val="000000"/>
                <w:sz w:val="24"/>
                <w:szCs w:val="24"/>
              </w:rPr>
              <w:t>Razem łatwiej. Wrocławski asystent osobisty osoby z niepełnosprawnością.</w:t>
            </w:r>
          </w:p>
          <w:p w:rsidR="00E7052C" w:rsidRPr="00CB6D03" w:rsidRDefault="00E7052C" w:rsidP="00CB6D03">
            <w:pPr>
              <w:pStyle w:val="Akapitzlist"/>
              <w:numPr>
                <w:ilvl w:val="0"/>
                <w:numId w:val="47"/>
              </w:numPr>
              <w:spacing w:line="240" w:lineRule="auto"/>
              <w:ind w:left="709" w:hanging="283"/>
              <w:jc w:val="left"/>
              <w:rPr>
                <w:rFonts w:eastAsia="Calibri" w:cstheme="minorHAnsi"/>
                <w:bCs/>
                <w:sz w:val="24"/>
                <w:szCs w:val="24"/>
              </w:rPr>
            </w:pPr>
            <w:r w:rsidRPr="00CB6D03">
              <w:rPr>
                <w:rFonts w:eastAsia="Calibri" w:cstheme="minorHAnsi"/>
                <w:bCs/>
                <w:sz w:val="24"/>
                <w:szCs w:val="24"/>
              </w:rPr>
              <w:t>Usługi społeczne w Gminie Kąty Wrocławskie i Gminie Sobótka.</w:t>
            </w:r>
          </w:p>
          <w:p w:rsidR="00E7052C" w:rsidRPr="00CB6D03" w:rsidRDefault="00E7052C" w:rsidP="00CB6D03">
            <w:pPr>
              <w:pStyle w:val="Akapitzlist"/>
              <w:numPr>
                <w:ilvl w:val="0"/>
                <w:numId w:val="47"/>
              </w:numPr>
              <w:spacing w:line="240" w:lineRule="auto"/>
              <w:ind w:left="709" w:hanging="283"/>
              <w:jc w:val="left"/>
              <w:rPr>
                <w:rFonts w:eastAsia="Calibri" w:cstheme="minorHAnsi"/>
                <w:bCs/>
                <w:sz w:val="24"/>
                <w:szCs w:val="24"/>
              </w:rPr>
            </w:pPr>
            <w:r w:rsidRPr="00CB6D03">
              <w:rPr>
                <w:rFonts w:eastAsia="Calibri" w:cstheme="minorHAnsi"/>
                <w:bCs/>
                <w:sz w:val="24"/>
                <w:szCs w:val="24"/>
              </w:rPr>
              <w:t>Usługi społeczne w gminach Długołęka, Dobroszyce, Kobierzyce, Miękinia, Oborniki Śląskie, Oleśnica (miasto), Wisznia Mała, Zawonia</w:t>
            </w:r>
          </w:p>
          <w:p w:rsidR="00E7052C" w:rsidRPr="00CB6D03" w:rsidRDefault="00E7052C" w:rsidP="00CB6D03">
            <w:pPr>
              <w:pStyle w:val="Akapitzlist"/>
              <w:numPr>
                <w:ilvl w:val="0"/>
                <w:numId w:val="47"/>
              </w:numPr>
              <w:spacing w:line="240" w:lineRule="auto"/>
              <w:ind w:left="709" w:hanging="283"/>
              <w:jc w:val="left"/>
              <w:rPr>
                <w:rFonts w:eastAsia="Calibri" w:cstheme="minorHAnsi"/>
                <w:bCs/>
                <w:sz w:val="24"/>
                <w:szCs w:val="24"/>
              </w:rPr>
            </w:pPr>
            <w:r w:rsidRPr="00CB6D03">
              <w:rPr>
                <w:rFonts w:eastAsia="Calibri" w:cstheme="minorHAnsi"/>
                <w:bCs/>
                <w:sz w:val="24"/>
                <w:szCs w:val="24"/>
              </w:rPr>
              <w:t xml:space="preserve">Usługi społeczne w formie opiekuńczej, </w:t>
            </w:r>
            <w:proofErr w:type="spellStart"/>
            <w:r w:rsidRPr="00CB6D03">
              <w:rPr>
                <w:rFonts w:eastAsia="Calibri" w:cstheme="minorHAnsi"/>
                <w:bCs/>
                <w:sz w:val="24"/>
                <w:szCs w:val="24"/>
              </w:rPr>
              <w:t>wytchnieniowej</w:t>
            </w:r>
            <w:proofErr w:type="spellEnd"/>
            <w:r w:rsidRPr="00CB6D03">
              <w:rPr>
                <w:rFonts w:eastAsia="Calibri" w:cstheme="minorHAnsi"/>
                <w:bCs/>
                <w:sz w:val="24"/>
                <w:szCs w:val="24"/>
              </w:rPr>
              <w:t xml:space="preserve"> i asystenckiej  na rzecz  społeczności lokalnej</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spacing w:line="240" w:lineRule="auto"/>
              <w:jc w:val="left"/>
              <w:rPr>
                <w:rFonts w:eastAsia="Calibri" w:cstheme="minorHAnsi"/>
                <w:sz w:val="24"/>
                <w:szCs w:val="24"/>
              </w:rPr>
            </w:pPr>
            <w:r w:rsidRPr="00CB6D03">
              <w:rPr>
                <w:rFonts w:eastAsia="Calibri" w:cstheme="minorHAnsi"/>
                <w:bCs/>
                <w:sz w:val="24"/>
                <w:szCs w:val="24"/>
              </w:rPr>
              <w:t xml:space="preserve">Wiązka projektów 2: Upowszechnienie dostępu do edukacji przedszkolnej oraz wsparcie kształcenia zawodowego na terenie </w:t>
            </w:r>
            <w:r w:rsidR="008E2B18" w:rsidRPr="00CB6D03">
              <w:rPr>
                <w:rFonts w:eastAsia="Calibri" w:cstheme="minorHAnsi"/>
                <w:bCs/>
                <w:sz w:val="24"/>
                <w:szCs w:val="24"/>
              </w:rPr>
              <w:t>Wrocławskiego Obszaru Funkcjonalnego</w:t>
            </w:r>
          </w:p>
        </w:tc>
      </w:tr>
      <w:tr w:rsidR="00ED201B" w:rsidRPr="00525CAC" w:rsidTr="00525CAC">
        <w:trPr>
          <w:trHeight w:val="113"/>
          <w:jc w:val="center"/>
        </w:trPr>
        <w:tc>
          <w:tcPr>
            <w:tcW w:w="14004" w:type="dxa"/>
            <w:shd w:val="clear" w:color="auto" w:fill="auto"/>
            <w:vAlign w:val="center"/>
            <w:hideMark/>
          </w:tcPr>
          <w:p w:rsidR="00ED201B" w:rsidRPr="00CB6D03" w:rsidRDefault="00ED201B" w:rsidP="00CB6D03">
            <w:pPr>
              <w:pStyle w:val="Akapitzlist"/>
              <w:numPr>
                <w:ilvl w:val="0"/>
                <w:numId w:val="24"/>
              </w:numPr>
              <w:spacing w:line="240" w:lineRule="auto"/>
              <w:jc w:val="left"/>
              <w:rPr>
                <w:rFonts w:eastAsia="Calibri" w:cstheme="minorHAnsi"/>
                <w:sz w:val="24"/>
                <w:szCs w:val="24"/>
              </w:rPr>
            </w:pPr>
            <w:r w:rsidRPr="00CB6D03">
              <w:rPr>
                <w:rFonts w:eastAsia="Calibri" w:cstheme="minorHAnsi"/>
                <w:sz w:val="24"/>
                <w:szCs w:val="24"/>
              </w:rPr>
              <w:t>Rozwój edukacji przedszkolnej w gminach Czernica, Długołęka, Oleśnica (gmina wiejska), Sobótka, Wisznia Mała, Zawonia i Żórawina.</w:t>
            </w:r>
          </w:p>
          <w:p w:rsidR="00ED201B" w:rsidRPr="00CB6D03" w:rsidRDefault="00ED201B" w:rsidP="00CB6D03">
            <w:pPr>
              <w:pStyle w:val="Akapitzlist"/>
              <w:numPr>
                <w:ilvl w:val="0"/>
                <w:numId w:val="24"/>
              </w:numPr>
              <w:spacing w:line="240" w:lineRule="auto"/>
              <w:jc w:val="left"/>
              <w:rPr>
                <w:rFonts w:eastAsia="Calibri" w:cstheme="minorHAnsi"/>
                <w:sz w:val="24"/>
                <w:szCs w:val="24"/>
              </w:rPr>
            </w:pPr>
            <w:r w:rsidRPr="00CB6D03">
              <w:rPr>
                <w:rFonts w:eastAsia="Calibri" w:cstheme="minorHAnsi"/>
                <w:sz w:val="24"/>
                <w:szCs w:val="24"/>
              </w:rPr>
              <w:t>Wsparcie kształcenia zawodowego na terenie ZIT WrOF w Powiecie Wrocławskim</w:t>
            </w:r>
          </w:p>
          <w:p w:rsidR="00ED201B" w:rsidRPr="00CB6D03" w:rsidRDefault="00ED201B" w:rsidP="00CB6D03">
            <w:pPr>
              <w:pStyle w:val="Akapitzlist"/>
              <w:numPr>
                <w:ilvl w:val="0"/>
                <w:numId w:val="24"/>
              </w:numPr>
              <w:spacing w:line="240" w:lineRule="auto"/>
              <w:jc w:val="left"/>
              <w:rPr>
                <w:rFonts w:eastAsia="Calibri" w:cstheme="minorHAnsi"/>
                <w:sz w:val="24"/>
                <w:szCs w:val="24"/>
              </w:rPr>
            </w:pPr>
            <w:r w:rsidRPr="00CB6D03">
              <w:rPr>
                <w:rFonts w:eastAsia="Calibri" w:cstheme="minorHAnsi"/>
                <w:sz w:val="24"/>
                <w:szCs w:val="24"/>
              </w:rPr>
              <w:t xml:space="preserve">Zespół Szkół Zawodowych im. Marii </w:t>
            </w:r>
            <w:proofErr w:type="spellStart"/>
            <w:r w:rsidRPr="00CB6D03">
              <w:rPr>
                <w:rFonts w:eastAsia="Calibri" w:cstheme="minorHAnsi"/>
                <w:sz w:val="24"/>
                <w:szCs w:val="24"/>
              </w:rPr>
              <w:t>Skłodowskiej-Curie</w:t>
            </w:r>
            <w:proofErr w:type="spellEnd"/>
            <w:r w:rsidRPr="00CB6D03">
              <w:rPr>
                <w:rFonts w:eastAsia="Calibri" w:cstheme="minorHAnsi"/>
                <w:sz w:val="24"/>
                <w:szCs w:val="24"/>
              </w:rPr>
              <w:t xml:space="preserve"> w Oleśnicy stawia na rozwój!</w:t>
            </w:r>
          </w:p>
          <w:p w:rsidR="00ED201B" w:rsidRPr="00CB6D03" w:rsidRDefault="00ED201B" w:rsidP="00CB6D03">
            <w:pPr>
              <w:pStyle w:val="Akapitzlist"/>
              <w:numPr>
                <w:ilvl w:val="0"/>
                <w:numId w:val="24"/>
              </w:numPr>
              <w:spacing w:line="240" w:lineRule="auto"/>
              <w:jc w:val="left"/>
              <w:rPr>
                <w:rFonts w:eastAsia="Calibri" w:cstheme="minorHAnsi"/>
                <w:sz w:val="24"/>
                <w:szCs w:val="24"/>
              </w:rPr>
            </w:pPr>
            <w:r w:rsidRPr="00CB6D03">
              <w:rPr>
                <w:rFonts w:eastAsia="Calibri" w:cstheme="minorHAnsi"/>
                <w:sz w:val="24"/>
                <w:szCs w:val="24"/>
              </w:rPr>
              <w:t>Bliżej rynku pracy. Wsparcie rozwoju edukacji zawodowej we Wrocławiu.</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spacing w:line="240" w:lineRule="auto"/>
              <w:jc w:val="left"/>
              <w:rPr>
                <w:rFonts w:cstheme="minorHAnsi"/>
                <w:sz w:val="24"/>
                <w:szCs w:val="24"/>
              </w:rPr>
            </w:pPr>
            <w:r w:rsidRPr="00CB6D03">
              <w:rPr>
                <w:rFonts w:eastAsia="Calibri" w:cstheme="minorHAnsi"/>
                <w:sz w:val="24"/>
                <w:szCs w:val="24"/>
              </w:rPr>
              <w:t>Wiązka projektów 3: Termomodernizacja budynków użyteczności publicznej we Wrocławskim Obszarze Funkcjonalnym</w:t>
            </w:r>
          </w:p>
        </w:tc>
      </w:tr>
      <w:tr w:rsidR="00ED201B" w:rsidRPr="00525CAC" w:rsidTr="00525CAC">
        <w:trPr>
          <w:trHeight w:val="113"/>
          <w:jc w:val="center"/>
        </w:trPr>
        <w:tc>
          <w:tcPr>
            <w:tcW w:w="14004" w:type="dxa"/>
            <w:shd w:val="clear" w:color="auto" w:fill="auto"/>
            <w:vAlign w:val="center"/>
            <w:hideMark/>
          </w:tcPr>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Poprawa efektywności energetycznej budynków publicznych w Gminie Wisznia Mała</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Termomodernizacja budynku znajdującego się na terenie Gminy Oborniki Śląskie</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 xml:space="preserve">Termomodernizacja obiektów użyteczności publicznej w Żórawinie </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Termomodernizacja placówek oświatowych na terenie Gminy Miasta Oleśnicy</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Termomodernizacja obiektów użyteczności publicznej w Gminie Oleśnica</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Termomodernizacja istniejącego budynku UG Dobroszyce wraz z przebudową na inne cele publiczne</w:t>
            </w:r>
          </w:p>
          <w:p w:rsidR="00ED201B" w:rsidRPr="00CB6D03" w:rsidRDefault="00ED201B" w:rsidP="00CB6D03">
            <w:pPr>
              <w:pStyle w:val="Akapitzlist"/>
              <w:numPr>
                <w:ilvl w:val="0"/>
                <w:numId w:val="24"/>
              </w:numPr>
              <w:spacing w:line="240" w:lineRule="auto"/>
              <w:jc w:val="left"/>
              <w:rPr>
                <w:rFonts w:cstheme="minorHAnsi"/>
                <w:sz w:val="24"/>
                <w:szCs w:val="24"/>
              </w:rPr>
            </w:pPr>
            <w:r w:rsidRPr="00CB6D03">
              <w:rPr>
                <w:rFonts w:cstheme="minorHAnsi"/>
                <w:sz w:val="24"/>
                <w:szCs w:val="24"/>
              </w:rPr>
              <w:t>Ograniczenie niskiej emisji w budynku użyteczności publicznej (Szkoła Podstawowa w Boleścinie) w Gminie Trzebnica</w:t>
            </w:r>
          </w:p>
        </w:tc>
      </w:tr>
      <w:tr w:rsidR="00ED201B" w:rsidRPr="00525CAC" w:rsidTr="00525CAC">
        <w:trPr>
          <w:trHeight w:val="624"/>
          <w:jc w:val="center"/>
        </w:trPr>
        <w:tc>
          <w:tcPr>
            <w:tcW w:w="14004" w:type="dxa"/>
            <w:shd w:val="clear" w:color="auto" w:fill="F2F2F2" w:themeFill="background1" w:themeFillShade="F2"/>
            <w:vAlign w:val="center"/>
            <w:hideMark/>
          </w:tcPr>
          <w:p w:rsidR="00ED201B" w:rsidRPr="00CB6D03" w:rsidRDefault="00ED201B" w:rsidP="00CB6D03">
            <w:pPr>
              <w:spacing w:line="240" w:lineRule="auto"/>
              <w:jc w:val="left"/>
              <w:rPr>
                <w:rFonts w:cstheme="minorHAnsi"/>
                <w:sz w:val="24"/>
                <w:szCs w:val="24"/>
              </w:rPr>
            </w:pPr>
            <w:r w:rsidRPr="00CB6D03">
              <w:rPr>
                <w:rFonts w:eastAsia="Calibri" w:cstheme="minorHAnsi"/>
                <w:sz w:val="24"/>
                <w:szCs w:val="24"/>
              </w:rPr>
              <w:t xml:space="preserve">Wiązka projektów 4: Poprawa sytuacji gospodarki wodno-ściekowej w aglomeracjach od 10 tys. do 15 tys. RLM znajdujących się we </w:t>
            </w:r>
            <w:r w:rsidR="008E2B18" w:rsidRPr="00CB6D03">
              <w:rPr>
                <w:rFonts w:eastAsia="Calibri" w:cstheme="minorHAnsi"/>
                <w:sz w:val="24"/>
                <w:szCs w:val="24"/>
              </w:rPr>
              <w:t>Wrocławskim Obszarze Funkcjonalnym</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25"/>
              </w:numPr>
              <w:spacing w:line="240" w:lineRule="auto"/>
              <w:jc w:val="left"/>
              <w:rPr>
                <w:rFonts w:cstheme="minorHAnsi"/>
                <w:sz w:val="24"/>
                <w:szCs w:val="24"/>
              </w:rPr>
            </w:pPr>
            <w:r w:rsidRPr="00CB6D03">
              <w:rPr>
                <w:rFonts w:cstheme="minorHAnsi"/>
                <w:sz w:val="24"/>
                <w:szCs w:val="24"/>
              </w:rPr>
              <w:t>Budowa kanalizacji sanitarnej w Będkowicach ul. Bukowa</w:t>
            </w:r>
          </w:p>
          <w:p w:rsidR="00ED201B" w:rsidRPr="00CB6D03" w:rsidRDefault="00ED201B" w:rsidP="00CB6D03">
            <w:pPr>
              <w:pStyle w:val="Akapitzlist"/>
              <w:numPr>
                <w:ilvl w:val="0"/>
                <w:numId w:val="25"/>
              </w:numPr>
              <w:spacing w:line="240" w:lineRule="auto"/>
              <w:jc w:val="left"/>
              <w:rPr>
                <w:rFonts w:cstheme="minorHAnsi"/>
                <w:sz w:val="24"/>
                <w:szCs w:val="24"/>
              </w:rPr>
            </w:pPr>
            <w:r w:rsidRPr="00CB6D03">
              <w:rPr>
                <w:rFonts w:cstheme="minorHAnsi"/>
                <w:sz w:val="24"/>
                <w:szCs w:val="24"/>
              </w:rPr>
              <w:t>Budowa kanalizacji sanitarnej w Księginicach Małych ul. Zbożowa</w:t>
            </w:r>
          </w:p>
          <w:p w:rsidR="00ED201B" w:rsidRPr="00CB6D03" w:rsidRDefault="00ED201B" w:rsidP="00CB6D03">
            <w:pPr>
              <w:pStyle w:val="Akapitzlist"/>
              <w:numPr>
                <w:ilvl w:val="0"/>
                <w:numId w:val="25"/>
              </w:numPr>
              <w:spacing w:line="240" w:lineRule="auto"/>
              <w:jc w:val="left"/>
              <w:rPr>
                <w:rFonts w:cstheme="minorHAnsi"/>
                <w:sz w:val="24"/>
                <w:szCs w:val="24"/>
              </w:rPr>
            </w:pPr>
            <w:r w:rsidRPr="00CB6D03">
              <w:rPr>
                <w:rFonts w:cstheme="minorHAnsi"/>
                <w:sz w:val="24"/>
                <w:szCs w:val="24"/>
              </w:rPr>
              <w:t>Rozbudowa gospodarki wodo-ściekowej na terenie aglomeracji Siechnice</w:t>
            </w:r>
          </w:p>
          <w:p w:rsidR="00ED201B" w:rsidRPr="00CB6D03" w:rsidRDefault="00ED201B" w:rsidP="00CB6D03">
            <w:pPr>
              <w:pStyle w:val="Akapitzlist"/>
              <w:numPr>
                <w:ilvl w:val="0"/>
                <w:numId w:val="25"/>
              </w:numPr>
              <w:spacing w:line="240" w:lineRule="auto"/>
              <w:jc w:val="left"/>
              <w:rPr>
                <w:rFonts w:cstheme="minorHAnsi"/>
                <w:sz w:val="24"/>
                <w:szCs w:val="24"/>
              </w:rPr>
            </w:pPr>
            <w:r w:rsidRPr="00CB6D03">
              <w:rPr>
                <w:rFonts w:cstheme="minorHAnsi"/>
                <w:sz w:val="24"/>
                <w:szCs w:val="24"/>
              </w:rPr>
              <w:t>Budowa kanalizacji sanitarnej w rejonie ul. Grzybowej w Obornikach Śląskich</w:t>
            </w:r>
          </w:p>
        </w:tc>
      </w:tr>
      <w:tr w:rsidR="00ED201B" w:rsidRPr="00525CAC" w:rsidTr="00525CAC">
        <w:trPr>
          <w:trHeight w:val="624"/>
          <w:jc w:val="center"/>
        </w:trPr>
        <w:tc>
          <w:tcPr>
            <w:tcW w:w="14004" w:type="dxa"/>
            <w:shd w:val="clear" w:color="auto" w:fill="F2F2F2" w:themeFill="background1" w:themeFillShade="F2"/>
            <w:vAlign w:val="center"/>
            <w:hideMark/>
          </w:tcPr>
          <w:p w:rsidR="00ED201B" w:rsidRPr="00CB6D03" w:rsidRDefault="00ED201B" w:rsidP="00CB6D03">
            <w:pPr>
              <w:spacing w:line="240" w:lineRule="auto"/>
              <w:jc w:val="left"/>
              <w:rPr>
                <w:rFonts w:cstheme="minorHAnsi"/>
                <w:sz w:val="24"/>
                <w:szCs w:val="24"/>
              </w:rPr>
            </w:pPr>
            <w:r w:rsidRPr="00CB6D03">
              <w:rPr>
                <w:rFonts w:eastAsia="Calibri" w:cstheme="minorHAnsi"/>
                <w:sz w:val="24"/>
                <w:szCs w:val="24"/>
              </w:rPr>
              <w:t>Wiązka projektów 5: Poprawa sytuacji gospodarki wodno-ściekowej w aglomeracjach od 2 do poniżej 10 tys. RLM znajdujących się we Wrocławskim Obszarze Funkcjonalnym</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26"/>
              </w:numPr>
              <w:spacing w:line="240" w:lineRule="auto"/>
              <w:jc w:val="left"/>
              <w:rPr>
                <w:rFonts w:cstheme="minorHAnsi"/>
                <w:sz w:val="24"/>
                <w:szCs w:val="24"/>
              </w:rPr>
            </w:pPr>
            <w:r w:rsidRPr="00CB6D03">
              <w:rPr>
                <w:rFonts w:cstheme="minorHAnsi"/>
                <w:sz w:val="24"/>
                <w:szCs w:val="24"/>
              </w:rPr>
              <w:t>Instalacja do odbioru i utylizacji osadów usuwanych z kanalizacji</w:t>
            </w:r>
            <w:r w:rsidR="006E0717" w:rsidRPr="00CB6D03">
              <w:rPr>
                <w:rFonts w:cstheme="minorHAnsi"/>
                <w:sz w:val="24"/>
                <w:szCs w:val="24"/>
              </w:rPr>
              <w:t xml:space="preserve"> – </w:t>
            </w:r>
            <w:r w:rsidRPr="00CB6D03">
              <w:rPr>
                <w:rFonts w:cstheme="minorHAnsi"/>
                <w:sz w:val="24"/>
                <w:szCs w:val="24"/>
              </w:rPr>
              <w:t>1-szy etap systemu docelowego zagospodarowania osadów</w:t>
            </w:r>
          </w:p>
          <w:p w:rsidR="00ED201B" w:rsidRPr="00CB6D03" w:rsidRDefault="00ED201B" w:rsidP="00CB6D03">
            <w:pPr>
              <w:pStyle w:val="Akapitzlist"/>
              <w:numPr>
                <w:ilvl w:val="0"/>
                <w:numId w:val="26"/>
              </w:numPr>
              <w:spacing w:line="240" w:lineRule="auto"/>
              <w:jc w:val="left"/>
              <w:rPr>
                <w:rFonts w:cstheme="minorHAnsi"/>
                <w:sz w:val="24"/>
                <w:szCs w:val="24"/>
              </w:rPr>
            </w:pPr>
            <w:r w:rsidRPr="00CB6D03">
              <w:rPr>
                <w:rFonts w:cstheme="minorHAnsi"/>
                <w:sz w:val="24"/>
                <w:szCs w:val="24"/>
              </w:rPr>
              <w:t>Rozbudowa sieci kanalizacji sanitarnej i wodociągowej w aglomeracji Wisznia Mała</w:t>
            </w:r>
          </w:p>
          <w:p w:rsidR="00ED201B" w:rsidRPr="00CB6D03" w:rsidRDefault="00ED201B" w:rsidP="00CB6D03">
            <w:pPr>
              <w:pStyle w:val="Akapitzlist"/>
              <w:numPr>
                <w:ilvl w:val="0"/>
                <w:numId w:val="26"/>
              </w:numPr>
              <w:spacing w:line="240" w:lineRule="auto"/>
              <w:jc w:val="left"/>
              <w:rPr>
                <w:rFonts w:cstheme="minorHAnsi"/>
                <w:sz w:val="24"/>
                <w:szCs w:val="24"/>
              </w:rPr>
            </w:pPr>
            <w:r w:rsidRPr="00CB6D03">
              <w:rPr>
                <w:rFonts w:cstheme="minorHAnsi"/>
                <w:sz w:val="24"/>
                <w:szCs w:val="24"/>
              </w:rPr>
              <w:t>Kompleksowa rozbudowa systemu oczyszczania ścieków w Żórawinie</w:t>
            </w:r>
          </w:p>
          <w:p w:rsidR="00ED201B" w:rsidRPr="00CB6D03" w:rsidRDefault="00ED201B" w:rsidP="00CB6D03">
            <w:pPr>
              <w:pStyle w:val="Akapitzlist"/>
              <w:numPr>
                <w:ilvl w:val="0"/>
                <w:numId w:val="26"/>
              </w:numPr>
              <w:spacing w:line="240" w:lineRule="auto"/>
              <w:jc w:val="left"/>
              <w:rPr>
                <w:rFonts w:cstheme="minorHAnsi"/>
                <w:sz w:val="24"/>
                <w:szCs w:val="24"/>
              </w:rPr>
            </w:pPr>
            <w:r w:rsidRPr="00CB6D03">
              <w:rPr>
                <w:rFonts w:cstheme="minorHAnsi"/>
                <w:sz w:val="24"/>
                <w:szCs w:val="24"/>
              </w:rPr>
              <w:t>Budowa kanalizacji sanitarnej w aglomeracji Zawonia</w:t>
            </w:r>
          </w:p>
          <w:p w:rsidR="00ED201B" w:rsidRPr="00CB6D03" w:rsidRDefault="00ED201B" w:rsidP="00CB6D03">
            <w:pPr>
              <w:pStyle w:val="Akapitzlist"/>
              <w:numPr>
                <w:ilvl w:val="0"/>
                <w:numId w:val="26"/>
              </w:numPr>
              <w:spacing w:line="240" w:lineRule="auto"/>
              <w:jc w:val="left"/>
              <w:rPr>
                <w:rFonts w:cstheme="minorHAnsi"/>
                <w:sz w:val="24"/>
                <w:szCs w:val="24"/>
              </w:rPr>
            </w:pPr>
            <w:r w:rsidRPr="00CB6D03">
              <w:rPr>
                <w:rFonts w:cstheme="minorHAnsi"/>
                <w:sz w:val="24"/>
                <w:szCs w:val="24"/>
              </w:rPr>
              <w:t xml:space="preserve">Instalacja do kompostowania osadów ściekowych </w:t>
            </w:r>
            <w:r w:rsidR="008E2B18" w:rsidRPr="00CB6D03">
              <w:rPr>
                <w:rFonts w:cstheme="minorHAnsi"/>
                <w:sz w:val="24"/>
                <w:szCs w:val="24"/>
              </w:rPr>
              <w:t>–</w:t>
            </w:r>
            <w:r w:rsidRPr="00CB6D03">
              <w:rPr>
                <w:rFonts w:cstheme="minorHAnsi"/>
                <w:sz w:val="24"/>
                <w:szCs w:val="24"/>
              </w:rPr>
              <w:t xml:space="preserve"> 2-gi etap systemu docelowego zagospodarowania osadów</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6: Rozwój terenów zielonych i adaptacja do zmian klimatu we Wrocławskim Obszarze Funkcjonalnym</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27"/>
              </w:numPr>
              <w:tabs>
                <w:tab w:val="left" w:pos="1872"/>
              </w:tabs>
              <w:spacing w:line="240" w:lineRule="auto"/>
              <w:jc w:val="left"/>
              <w:rPr>
                <w:rFonts w:cstheme="minorHAnsi"/>
                <w:sz w:val="24"/>
                <w:szCs w:val="24"/>
              </w:rPr>
            </w:pPr>
            <w:r w:rsidRPr="00CB6D03">
              <w:rPr>
                <w:rFonts w:cstheme="minorHAnsi"/>
                <w:sz w:val="24"/>
                <w:szCs w:val="24"/>
              </w:rPr>
              <w:t xml:space="preserve">Pola </w:t>
            </w:r>
            <w:proofErr w:type="spellStart"/>
            <w:r w:rsidRPr="00CB6D03">
              <w:rPr>
                <w:rFonts w:cstheme="minorHAnsi"/>
                <w:sz w:val="24"/>
                <w:szCs w:val="24"/>
              </w:rPr>
              <w:t>Osobowickie</w:t>
            </w:r>
            <w:proofErr w:type="spellEnd"/>
            <w:r w:rsidRPr="00CB6D03">
              <w:rPr>
                <w:rFonts w:cstheme="minorHAnsi"/>
                <w:sz w:val="24"/>
                <w:szCs w:val="24"/>
              </w:rPr>
              <w:t xml:space="preserve"> - utrzymanie terenów podmokłych i związanej z nimi bioróżnorodności oraz utworzenie atrakcyjnego obszaru edukacyjno-rekreacyjnego dla mieszkańców Wrocławia, Dolnego Śląska i turystów</w:t>
            </w:r>
          </w:p>
          <w:p w:rsidR="00ED201B" w:rsidRPr="00CB6D03" w:rsidRDefault="00ED201B" w:rsidP="00CB6D03">
            <w:pPr>
              <w:pStyle w:val="Akapitzlist"/>
              <w:numPr>
                <w:ilvl w:val="0"/>
                <w:numId w:val="27"/>
              </w:numPr>
              <w:tabs>
                <w:tab w:val="left" w:pos="1872"/>
              </w:tabs>
              <w:spacing w:line="240" w:lineRule="auto"/>
              <w:jc w:val="left"/>
              <w:rPr>
                <w:rFonts w:cstheme="minorHAnsi"/>
                <w:sz w:val="24"/>
                <w:szCs w:val="24"/>
              </w:rPr>
            </w:pPr>
            <w:r w:rsidRPr="00CB6D03">
              <w:rPr>
                <w:rFonts w:cstheme="minorHAnsi"/>
                <w:sz w:val="24"/>
                <w:szCs w:val="24"/>
              </w:rPr>
              <w:t>Park przy ul. Idzikowskiego - rekultywacja terenów zdegradowanych działalnością gospodarczą i przemysłową we Wrocławiu</w:t>
            </w:r>
          </w:p>
          <w:p w:rsidR="00ED201B" w:rsidRPr="00CB6D03" w:rsidRDefault="00ED201B" w:rsidP="00CB6D03">
            <w:pPr>
              <w:pStyle w:val="Akapitzlist"/>
              <w:numPr>
                <w:ilvl w:val="0"/>
                <w:numId w:val="27"/>
              </w:numPr>
              <w:tabs>
                <w:tab w:val="left" w:pos="1872"/>
              </w:tabs>
              <w:spacing w:line="240" w:lineRule="auto"/>
              <w:jc w:val="left"/>
              <w:rPr>
                <w:rFonts w:cstheme="minorHAnsi"/>
                <w:sz w:val="24"/>
                <w:szCs w:val="24"/>
              </w:rPr>
            </w:pPr>
            <w:r w:rsidRPr="00CB6D03">
              <w:rPr>
                <w:rFonts w:cstheme="minorHAnsi"/>
                <w:sz w:val="24"/>
                <w:szCs w:val="24"/>
              </w:rPr>
              <w:t>Żernicki Park Sportu i Rekreacji - Etap II - rekultywacja terenów zdegradowanych działalnością poprzemysłową we Wrocławiu</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 xml:space="preserve">Wiązka projektów 7: Budowa lub rozbudowa dróg, ścieżek, tras rowerowych oraz ciągów pieszo-rowerowych na terenie </w:t>
            </w:r>
            <w:r w:rsidR="006E0717" w:rsidRPr="00CB6D03">
              <w:rPr>
                <w:rFonts w:eastAsia="Calibri" w:cstheme="minorHAnsi"/>
                <w:sz w:val="24"/>
                <w:szCs w:val="24"/>
              </w:rPr>
              <w:t>WrOF</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28"/>
              </w:numPr>
              <w:tabs>
                <w:tab w:val="left" w:pos="1872"/>
              </w:tabs>
              <w:spacing w:line="240" w:lineRule="auto"/>
              <w:jc w:val="left"/>
              <w:rPr>
                <w:rFonts w:cstheme="minorHAnsi"/>
                <w:sz w:val="24"/>
                <w:szCs w:val="24"/>
              </w:rPr>
            </w:pPr>
            <w:r w:rsidRPr="00CB6D03">
              <w:rPr>
                <w:rFonts w:cstheme="minorHAnsi"/>
                <w:sz w:val="24"/>
                <w:szCs w:val="24"/>
              </w:rPr>
              <w:t>Budowa ciągu pieszo-rowerowego przy drodze powiatowej nr 1368D relacji Malin – Ligota Piękna, gm. Wisznia Mała</w:t>
            </w:r>
          </w:p>
          <w:p w:rsidR="00ED201B" w:rsidRPr="00CB6D03" w:rsidRDefault="00ED201B" w:rsidP="00CB6D03">
            <w:pPr>
              <w:pStyle w:val="Akapitzlist"/>
              <w:numPr>
                <w:ilvl w:val="0"/>
                <w:numId w:val="28"/>
              </w:numPr>
              <w:tabs>
                <w:tab w:val="left" w:pos="1872"/>
              </w:tabs>
              <w:spacing w:line="240" w:lineRule="auto"/>
              <w:jc w:val="left"/>
              <w:rPr>
                <w:rFonts w:cstheme="minorHAnsi"/>
                <w:sz w:val="24"/>
                <w:szCs w:val="24"/>
              </w:rPr>
            </w:pPr>
            <w:r w:rsidRPr="00CB6D03">
              <w:rPr>
                <w:rFonts w:cstheme="minorHAnsi"/>
                <w:sz w:val="24"/>
                <w:szCs w:val="24"/>
              </w:rPr>
              <w:t>Budowa i oznakowanie tras rowerowych, dróg rowerowych i ciągów pieszo-rowerowych na terenie Gminy Kobierzyce</w:t>
            </w:r>
          </w:p>
          <w:p w:rsidR="00ED201B" w:rsidRPr="00CB6D03" w:rsidRDefault="00ED201B" w:rsidP="00CB6D03">
            <w:pPr>
              <w:pStyle w:val="Akapitzlist"/>
              <w:numPr>
                <w:ilvl w:val="0"/>
                <w:numId w:val="28"/>
              </w:numPr>
              <w:tabs>
                <w:tab w:val="left" w:pos="1872"/>
              </w:tabs>
              <w:spacing w:line="240" w:lineRule="auto"/>
              <w:jc w:val="left"/>
              <w:rPr>
                <w:rFonts w:cstheme="minorHAnsi"/>
                <w:sz w:val="24"/>
                <w:szCs w:val="24"/>
              </w:rPr>
            </w:pPr>
            <w:r w:rsidRPr="00CB6D03">
              <w:rPr>
                <w:rFonts w:cstheme="minorHAnsi"/>
                <w:sz w:val="24"/>
                <w:szCs w:val="24"/>
              </w:rPr>
              <w:t>Spójna sieć tras rowerowych we Wrocławiu dla mieszkańców miasta i aglomeracji wraz z budową systemu badania natężenia ruchu na drogach dla rowerów – etap I</w:t>
            </w:r>
          </w:p>
          <w:p w:rsidR="00ED201B" w:rsidRPr="00CB6D03" w:rsidRDefault="00ED201B" w:rsidP="00CB6D03">
            <w:pPr>
              <w:pStyle w:val="Akapitzlist"/>
              <w:numPr>
                <w:ilvl w:val="0"/>
                <w:numId w:val="28"/>
              </w:numPr>
              <w:tabs>
                <w:tab w:val="left" w:pos="1872"/>
              </w:tabs>
              <w:spacing w:line="240" w:lineRule="auto"/>
              <w:jc w:val="left"/>
              <w:rPr>
                <w:rFonts w:cstheme="minorHAnsi"/>
                <w:sz w:val="24"/>
                <w:szCs w:val="24"/>
              </w:rPr>
            </w:pPr>
            <w:r w:rsidRPr="00CB6D03">
              <w:rPr>
                <w:rFonts w:cstheme="minorHAnsi"/>
                <w:sz w:val="24"/>
                <w:szCs w:val="24"/>
              </w:rPr>
              <w:t>Budowa dróg pieszo-rowerowych na terenie Gminy Zawonia – etap I (odcinek Zawonia-Złotówek)</w:t>
            </w:r>
          </w:p>
          <w:p w:rsidR="00ED201B" w:rsidRPr="00CB6D03" w:rsidRDefault="00ED201B" w:rsidP="00CB6D03">
            <w:pPr>
              <w:pStyle w:val="Akapitzlist"/>
              <w:numPr>
                <w:ilvl w:val="0"/>
                <w:numId w:val="28"/>
              </w:numPr>
              <w:tabs>
                <w:tab w:val="left" w:pos="1872"/>
              </w:tabs>
              <w:spacing w:line="240" w:lineRule="auto"/>
              <w:jc w:val="left"/>
              <w:rPr>
                <w:rFonts w:cstheme="minorHAnsi"/>
                <w:sz w:val="24"/>
                <w:szCs w:val="24"/>
              </w:rPr>
            </w:pPr>
            <w:r w:rsidRPr="00CB6D03">
              <w:rPr>
                <w:rFonts w:cstheme="minorHAnsi"/>
                <w:sz w:val="24"/>
                <w:szCs w:val="24"/>
              </w:rPr>
              <w:t>Budowa i oznakowanie dróg rowerowych i ciągów pieszo-rowerowych na terenie Gminy Długołęka</w:t>
            </w:r>
          </w:p>
        </w:tc>
      </w:tr>
      <w:tr w:rsidR="00ED201B" w:rsidRPr="00525CAC" w:rsidTr="00525CAC">
        <w:trPr>
          <w:trHeight w:val="567"/>
          <w:jc w:val="center"/>
        </w:trPr>
        <w:tc>
          <w:tcPr>
            <w:tcW w:w="14004" w:type="dxa"/>
            <w:shd w:val="clear" w:color="auto" w:fill="F2F2F2" w:themeFill="background1" w:themeFillShade="F2"/>
            <w:vAlign w:val="center"/>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8: Budowa infrastruktury rowerowej lub pieszo-rowerowej na terenie Wrocławskiego Obszaru Funkcjonalnego</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30"/>
              </w:numPr>
              <w:tabs>
                <w:tab w:val="left" w:pos="1872"/>
              </w:tabs>
              <w:spacing w:line="240" w:lineRule="auto"/>
              <w:jc w:val="left"/>
              <w:rPr>
                <w:rFonts w:cstheme="minorHAnsi"/>
                <w:sz w:val="24"/>
                <w:szCs w:val="24"/>
              </w:rPr>
            </w:pPr>
            <w:r w:rsidRPr="00CB6D03">
              <w:rPr>
                <w:rFonts w:cstheme="minorHAnsi"/>
                <w:sz w:val="24"/>
                <w:szCs w:val="24"/>
              </w:rPr>
              <w:t>Budowa dróg rowerowych na terenie Gminy Oborniki Śląskie</w:t>
            </w:r>
          </w:p>
          <w:p w:rsidR="00ED201B" w:rsidRPr="00CB6D03" w:rsidRDefault="00ED201B" w:rsidP="00CB6D03">
            <w:pPr>
              <w:pStyle w:val="Akapitzlist"/>
              <w:numPr>
                <w:ilvl w:val="0"/>
                <w:numId w:val="30"/>
              </w:numPr>
              <w:tabs>
                <w:tab w:val="left" w:pos="1872"/>
              </w:tabs>
              <w:spacing w:line="240" w:lineRule="auto"/>
              <w:jc w:val="left"/>
              <w:rPr>
                <w:rFonts w:cstheme="minorHAnsi"/>
                <w:sz w:val="24"/>
                <w:szCs w:val="24"/>
              </w:rPr>
            </w:pPr>
            <w:r w:rsidRPr="00CB6D03">
              <w:rPr>
                <w:rFonts w:cstheme="minorHAnsi"/>
                <w:sz w:val="24"/>
                <w:szCs w:val="24"/>
              </w:rPr>
              <w:t>Zielone trasy pieszo – rowerowe we Wrocławiu</w:t>
            </w:r>
          </w:p>
          <w:p w:rsidR="00ED201B" w:rsidRPr="00CB6D03" w:rsidRDefault="00ED201B" w:rsidP="00CB6D03">
            <w:pPr>
              <w:pStyle w:val="Akapitzlist"/>
              <w:numPr>
                <w:ilvl w:val="0"/>
                <w:numId w:val="30"/>
              </w:numPr>
              <w:tabs>
                <w:tab w:val="left" w:pos="1872"/>
              </w:tabs>
              <w:spacing w:line="240" w:lineRule="auto"/>
              <w:jc w:val="left"/>
              <w:rPr>
                <w:rFonts w:cstheme="minorHAnsi"/>
                <w:sz w:val="24"/>
                <w:szCs w:val="24"/>
              </w:rPr>
            </w:pPr>
            <w:r w:rsidRPr="00CB6D03">
              <w:rPr>
                <w:rFonts w:cstheme="minorHAnsi"/>
                <w:sz w:val="24"/>
                <w:szCs w:val="24"/>
              </w:rPr>
              <w:t>Budowa kładek pieszo</w:t>
            </w:r>
            <w:r w:rsidR="008E2B18" w:rsidRPr="00CB6D03">
              <w:rPr>
                <w:rFonts w:cstheme="minorHAnsi"/>
                <w:sz w:val="24"/>
                <w:szCs w:val="24"/>
              </w:rPr>
              <w:t xml:space="preserve"> – </w:t>
            </w:r>
            <w:r w:rsidRPr="00CB6D03">
              <w:rPr>
                <w:rFonts w:cstheme="minorHAnsi"/>
                <w:sz w:val="24"/>
                <w:szCs w:val="24"/>
              </w:rPr>
              <w:t>rowerowych we Wrocławiu – etap I</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9: Budowa lub rozbudowa centrów, węzłów przesiadkowych, P&amp;R oraz B&amp;R na terenie Wrocławskiego Obszaru Funkcjonalnego</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r w:rsidRPr="00CB6D03">
              <w:rPr>
                <w:rFonts w:cstheme="minorHAnsi"/>
                <w:sz w:val="24"/>
                <w:szCs w:val="24"/>
              </w:rPr>
              <w:t>Rozwój rowerowego systemu parkingowego we Wrocławiu</w:t>
            </w:r>
          </w:p>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r w:rsidRPr="00CB6D03">
              <w:rPr>
                <w:rFonts w:cstheme="minorHAnsi"/>
                <w:sz w:val="24"/>
                <w:szCs w:val="24"/>
              </w:rPr>
              <w:t>Budowa centrum przesiadkowego przy nowym przystanku kolejowym Oława Zachodnia</w:t>
            </w:r>
          </w:p>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r w:rsidRPr="00CB6D03">
              <w:rPr>
                <w:rFonts w:cstheme="minorHAnsi"/>
                <w:sz w:val="24"/>
                <w:szCs w:val="24"/>
              </w:rPr>
              <w:t>Rozbudowa systemu Parkuj i jedź we Wrocławiu - Etap III</w:t>
            </w:r>
          </w:p>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r w:rsidRPr="00CB6D03">
              <w:rPr>
                <w:rFonts w:cstheme="minorHAnsi"/>
                <w:sz w:val="24"/>
                <w:szCs w:val="24"/>
              </w:rPr>
              <w:t>Budowa Parkingu Park &amp; Drive (Parkuj i Jedź) na ternie Gminy Oborniki Śląskie</w:t>
            </w:r>
          </w:p>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r w:rsidRPr="00CB6D03">
              <w:rPr>
                <w:rFonts w:cstheme="minorHAnsi"/>
                <w:sz w:val="24"/>
                <w:szCs w:val="24"/>
              </w:rPr>
              <w:t>Budowa węzła przesiadkowego P&amp;R i B&amp;R w Lizawicach przy stacji kolejowej oraz utworzenie ścieżki rowerowej</w:t>
            </w:r>
          </w:p>
          <w:p w:rsidR="00ED201B" w:rsidRPr="00CB6D03" w:rsidRDefault="00ED201B" w:rsidP="00CB6D03">
            <w:pPr>
              <w:pStyle w:val="Akapitzlist"/>
              <w:numPr>
                <w:ilvl w:val="0"/>
                <w:numId w:val="29"/>
              </w:numPr>
              <w:tabs>
                <w:tab w:val="left" w:pos="1872"/>
              </w:tabs>
              <w:spacing w:line="240" w:lineRule="auto"/>
              <w:jc w:val="left"/>
              <w:rPr>
                <w:rFonts w:cstheme="minorHAnsi"/>
                <w:sz w:val="24"/>
                <w:szCs w:val="24"/>
              </w:rPr>
            </w:pPr>
            <w:proofErr w:type="spellStart"/>
            <w:r w:rsidRPr="00CB6D03">
              <w:rPr>
                <w:rFonts w:cstheme="minorHAnsi"/>
                <w:sz w:val="24"/>
                <w:szCs w:val="24"/>
              </w:rPr>
              <w:t>Algomeracyjno</w:t>
            </w:r>
            <w:proofErr w:type="spellEnd"/>
            <w:r w:rsidRPr="00CB6D03">
              <w:rPr>
                <w:rFonts w:cstheme="minorHAnsi"/>
                <w:sz w:val="24"/>
                <w:szCs w:val="24"/>
              </w:rPr>
              <w:t xml:space="preserve"> – miejskie centrum przesiadkowe w gminie Czernic</w:t>
            </w:r>
            <w:r w:rsidR="006E0717" w:rsidRPr="00CB6D03">
              <w:rPr>
                <w:rFonts w:cstheme="minorHAnsi"/>
                <w:sz w:val="24"/>
                <w:szCs w:val="24"/>
              </w:rPr>
              <w:t xml:space="preserve">a (Łany – </w:t>
            </w:r>
            <w:r w:rsidRPr="00CB6D03">
              <w:rPr>
                <w:rFonts w:cstheme="minorHAnsi"/>
                <w:sz w:val="24"/>
                <w:szCs w:val="24"/>
              </w:rPr>
              <w:t>Wojnów)</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10: Fizyczna odnowa i bezpieczeństwo przestrzeni publicznej we Wrocławskim Obszarze Funkcjonalnym, w tym sprzyjająca aktywności fizycznej</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terenu przy ul. Ludwikowskiej – Park Południowy w Oleśnicy</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w:t>
            </w:r>
            <w:r w:rsidR="008E2B18" w:rsidRPr="00CB6D03">
              <w:rPr>
                <w:rFonts w:cstheme="minorHAnsi"/>
                <w:sz w:val="24"/>
                <w:szCs w:val="24"/>
              </w:rPr>
              <w:t>go w obrębie ulic Rozbrat, Sępa-</w:t>
            </w:r>
            <w:r w:rsidRPr="00CB6D03">
              <w:rPr>
                <w:rFonts w:cstheme="minorHAnsi"/>
                <w:sz w:val="24"/>
                <w:szCs w:val="24"/>
              </w:rPr>
              <w:t>Szarzyńskiego, Prusa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podwórzowego Benedyktyńska, Sępa-Szarzyńskiego, Górnickiego, Sienkiewicza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Odnowa przestrzeni publicznej w celu stworzenie miejsc do wypoczynku i rekreacji na terenie gminy Kąty Wrocławskie w tym poprzez rewitalizację parku gminnego w Smolcu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Rozwój infrastruktury sportowej i rekreacyjnej w gminie Miękinia</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Renowacja Parku w Żórawinie</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Budowa obiektów małej architektury na terenie Szkoły Podstawowej w Małkowicach – Stworzenie miejsc do wypoczynku i rekreacji na terenie gminy Kąty Wrocławskie</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podwórzowego Jaracza</w:t>
            </w:r>
            <w:r w:rsidR="008E2B18" w:rsidRPr="00CB6D03">
              <w:rPr>
                <w:rFonts w:cstheme="minorHAnsi"/>
                <w:sz w:val="24"/>
                <w:szCs w:val="24"/>
              </w:rPr>
              <w:t xml:space="preserve"> –</w:t>
            </w:r>
            <w:r w:rsidRPr="00CB6D03">
              <w:rPr>
                <w:rFonts w:cstheme="minorHAnsi"/>
                <w:sz w:val="24"/>
                <w:szCs w:val="24"/>
              </w:rPr>
              <w:t xml:space="preserve"> Orzeszkowej</w:t>
            </w:r>
            <w:r w:rsidR="008E2B18" w:rsidRPr="00CB6D03">
              <w:rPr>
                <w:rFonts w:cstheme="minorHAnsi"/>
                <w:sz w:val="24"/>
                <w:szCs w:val="24"/>
              </w:rPr>
              <w:t xml:space="preserve"> – </w:t>
            </w:r>
            <w:r w:rsidRPr="00CB6D03">
              <w:rPr>
                <w:rFonts w:cstheme="minorHAnsi"/>
                <w:sz w:val="24"/>
                <w:szCs w:val="24"/>
              </w:rPr>
              <w:t xml:space="preserve">Wyszyńskiego </w:t>
            </w:r>
            <w:r w:rsidR="006E0717" w:rsidRPr="00CB6D03">
              <w:rPr>
                <w:rFonts w:cstheme="minorHAnsi"/>
                <w:sz w:val="24"/>
                <w:szCs w:val="24"/>
              </w:rPr>
              <w:t>–</w:t>
            </w:r>
            <w:r w:rsidRPr="00CB6D03">
              <w:rPr>
                <w:rFonts w:cstheme="minorHAnsi"/>
                <w:sz w:val="24"/>
                <w:szCs w:val="24"/>
              </w:rPr>
              <w:t xml:space="preserve"> Nowowiejska (JOWN)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centrum miasta jako teren zielony – Park Miejski w Jelczu-Laskowicach</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podwórzowego Wyszyńskiego – Prusa-Sępa-Szarzyńskiego- Sienkiewicza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 xml:space="preserve">Zagospodarowanie wnętrza podwórzowego Piastowska </w:t>
            </w:r>
            <w:r w:rsidR="006E0717" w:rsidRPr="00CB6D03">
              <w:rPr>
                <w:rFonts w:cstheme="minorHAnsi"/>
                <w:sz w:val="24"/>
                <w:szCs w:val="24"/>
              </w:rPr>
              <w:t>–</w:t>
            </w:r>
            <w:r w:rsidRPr="00CB6D03">
              <w:rPr>
                <w:rFonts w:cstheme="minorHAnsi"/>
                <w:sz w:val="24"/>
                <w:szCs w:val="24"/>
              </w:rPr>
              <w:t xml:space="preserve"> Sienkiewicza </w:t>
            </w:r>
            <w:r w:rsidR="006E0717" w:rsidRPr="00CB6D03">
              <w:rPr>
                <w:rFonts w:cstheme="minorHAnsi"/>
                <w:sz w:val="24"/>
                <w:szCs w:val="24"/>
              </w:rPr>
              <w:t>–</w:t>
            </w:r>
            <w:r w:rsidRPr="00CB6D03">
              <w:rPr>
                <w:rFonts w:cstheme="minorHAnsi"/>
                <w:sz w:val="24"/>
                <w:szCs w:val="24"/>
              </w:rPr>
              <w:t xml:space="preserve"> Reja – Nowowiejska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skweru im. Stanisława Dunajewskiego w Sobótce</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terenu Promenady Staromiejskiej – obszaru cennego historycznie i przyrodniczo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 xml:space="preserve">Zagospodarowanie wnętrza podwórzowego Struga </w:t>
            </w:r>
            <w:r w:rsidR="006E0717" w:rsidRPr="00CB6D03">
              <w:rPr>
                <w:rFonts w:cstheme="minorHAnsi"/>
                <w:sz w:val="24"/>
                <w:szCs w:val="24"/>
              </w:rPr>
              <w:t xml:space="preserve">– </w:t>
            </w:r>
            <w:r w:rsidRPr="00CB6D03">
              <w:rPr>
                <w:rFonts w:cstheme="minorHAnsi"/>
                <w:sz w:val="24"/>
                <w:szCs w:val="24"/>
              </w:rPr>
              <w:t>Kraszewskiego</w:t>
            </w:r>
            <w:r w:rsidR="008E2B18" w:rsidRPr="00CB6D03">
              <w:rPr>
                <w:rFonts w:cstheme="minorHAnsi"/>
                <w:sz w:val="24"/>
                <w:szCs w:val="24"/>
              </w:rPr>
              <w:t xml:space="preserve"> –</w:t>
            </w:r>
            <w:r w:rsidRPr="00CB6D03">
              <w:rPr>
                <w:rFonts w:cstheme="minorHAnsi"/>
                <w:sz w:val="24"/>
                <w:szCs w:val="24"/>
              </w:rPr>
              <w:t xml:space="preserve"> Zegadłowicza –Kleczkowska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 xml:space="preserve">Zagospodarowanie wnętrza podwórzowego Kromera </w:t>
            </w:r>
            <w:r w:rsidR="006E0717" w:rsidRPr="00CB6D03">
              <w:rPr>
                <w:rFonts w:cstheme="minorHAnsi"/>
                <w:sz w:val="24"/>
                <w:szCs w:val="24"/>
              </w:rPr>
              <w:t>–</w:t>
            </w:r>
            <w:r w:rsidRPr="00CB6D03">
              <w:rPr>
                <w:rFonts w:cstheme="minorHAnsi"/>
                <w:sz w:val="24"/>
                <w:szCs w:val="24"/>
              </w:rPr>
              <w:t xml:space="preserve"> Bydgoska </w:t>
            </w:r>
            <w:r w:rsidR="006E0717" w:rsidRPr="00CB6D03">
              <w:rPr>
                <w:rFonts w:cstheme="minorHAnsi"/>
                <w:sz w:val="24"/>
                <w:szCs w:val="24"/>
              </w:rPr>
              <w:t>–</w:t>
            </w:r>
            <w:r w:rsidRPr="00CB6D03">
              <w:rPr>
                <w:rFonts w:cstheme="minorHAnsi"/>
                <w:sz w:val="24"/>
                <w:szCs w:val="24"/>
              </w:rPr>
              <w:t xml:space="preserve"> Łąka Mazurska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Gmina Oleśnica bliżej obywateli</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 xml:space="preserve">Odnowa Parku Szczytnickiego </w:t>
            </w:r>
            <w:r w:rsidR="008E2B18" w:rsidRPr="00CB6D03">
              <w:rPr>
                <w:rFonts w:cstheme="minorHAnsi"/>
                <w:sz w:val="24"/>
                <w:szCs w:val="24"/>
              </w:rPr>
              <w:t>–</w:t>
            </w:r>
            <w:r w:rsidRPr="00CB6D03">
              <w:rPr>
                <w:rFonts w:cstheme="minorHAnsi"/>
                <w:sz w:val="24"/>
                <w:szCs w:val="24"/>
              </w:rPr>
              <w:t xml:space="preserve"> obszar cenny historycznie i przyrodniczo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podwórzowego Komuny Paryskiej</w:t>
            </w:r>
            <w:r w:rsidR="006E0717" w:rsidRPr="00CB6D03">
              <w:rPr>
                <w:rFonts w:cstheme="minorHAnsi"/>
                <w:sz w:val="24"/>
                <w:szCs w:val="24"/>
              </w:rPr>
              <w:t xml:space="preserve"> – </w:t>
            </w:r>
            <w:r w:rsidRPr="00CB6D03">
              <w:rPr>
                <w:rFonts w:cstheme="minorHAnsi"/>
                <w:sz w:val="24"/>
                <w:szCs w:val="24"/>
              </w:rPr>
              <w:t>Zgodna</w:t>
            </w:r>
            <w:r w:rsidR="006E0717" w:rsidRPr="00CB6D03">
              <w:rPr>
                <w:rFonts w:cstheme="minorHAnsi"/>
                <w:sz w:val="24"/>
                <w:szCs w:val="24"/>
              </w:rPr>
              <w:t xml:space="preserve"> –</w:t>
            </w:r>
            <w:r w:rsidRPr="00CB6D03">
              <w:rPr>
                <w:rFonts w:cstheme="minorHAnsi"/>
                <w:sz w:val="24"/>
                <w:szCs w:val="24"/>
              </w:rPr>
              <w:t xml:space="preserve"> pl. Zgody we Wrocławiu</w:t>
            </w:r>
          </w:p>
          <w:p w:rsidR="00ED201B" w:rsidRPr="00CB6D03" w:rsidRDefault="00ED201B" w:rsidP="00CB6D03">
            <w:pPr>
              <w:pStyle w:val="Akapitzlist"/>
              <w:numPr>
                <w:ilvl w:val="0"/>
                <w:numId w:val="33"/>
              </w:numPr>
              <w:tabs>
                <w:tab w:val="left" w:pos="1872"/>
              </w:tabs>
              <w:spacing w:line="240" w:lineRule="auto"/>
              <w:jc w:val="left"/>
              <w:rPr>
                <w:rFonts w:cstheme="minorHAnsi"/>
                <w:sz w:val="24"/>
                <w:szCs w:val="24"/>
              </w:rPr>
            </w:pPr>
            <w:r w:rsidRPr="00CB6D03">
              <w:rPr>
                <w:rFonts w:cstheme="minorHAnsi"/>
                <w:sz w:val="24"/>
                <w:szCs w:val="24"/>
              </w:rPr>
              <w:t>Zagospodarowanie wnętrza podwórzowego w obrębie ulic Wapienna, Gajowa, Kamienna, Przestrzenna we Wrocławiu</w:t>
            </w:r>
          </w:p>
        </w:tc>
      </w:tr>
      <w:tr w:rsidR="00ED201B" w:rsidRPr="00525CAC" w:rsidTr="00525CAC">
        <w:trPr>
          <w:trHeight w:val="567"/>
          <w:jc w:val="center"/>
        </w:trPr>
        <w:tc>
          <w:tcPr>
            <w:tcW w:w="14004" w:type="dxa"/>
            <w:shd w:val="clear" w:color="auto" w:fill="F2F2F2" w:themeFill="background1" w:themeFillShade="F2"/>
            <w:vAlign w:val="center"/>
            <w:hideMark/>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11: Rozwój infrastruktury aktywizacji i integracji społecznej mający na celu poprawę kondycji psychofizycznej mieszkańców we Wrocławskim Obszarze Funkcjonalnym, ze szczególnym uwzględnieniem kultury</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31"/>
              </w:numPr>
              <w:tabs>
                <w:tab w:val="left" w:pos="1872"/>
              </w:tabs>
              <w:spacing w:line="240" w:lineRule="auto"/>
              <w:jc w:val="left"/>
              <w:rPr>
                <w:rFonts w:eastAsia="Calibri" w:cstheme="minorHAnsi"/>
                <w:bCs/>
                <w:sz w:val="24"/>
                <w:szCs w:val="24"/>
              </w:rPr>
            </w:pPr>
            <w:r w:rsidRPr="00CB6D03">
              <w:rPr>
                <w:rFonts w:eastAsia="Calibri" w:cstheme="minorHAnsi"/>
                <w:bCs/>
                <w:sz w:val="24"/>
                <w:szCs w:val="24"/>
              </w:rPr>
              <w:t>Budowa świetlicy wiejskiej wraz z kuźnią talentów w Sadkowie</w:t>
            </w:r>
          </w:p>
          <w:p w:rsidR="00ED201B" w:rsidRPr="00CB6D03" w:rsidRDefault="00ED201B" w:rsidP="00CB6D03">
            <w:pPr>
              <w:pStyle w:val="Akapitzlist"/>
              <w:numPr>
                <w:ilvl w:val="0"/>
                <w:numId w:val="31"/>
              </w:numPr>
              <w:tabs>
                <w:tab w:val="left" w:pos="1872"/>
              </w:tabs>
              <w:spacing w:line="240" w:lineRule="auto"/>
              <w:jc w:val="left"/>
              <w:rPr>
                <w:rFonts w:eastAsia="Calibri" w:cstheme="minorHAnsi"/>
                <w:bCs/>
                <w:sz w:val="24"/>
                <w:szCs w:val="24"/>
              </w:rPr>
            </w:pPr>
            <w:r w:rsidRPr="00CB6D03">
              <w:rPr>
                <w:rFonts w:eastAsia="Calibri" w:cstheme="minorHAnsi"/>
                <w:bCs/>
                <w:sz w:val="24"/>
                <w:szCs w:val="24"/>
              </w:rPr>
              <w:t>Rozwój infrastruktury aktywizacji i integracji społecznej mający na celu poprawę kondycji psychofizycznej mieszkańców - budowa systemu świetlic wiejskich na obszarze gminy Siechnice</w:t>
            </w:r>
          </w:p>
          <w:p w:rsidR="00ED201B" w:rsidRPr="00CB6D03" w:rsidRDefault="00ED201B" w:rsidP="00CB6D03">
            <w:pPr>
              <w:pStyle w:val="Akapitzlist"/>
              <w:numPr>
                <w:ilvl w:val="0"/>
                <w:numId w:val="31"/>
              </w:numPr>
              <w:tabs>
                <w:tab w:val="left" w:pos="1872"/>
              </w:tabs>
              <w:spacing w:line="240" w:lineRule="auto"/>
              <w:jc w:val="left"/>
              <w:rPr>
                <w:rFonts w:eastAsia="Calibri" w:cstheme="minorHAnsi"/>
                <w:bCs/>
                <w:sz w:val="24"/>
                <w:szCs w:val="24"/>
              </w:rPr>
            </w:pPr>
            <w:r w:rsidRPr="00CB6D03">
              <w:rPr>
                <w:rFonts w:eastAsia="Calibri" w:cstheme="minorHAnsi"/>
                <w:bCs/>
                <w:sz w:val="24"/>
                <w:szCs w:val="24"/>
              </w:rPr>
              <w:t>Remont i przebudowa świetlicy wiejskiej w Michałowicach</w:t>
            </w:r>
          </w:p>
        </w:tc>
      </w:tr>
      <w:tr w:rsidR="00ED201B" w:rsidRPr="00525CAC" w:rsidTr="00525CAC">
        <w:trPr>
          <w:trHeight w:val="567"/>
          <w:jc w:val="center"/>
        </w:trPr>
        <w:tc>
          <w:tcPr>
            <w:tcW w:w="14004" w:type="dxa"/>
            <w:shd w:val="clear" w:color="auto" w:fill="F2F2F2"/>
            <w:vAlign w:val="center"/>
            <w:hideMark/>
          </w:tcPr>
          <w:p w:rsidR="00ED201B" w:rsidRPr="00CB6D03" w:rsidRDefault="00ED201B" w:rsidP="00CB6D03">
            <w:pPr>
              <w:tabs>
                <w:tab w:val="left" w:pos="1872"/>
              </w:tabs>
              <w:spacing w:line="240" w:lineRule="auto"/>
              <w:jc w:val="left"/>
              <w:rPr>
                <w:rFonts w:eastAsia="Calibri" w:cstheme="minorHAnsi"/>
                <w:sz w:val="24"/>
                <w:szCs w:val="24"/>
              </w:rPr>
            </w:pPr>
            <w:r w:rsidRPr="00CB6D03">
              <w:rPr>
                <w:rFonts w:eastAsia="Calibri" w:cstheme="minorHAnsi"/>
                <w:sz w:val="24"/>
                <w:szCs w:val="24"/>
              </w:rPr>
              <w:t>Wiązka projektów 12: Poprawa dostępności usług publicznych, w szczególności poprzez budowę lub rozbudowę infrastruktury społecznej i edukacyjnej</w:t>
            </w:r>
          </w:p>
        </w:tc>
      </w:tr>
      <w:tr w:rsidR="00ED201B" w:rsidRPr="00525CAC" w:rsidTr="00525CAC">
        <w:trPr>
          <w:trHeight w:val="113"/>
          <w:jc w:val="center"/>
        </w:trPr>
        <w:tc>
          <w:tcPr>
            <w:tcW w:w="14004" w:type="dxa"/>
            <w:vAlign w:val="center"/>
            <w:hideMark/>
          </w:tcPr>
          <w:p w:rsidR="00ED201B" w:rsidRPr="00CB6D03" w:rsidRDefault="00ED201B" w:rsidP="00CB6D03">
            <w:pPr>
              <w:pStyle w:val="Akapitzlist"/>
              <w:numPr>
                <w:ilvl w:val="0"/>
                <w:numId w:val="32"/>
              </w:numPr>
              <w:tabs>
                <w:tab w:val="left" w:pos="1872"/>
              </w:tabs>
              <w:spacing w:line="240" w:lineRule="auto"/>
              <w:jc w:val="left"/>
              <w:rPr>
                <w:rFonts w:eastAsia="Calibri" w:cstheme="minorHAnsi"/>
                <w:bCs/>
                <w:sz w:val="24"/>
                <w:szCs w:val="24"/>
              </w:rPr>
            </w:pPr>
            <w:r w:rsidRPr="00CB6D03">
              <w:rPr>
                <w:rFonts w:eastAsia="Calibri" w:cstheme="minorHAnsi"/>
                <w:bCs/>
                <w:sz w:val="24"/>
                <w:szCs w:val="24"/>
              </w:rPr>
              <w:t>Budowa budynku edukacyjnego na terenie Gminy Trzebnica</w:t>
            </w:r>
          </w:p>
          <w:p w:rsidR="00ED201B" w:rsidRPr="00CB6D03" w:rsidRDefault="00ED201B" w:rsidP="00CB6D03">
            <w:pPr>
              <w:pStyle w:val="Akapitzlist"/>
              <w:numPr>
                <w:ilvl w:val="0"/>
                <w:numId w:val="32"/>
              </w:numPr>
              <w:tabs>
                <w:tab w:val="left" w:pos="1872"/>
              </w:tabs>
              <w:spacing w:line="240" w:lineRule="auto"/>
              <w:jc w:val="left"/>
              <w:rPr>
                <w:rFonts w:eastAsia="Calibri" w:cstheme="minorHAnsi"/>
                <w:bCs/>
                <w:sz w:val="24"/>
                <w:szCs w:val="24"/>
              </w:rPr>
            </w:pPr>
            <w:r w:rsidRPr="00CB6D03">
              <w:rPr>
                <w:rFonts w:eastAsia="Calibri" w:cstheme="minorHAnsi"/>
                <w:bCs/>
                <w:sz w:val="24"/>
                <w:szCs w:val="24"/>
              </w:rPr>
              <w:t>Poprawa dostępności do usług publicznych na terenach wiejskich Wrocławskiego Obszaru Funkcjonalnego – Gmina Czernica etap I</w:t>
            </w:r>
          </w:p>
        </w:tc>
      </w:tr>
      <w:tr w:rsidR="00ED201B" w:rsidRPr="00525CAC" w:rsidTr="00525CAC">
        <w:trPr>
          <w:trHeight w:val="567"/>
          <w:jc w:val="center"/>
        </w:trPr>
        <w:tc>
          <w:tcPr>
            <w:tcW w:w="14004" w:type="dxa"/>
            <w:shd w:val="clear" w:color="auto" w:fill="F2F2F2"/>
            <w:vAlign w:val="center"/>
          </w:tcPr>
          <w:p w:rsidR="00ED201B" w:rsidRPr="00CB6D03" w:rsidRDefault="00ED201B" w:rsidP="00CB6D03">
            <w:pPr>
              <w:tabs>
                <w:tab w:val="left" w:pos="1872"/>
              </w:tabs>
              <w:spacing w:line="240" w:lineRule="auto"/>
              <w:jc w:val="left"/>
              <w:rPr>
                <w:rFonts w:cstheme="minorHAnsi"/>
                <w:sz w:val="24"/>
                <w:szCs w:val="24"/>
              </w:rPr>
            </w:pPr>
            <w:r w:rsidRPr="00CB6D03">
              <w:rPr>
                <w:rFonts w:eastAsia="Calibri" w:cstheme="minorHAnsi"/>
                <w:sz w:val="24"/>
                <w:szCs w:val="24"/>
              </w:rPr>
              <w:t>Wiązka projektów 13: Przygotowanie i monitorowanie strategii ZIT, kreowanie polityki rozwoju obszaru</w:t>
            </w:r>
          </w:p>
        </w:tc>
      </w:tr>
      <w:tr w:rsidR="00ED201B" w:rsidRPr="00525CAC" w:rsidTr="00525CAC">
        <w:trPr>
          <w:trHeight w:val="113"/>
          <w:jc w:val="center"/>
        </w:trPr>
        <w:tc>
          <w:tcPr>
            <w:tcW w:w="14004" w:type="dxa"/>
            <w:vAlign w:val="center"/>
          </w:tcPr>
          <w:p w:rsidR="00ED201B" w:rsidRPr="00CB6D03" w:rsidRDefault="00ED201B" w:rsidP="00CB6D03">
            <w:pPr>
              <w:pStyle w:val="Akapitzlist"/>
              <w:numPr>
                <w:ilvl w:val="0"/>
                <w:numId w:val="32"/>
              </w:numPr>
              <w:tabs>
                <w:tab w:val="left" w:pos="1872"/>
              </w:tabs>
              <w:spacing w:line="240" w:lineRule="auto"/>
              <w:jc w:val="left"/>
              <w:rPr>
                <w:rFonts w:cstheme="minorHAnsi"/>
                <w:sz w:val="24"/>
                <w:szCs w:val="24"/>
              </w:rPr>
            </w:pPr>
            <w:r w:rsidRPr="00CB6D03">
              <w:rPr>
                <w:rFonts w:cstheme="minorHAnsi"/>
                <w:sz w:val="24"/>
                <w:szCs w:val="24"/>
              </w:rPr>
              <w:t>Przygotowanie i monitorowanie strategii ZIT oraz działania na rzecz zwiększenia</w:t>
            </w:r>
            <w:r w:rsidR="008E2B18" w:rsidRPr="00CB6D03">
              <w:rPr>
                <w:rFonts w:cstheme="minorHAnsi"/>
                <w:sz w:val="24"/>
                <w:szCs w:val="24"/>
              </w:rPr>
              <w:t xml:space="preserve"> zdolności kreowania polityki </w:t>
            </w:r>
            <w:r w:rsidRPr="00CB6D03">
              <w:rPr>
                <w:rFonts w:cstheme="minorHAnsi"/>
                <w:sz w:val="24"/>
                <w:szCs w:val="24"/>
              </w:rPr>
              <w:t xml:space="preserve">rozwoju obszaru oraz koordynacyjnych Biura ZIT Wrocławskiego Obszaru Funkcjonalnego </w:t>
            </w:r>
            <w:r w:rsidR="008E2B18" w:rsidRPr="00CB6D03">
              <w:rPr>
                <w:rFonts w:cstheme="minorHAnsi"/>
                <w:sz w:val="24"/>
                <w:szCs w:val="24"/>
              </w:rPr>
              <w:t>–</w:t>
            </w:r>
            <w:r w:rsidRPr="00CB6D03">
              <w:rPr>
                <w:rFonts w:cstheme="minorHAnsi"/>
                <w:sz w:val="24"/>
                <w:szCs w:val="24"/>
              </w:rPr>
              <w:t xml:space="preserve"> Etap I</w:t>
            </w:r>
          </w:p>
          <w:p w:rsidR="00ED201B" w:rsidRPr="00CB6D03" w:rsidRDefault="00ED201B" w:rsidP="00CB6D03">
            <w:pPr>
              <w:pStyle w:val="Akapitzlist"/>
              <w:numPr>
                <w:ilvl w:val="0"/>
                <w:numId w:val="32"/>
              </w:numPr>
              <w:tabs>
                <w:tab w:val="left" w:pos="1872"/>
              </w:tabs>
              <w:spacing w:line="240" w:lineRule="auto"/>
              <w:jc w:val="left"/>
              <w:rPr>
                <w:rFonts w:cstheme="minorHAnsi"/>
                <w:sz w:val="24"/>
                <w:szCs w:val="24"/>
              </w:rPr>
            </w:pPr>
            <w:r w:rsidRPr="00CB6D03">
              <w:rPr>
                <w:rFonts w:eastAsia="Calibri" w:cstheme="minorHAnsi"/>
                <w:bCs/>
                <w:sz w:val="24"/>
                <w:szCs w:val="24"/>
              </w:rPr>
              <w:t>Wsparcie podmiotu realizującego ZIT ze środków FEDS PT EFS + w latach 2021-2027</w:t>
            </w:r>
          </w:p>
        </w:tc>
      </w:tr>
    </w:tbl>
    <w:p w:rsidR="007B6D6E" w:rsidRDefault="00CB6D03" w:rsidP="00CB6D03">
      <w:pPr>
        <w:tabs>
          <w:tab w:val="left" w:pos="4304"/>
        </w:tabs>
      </w:pPr>
      <w:r>
        <w:tab/>
      </w:r>
    </w:p>
    <w:p w:rsidR="00E137CD" w:rsidRDefault="00CB6D03" w:rsidP="00CB6D03">
      <w:pPr>
        <w:tabs>
          <w:tab w:val="left" w:pos="4304"/>
        </w:tabs>
        <w:sectPr w:rsidR="00E137CD" w:rsidSect="005A11FB">
          <w:pgSz w:w="16838" w:h="11906" w:orient="landscape" w:code="9"/>
          <w:pgMar w:top="1418" w:right="1418" w:bottom="1418" w:left="1418" w:header="709" w:footer="709" w:gutter="0"/>
          <w:cols w:space="708"/>
          <w:docGrid w:linePitch="360"/>
        </w:sectPr>
      </w:pPr>
      <w:r>
        <w:tab/>
      </w: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20"/>
          <w:tblHead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525CAC" w:rsidRPr="00A813D5" w:rsidRDefault="00525CAC" w:rsidP="001D587F">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bl>
    <w:p w:rsidR="00525CAC" w:rsidRPr="00525CAC" w:rsidRDefault="00525CAC" w:rsidP="005A11FB">
      <w:pPr>
        <w:rPr>
          <w:i/>
          <w:sz w:val="6"/>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525CAC" w:rsidRPr="00A813D5" w:rsidTr="001D587F">
        <w:trPr>
          <w:trHeight w:val="20"/>
          <w:tblHeader/>
        </w:trPr>
        <w:tc>
          <w:tcPr>
            <w:tcW w:w="1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FEDS.07 Fundusze Europejskie na rzecz rynku pracy i włączenia społecznego na Dolnym Śląsku / FEDS.07.10 Rozwój usług społecznych i zdrowotnych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Razem łatwiej. Wrocławski asystent osobisty osoby z niepełnosprawnością.</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Zwiększenie dostępności, jakości i trwałości usług świadczonych </w:t>
            </w:r>
            <w:r w:rsidRPr="00A813D5">
              <w:rPr>
                <w:rFonts w:ascii="Calibri" w:hAnsi="Calibri" w:cs="Arial"/>
                <w:color w:val="000000"/>
              </w:rPr>
              <w:br/>
              <w:t xml:space="preserve">w społeczności lokalnej poprzez zwiększenie liczby osób świadczących </w:t>
            </w:r>
            <w:r w:rsidRPr="00A813D5">
              <w:rPr>
                <w:rFonts w:ascii="Calibri" w:hAnsi="Calibri" w:cs="Arial"/>
                <w:color w:val="000000"/>
              </w:rPr>
              <w:br/>
              <w:t xml:space="preserve">w społeczności lokalnej usługi asystenta osobistego osoby </w:t>
            </w:r>
            <w:r w:rsidRPr="00A813D5">
              <w:rPr>
                <w:rFonts w:ascii="Calibri" w:hAnsi="Calibri" w:cs="Arial"/>
                <w:color w:val="000000"/>
              </w:rPr>
              <w:br/>
              <w:t xml:space="preserve">z niepełnosprawnością,   poprzez realizację szkoleń dla kandydatów do pracy w tym zawodzie. Zwiększenie liczby miejsc świadczenia usług asystenta osobistego osoby </w:t>
            </w:r>
            <w:r w:rsidRPr="00A813D5">
              <w:rPr>
                <w:rFonts w:ascii="Calibri" w:hAnsi="Calibri" w:cs="Arial"/>
                <w:color w:val="000000"/>
              </w:rPr>
              <w:br/>
              <w:t>z niepełnosprawnością poprzez objęcie wsparciem asystentów osób z niepełnosprawnością.</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8 382 110,00</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5 867 477,00</w:t>
            </w:r>
          </w:p>
        </w:tc>
        <w:tc>
          <w:tcPr>
            <w:tcW w:w="352"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2026</w:t>
            </w:r>
          </w:p>
        </w:tc>
        <w:tc>
          <w:tcPr>
            <w:tcW w:w="466"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lipiec 2023 r.</w:t>
            </w:r>
          </w:p>
        </w:tc>
        <w:tc>
          <w:tcPr>
            <w:tcW w:w="558"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 Rozwój usług społecznych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FEDS.07 Fundusze Europejskie na rzecz rynku pracy i włączenia społecznego na Dolnym Śląsku / FEDS.07.10 Rozwój usług społecznych i zdrowotnych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Usługi społeczne w Gminie Kąty Wrocławskie i Gminie Sobótka.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Kąty Wrocławskie</w:t>
            </w:r>
          </w:p>
        </w:tc>
        <w:tc>
          <w:tcPr>
            <w:tcW w:w="669"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Zapewnienie usług społecznych osobom </w:t>
            </w:r>
            <w:r w:rsidRPr="00A813D5">
              <w:rPr>
                <w:rFonts w:ascii="Calibri" w:hAnsi="Calibri" w:cs="Arial"/>
                <w:color w:val="000000"/>
              </w:rPr>
              <w:br/>
              <w:t xml:space="preserve">z niepełnosprawnościami, mieszkańcom, w celu zwiększenia samodzielności </w:t>
            </w:r>
            <w:r w:rsidRPr="00A813D5">
              <w:rPr>
                <w:rFonts w:ascii="Calibri" w:hAnsi="Calibri" w:cs="Arial"/>
                <w:color w:val="000000"/>
              </w:rPr>
              <w:br/>
              <w:t>i zakresu uczestnictwa w życiu społecznym i kulturalnym  osób z niepełnosprawnością.</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3 998 522,00</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2 798 965,40</w:t>
            </w:r>
          </w:p>
        </w:tc>
        <w:tc>
          <w:tcPr>
            <w:tcW w:w="352"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2026</w:t>
            </w:r>
          </w:p>
        </w:tc>
        <w:tc>
          <w:tcPr>
            <w:tcW w:w="466"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listopad-grudzień</w:t>
            </w:r>
            <w:r w:rsidRPr="00A813D5">
              <w:rPr>
                <w:rFonts w:ascii="Calibri" w:hAnsi="Calibri" w:cs="Arial"/>
                <w:color w:val="FF0000"/>
              </w:rPr>
              <w:t xml:space="preserve"> </w:t>
            </w:r>
            <w:r w:rsidRPr="00A813D5">
              <w:rPr>
                <w:rFonts w:ascii="Calibri" w:hAnsi="Calibri" w:cs="Arial"/>
                <w:color w:val="000000"/>
              </w:rPr>
              <w:t>2023 r.</w:t>
            </w:r>
          </w:p>
        </w:tc>
        <w:tc>
          <w:tcPr>
            <w:tcW w:w="558"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 Rozwój usług społecznych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FEDS.07 Fundusze Europejskie na rzecz rynku pracy i włączenia społecznego na Dolnym Śląsku / FEDS.07.10 Rozwój usług społecznych i zdrowotnych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Usługi społeczne w gminach Długołęka, Dobroszyce, Kobierzyce, Miękinia, Oborniki Śląskie, Oleśnica (miasto), Wisznia Mała, Zawonia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Wisznia Mała</w:t>
            </w:r>
          </w:p>
        </w:tc>
        <w:tc>
          <w:tcPr>
            <w:tcW w:w="669"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Rozwój usług asystenckich </w:t>
            </w:r>
            <w:r w:rsidRPr="00A813D5">
              <w:rPr>
                <w:rFonts w:ascii="Calibri" w:hAnsi="Calibri" w:cs="Arial"/>
                <w:color w:val="000000"/>
              </w:rPr>
              <w:br/>
              <w:t xml:space="preserve">i opiekuńczych nad osobami niesamodzielnymi obejmujące in. następujące formy wsparcia: usługi opiekuńcze, usługi asystenckie świadczone na rzecz osób z niepełnosprawnościami, oraz opiekę </w:t>
            </w:r>
            <w:proofErr w:type="spellStart"/>
            <w:r w:rsidRPr="00A813D5">
              <w:rPr>
                <w:rFonts w:ascii="Calibri" w:hAnsi="Calibri" w:cs="Arial"/>
                <w:color w:val="000000"/>
              </w:rPr>
              <w:t>wytchnieniową</w:t>
            </w:r>
            <w:proofErr w:type="spellEnd"/>
            <w:r w:rsidRPr="00A813D5">
              <w:rPr>
                <w:rFonts w:ascii="Calibri" w:hAnsi="Calibri" w:cs="Arial"/>
                <w:color w:val="000000"/>
              </w:rPr>
              <w:t>. szkolenia kadry realizującej usługi społeczne</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13 636 568,00</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9 545 597,60</w:t>
            </w:r>
          </w:p>
        </w:tc>
        <w:tc>
          <w:tcPr>
            <w:tcW w:w="352"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grudzień 2023 r.</w:t>
            </w:r>
          </w:p>
        </w:tc>
        <w:tc>
          <w:tcPr>
            <w:tcW w:w="558"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 Rozwój usług społecznych na terenie Wrocławskiego Obszaru Funkcjonalnego</w:t>
            </w:r>
          </w:p>
        </w:tc>
      </w:tr>
      <w:tr w:rsidR="00525CAC" w:rsidRPr="00A813D5" w:rsidTr="001D587F">
        <w:trPr>
          <w:trHeight w:val="113"/>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FEDS.07 Fundusze Europejskie na rzecz rynku pracy i włączenia społecznego na Dolnym Śląsku / FEDS.07.10 Rozwój usług społecznych i zdrowotnych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Usługi społeczne w formie opiekuńczej, </w:t>
            </w:r>
            <w:proofErr w:type="spellStart"/>
            <w:r w:rsidRPr="00A813D5">
              <w:rPr>
                <w:rFonts w:ascii="Calibri" w:hAnsi="Calibri" w:cs="Arial"/>
                <w:color w:val="000000"/>
              </w:rPr>
              <w:t>wytchnieniowej</w:t>
            </w:r>
            <w:proofErr w:type="spellEnd"/>
            <w:r w:rsidRPr="00A813D5">
              <w:rPr>
                <w:rFonts w:ascii="Calibri" w:hAnsi="Calibri" w:cs="Arial"/>
                <w:color w:val="000000"/>
              </w:rPr>
              <w:t xml:space="preserve"> i asystenckiej  na rzecz  społeczności lokalnej</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Siechnice</w:t>
            </w:r>
          </w:p>
        </w:tc>
        <w:tc>
          <w:tcPr>
            <w:tcW w:w="669"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Udzielenie wsparcia w postaci usług opiekuńczych osobom, które ze względu na stan zdrowia i wiek potrzebują pomocy innych osób. Udzielenie wsparcia dla członków rodzin lub opiekunów sprawujących bezpośrednią opiekę nad dziećmi lub osoba dorosłą </w:t>
            </w:r>
            <w:r w:rsidRPr="00A813D5">
              <w:rPr>
                <w:rFonts w:ascii="Calibri" w:hAnsi="Calibri" w:cs="Arial"/>
                <w:color w:val="000000"/>
              </w:rPr>
              <w:br/>
              <w:t xml:space="preserve">z orzeczeniem w postaci opieki </w:t>
            </w:r>
            <w:proofErr w:type="spellStart"/>
            <w:r w:rsidRPr="00A813D5">
              <w:rPr>
                <w:rFonts w:ascii="Calibri" w:hAnsi="Calibri" w:cs="Arial"/>
                <w:color w:val="000000"/>
              </w:rPr>
              <w:t>wytchnieniowej</w:t>
            </w:r>
            <w:proofErr w:type="spellEnd"/>
            <w:r w:rsidRPr="00A813D5">
              <w:rPr>
                <w:rFonts w:ascii="Calibri" w:hAnsi="Calibri" w:cs="Arial"/>
                <w:color w:val="000000"/>
              </w:rPr>
              <w:t xml:space="preserve">. Wsparcie osób z niepełnosprawnością w formie asystenta osobistego osoby </w:t>
            </w:r>
            <w:r w:rsidRPr="00A813D5">
              <w:rPr>
                <w:rFonts w:ascii="Calibri" w:hAnsi="Calibri" w:cs="Arial"/>
                <w:color w:val="000000"/>
              </w:rPr>
              <w:br/>
              <w:t xml:space="preserve">z niepełnosprawnością. Podniesienie wiedzy </w:t>
            </w:r>
            <w:r w:rsidRPr="00A813D5">
              <w:rPr>
                <w:rFonts w:ascii="Calibri" w:hAnsi="Calibri" w:cs="Arial"/>
                <w:color w:val="000000"/>
              </w:rPr>
              <w:br/>
              <w:t xml:space="preserve">i kompetencji osób świadczących usługi opiekuńcze, opieki </w:t>
            </w:r>
            <w:proofErr w:type="spellStart"/>
            <w:r w:rsidRPr="00A813D5">
              <w:rPr>
                <w:rFonts w:ascii="Calibri" w:hAnsi="Calibri" w:cs="Arial"/>
                <w:color w:val="000000"/>
              </w:rPr>
              <w:t>wytchnieniowej</w:t>
            </w:r>
            <w:proofErr w:type="spellEnd"/>
            <w:r w:rsidRPr="00A813D5">
              <w:rPr>
                <w:rFonts w:ascii="Calibri" w:hAnsi="Calibri" w:cs="Arial"/>
                <w:color w:val="000000"/>
              </w:rPr>
              <w:t xml:space="preserve"> </w:t>
            </w:r>
            <w:r w:rsidRPr="00A813D5">
              <w:rPr>
                <w:rFonts w:ascii="Calibri" w:hAnsi="Calibri" w:cs="Arial"/>
                <w:color w:val="000000"/>
              </w:rPr>
              <w:br/>
              <w:t>i asystentury.</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4 423 320,00</w:t>
            </w:r>
          </w:p>
        </w:tc>
        <w:tc>
          <w:tcPr>
            <w:tcW w:w="443"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3 096 324,00</w:t>
            </w:r>
          </w:p>
        </w:tc>
        <w:tc>
          <w:tcPr>
            <w:tcW w:w="352"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364"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2027</w:t>
            </w:r>
          </w:p>
        </w:tc>
        <w:tc>
          <w:tcPr>
            <w:tcW w:w="466"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2024 r.</w:t>
            </w:r>
          </w:p>
        </w:tc>
        <w:tc>
          <w:tcPr>
            <w:tcW w:w="558" w:type="pct"/>
            <w:shd w:val="clear" w:color="000000" w:fill="FFFFFF"/>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 Rozwój usług społecznych na terenie Wrocławskiego Obszaru Funkcjonalnego</w:t>
            </w:r>
          </w:p>
        </w:tc>
      </w:tr>
      <w:tr w:rsidR="00525CAC" w:rsidRPr="00A813D5" w:rsidTr="001D587F">
        <w:trPr>
          <w:trHeight w:val="20"/>
        </w:trPr>
        <w:tc>
          <w:tcPr>
            <w:tcW w:w="143"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390"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603"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569"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669" w:type="pct"/>
            <w:shd w:val="clear" w:color="000000" w:fill="FFFFFF"/>
            <w:vAlign w:val="center"/>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ESO4.11:</w:t>
            </w:r>
          </w:p>
        </w:tc>
        <w:tc>
          <w:tcPr>
            <w:tcW w:w="443" w:type="pct"/>
            <w:shd w:val="clear" w:color="000000" w:fill="FFFFFF"/>
            <w:vAlign w:val="center"/>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30 400 520,00</w:t>
            </w:r>
          </w:p>
        </w:tc>
        <w:tc>
          <w:tcPr>
            <w:tcW w:w="443" w:type="pct"/>
            <w:shd w:val="clear" w:color="000000" w:fill="FFFFFF"/>
            <w:vAlign w:val="center"/>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21 308 364,00</w:t>
            </w:r>
          </w:p>
        </w:tc>
        <w:tc>
          <w:tcPr>
            <w:tcW w:w="352" w:type="pct"/>
            <w:shd w:val="clear" w:color="000000" w:fill="FFFFFF"/>
            <w:vAlign w:val="center"/>
          </w:tcPr>
          <w:p w:rsidR="00525CAC" w:rsidRPr="00A813D5" w:rsidRDefault="00525CAC" w:rsidP="00A813D5">
            <w:pPr>
              <w:spacing w:after="0" w:line="240" w:lineRule="auto"/>
              <w:jc w:val="left"/>
              <w:rPr>
                <w:rFonts w:ascii="Calibri" w:hAnsi="Calibri" w:cs="Arial"/>
                <w:color w:val="000000"/>
              </w:rPr>
            </w:pPr>
          </w:p>
        </w:tc>
        <w:tc>
          <w:tcPr>
            <w:tcW w:w="364" w:type="pct"/>
            <w:shd w:val="clear" w:color="000000" w:fill="FFFFFF"/>
            <w:vAlign w:val="center"/>
          </w:tcPr>
          <w:p w:rsidR="00525CAC" w:rsidRPr="00A813D5" w:rsidRDefault="00525CAC" w:rsidP="00A813D5">
            <w:pPr>
              <w:spacing w:after="0" w:line="240" w:lineRule="auto"/>
              <w:jc w:val="left"/>
              <w:rPr>
                <w:rFonts w:ascii="Calibri" w:hAnsi="Calibri" w:cs="Arial"/>
                <w:color w:val="000000"/>
              </w:rPr>
            </w:pPr>
          </w:p>
        </w:tc>
        <w:tc>
          <w:tcPr>
            <w:tcW w:w="466" w:type="pct"/>
            <w:shd w:val="clear" w:color="000000" w:fill="FFFFFF"/>
            <w:vAlign w:val="center"/>
          </w:tcPr>
          <w:p w:rsidR="00525CAC" w:rsidRPr="00A813D5" w:rsidRDefault="00525CAC" w:rsidP="00A813D5">
            <w:pPr>
              <w:spacing w:after="0" w:line="240" w:lineRule="auto"/>
              <w:jc w:val="left"/>
              <w:rPr>
                <w:rFonts w:ascii="Calibri" w:hAnsi="Calibri" w:cs="Arial"/>
                <w:color w:val="000000"/>
              </w:rPr>
            </w:pPr>
          </w:p>
        </w:tc>
        <w:tc>
          <w:tcPr>
            <w:tcW w:w="558" w:type="pct"/>
            <w:shd w:val="clear" w:color="000000" w:fill="FFFFFF"/>
            <w:vAlign w:val="center"/>
          </w:tcPr>
          <w:p w:rsidR="00525CAC" w:rsidRPr="00A813D5" w:rsidRDefault="00525CAC" w:rsidP="00A813D5">
            <w:pPr>
              <w:spacing w:after="0" w:line="240" w:lineRule="auto"/>
              <w:jc w:val="left"/>
              <w:rPr>
                <w:rFonts w:ascii="Calibri" w:hAnsi="Calibri" w:cs="Arial"/>
                <w:color w:val="000000"/>
              </w:rPr>
            </w:pPr>
          </w:p>
        </w:tc>
      </w:tr>
    </w:tbl>
    <w:p w:rsidR="00525CAC" w:rsidRDefault="00525CAC"/>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907"/>
          <w:tblHead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1D587F">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r>
    </w:tbl>
    <w:p w:rsidR="00525CAC" w:rsidRPr="00525CAC" w:rsidRDefault="00525CAC">
      <w:pPr>
        <w:rPr>
          <w:sz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525CAC" w:rsidRPr="00A813D5" w:rsidTr="001D587F">
        <w:trPr>
          <w:trHeight w:val="20"/>
          <w:tblHeader/>
        </w:trPr>
        <w:tc>
          <w:tcPr>
            <w:tcW w:w="1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FEDS.08 Fundusze Europejskie dla edukacji na Dolnym Śląsku / FEDS.08.03 Dostęp do edukacji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Rozwój edukacji przedszkolnej w gminach Czernica, Długołęka, Oleśnica (gmina wiejska), Sobótka, Wisznia Mała, Zawonia </w:t>
            </w:r>
            <w:r w:rsidRPr="00A813D5">
              <w:rPr>
                <w:rFonts w:ascii="Calibri" w:hAnsi="Calibri" w:cs="Arial"/>
                <w:color w:val="000000"/>
              </w:rPr>
              <w:br/>
              <w:t>i Żórawina.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Wisznia Mała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Rozwój edukacji przedszkolnej poprzez: zwiększenie liczby miejsc przedszkolnych, zwiększenie liczby zajęć dodatkowych dla dzieci przedszkolnych. Poprawa jakości edukacji przedszkolnej poprzez doposażenie nowych </w:t>
            </w:r>
            <w:r w:rsidRPr="00A813D5">
              <w:rPr>
                <w:rFonts w:ascii="Calibri" w:hAnsi="Calibri" w:cs="Arial"/>
                <w:color w:val="000000"/>
              </w:rPr>
              <w:br/>
              <w:t xml:space="preserve">i istniejących przedszkoli </w:t>
            </w:r>
            <w:r w:rsidRPr="00A813D5">
              <w:rPr>
                <w:rFonts w:ascii="Calibri" w:hAnsi="Calibri" w:cs="Arial"/>
                <w:color w:val="000000"/>
              </w:rPr>
              <w:br/>
              <w:t>w sprzęt edukacyjny, w tym wyposażenie placów zabaw oraz zwiększenie możliwości obsługi gastronomicznej dzięki zakupowi wyposażenia. Zwiększenie efektywności edukacji przedszkolnej dzięki szkoleniom kadry.</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10 815 885,70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7 571 120,00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bCs/>
                <w:color w:val="000000"/>
              </w:rPr>
              <w:t>III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bCs/>
                <w:color w:val="000000"/>
              </w:rPr>
              <w:t>wrzesień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2: Upowszechnienie dostępu do edukacji przedszkolnej oraz wsparcie kształcenia zawodowego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FEDS.08 Fundusze Europejskie dla edukacji na Dolnym Śląsku / FEDS.08.03 Dostęp do edukacji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Wsparcie kształcenia zawodowego na terenie ZIT WrOF w Powiecie Wrocławskim.</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Powiat Wrocławski</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Objęcie kompleksowym wsparciem uczniów kształcenia zawodowego w Powiecie Wrocławskim i zapewnienie im równego dostępu do wysokiej jakości edukacji kształcenia zawodowego oraz dopasowanie systemów kształcenia do uwarunkowań  rynku pracy.</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3 433 854,20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2 403 697,94</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sierpień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2: Upowszechnienie dostępu do edukacji przedszkolnej oraz wsparcie kształcenia zawodowego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FEDS.08 Fundusze Europejskie dla edukacji na Dolnym Śląsku / FEDS.08.03 Dostęp do edukacji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Zespół Szkół Zawodowych im. Marii </w:t>
            </w:r>
            <w:proofErr w:type="spellStart"/>
            <w:r w:rsidRPr="00A813D5">
              <w:rPr>
                <w:rFonts w:ascii="Calibri" w:hAnsi="Calibri" w:cs="Arial"/>
                <w:color w:val="000000"/>
              </w:rPr>
              <w:t>Skłodowskiej-Curie</w:t>
            </w:r>
            <w:proofErr w:type="spellEnd"/>
            <w:r w:rsidRPr="00A813D5">
              <w:rPr>
                <w:rFonts w:ascii="Calibri" w:hAnsi="Calibri" w:cs="Arial"/>
                <w:color w:val="000000"/>
              </w:rPr>
              <w:t xml:space="preserve"> w Oleśnicy stawia na rozwój!</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Powiat Oleśnicki/ Zespół Szkół Zawodowych im. Marii </w:t>
            </w:r>
            <w:proofErr w:type="spellStart"/>
            <w:r w:rsidRPr="00A813D5">
              <w:rPr>
                <w:rFonts w:ascii="Calibri" w:hAnsi="Calibri" w:cs="Arial"/>
                <w:color w:val="000000"/>
              </w:rPr>
              <w:t>Skłodowskiej-Curie</w:t>
            </w:r>
            <w:proofErr w:type="spellEnd"/>
            <w:r w:rsidRPr="00A813D5">
              <w:rPr>
                <w:rFonts w:ascii="Calibri" w:hAnsi="Calibri" w:cs="Arial"/>
                <w:color w:val="000000"/>
              </w:rPr>
              <w:t xml:space="preserve"> w Oleśnicy</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Poprawa jakości kształcenia dzięki kursom i szkoleniom kadry nauczycielskiej oraz doposażenia </w:t>
            </w:r>
            <w:proofErr w:type="spellStart"/>
            <w:r w:rsidRPr="00A813D5">
              <w:rPr>
                <w:rFonts w:ascii="Calibri" w:hAnsi="Calibri" w:cs="Arial"/>
                <w:color w:val="000000"/>
              </w:rPr>
              <w:t>sal</w:t>
            </w:r>
            <w:proofErr w:type="spellEnd"/>
            <w:r w:rsidRPr="00A813D5">
              <w:rPr>
                <w:rFonts w:ascii="Calibri" w:hAnsi="Calibri" w:cs="Arial"/>
                <w:color w:val="000000"/>
              </w:rPr>
              <w:t xml:space="preserve"> dydaktycznych. Wsparcie uczniów w postaci stypendiów i staży uczniowskich. Wsparcie uczniów w zakresie nabywania kompetencji </w:t>
            </w:r>
            <w:r w:rsidRPr="00A813D5">
              <w:rPr>
                <w:rFonts w:ascii="Calibri" w:hAnsi="Calibri" w:cs="Arial"/>
                <w:color w:val="000000"/>
              </w:rPr>
              <w:br/>
              <w:t>i kwalifikacji w postaci dodatkowych zajęć oraz kursów.</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1 522 128,86</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1 065 490,20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styczeń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2: Upowszechnienie dostępu do edukacji przedszkolnej oraz wsparcie kształcenia zawodowego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FEDS.08 Fundusze Europejskie dla edukacji na Dolnym Śląsku / FEDS.08.03 Dostęp do edukacji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Bliżej rynku pracy. Wsparcie rozwoju edukacji zawodowej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Zwiększenie umiejętności zawodowych oraz wyposażenie w doświadczenie nabyte </w:t>
            </w:r>
            <w:r w:rsidRPr="00A813D5">
              <w:rPr>
                <w:rFonts w:ascii="Calibri" w:hAnsi="Calibri" w:cs="Arial"/>
                <w:color w:val="000000"/>
              </w:rPr>
              <w:br/>
              <w:t xml:space="preserve">w realiach rynkowych  </w:t>
            </w:r>
            <w:r w:rsidRPr="00A813D5">
              <w:rPr>
                <w:rFonts w:ascii="Calibri" w:hAnsi="Calibri" w:cs="Arial"/>
                <w:color w:val="000000"/>
              </w:rPr>
              <w:br/>
              <w:t xml:space="preserve">i uprawnienia poszukiwane na rynku pracy uczniów wrocławskich szkół prowadzących kształcenie zawodowe w kluczowych dla Dolnego Śląska i Wrocławia branżach, a także podniesienie jakości kształcenia zawodowego poprzez nabywanie dodatkowych kompetencji </w:t>
            </w:r>
            <w:r w:rsidRPr="00A813D5">
              <w:rPr>
                <w:rFonts w:ascii="Calibri" w:hAnsi="Calibri" w:cs="Arial"/>
                <w:color w:val="000000"/>
              </w:rPr>
              <w:br/>
              <w:t>i kwalifikacji przez kadrę pedagogiczną oraz doposażenie pracowni nauki zawodu, w tym w sprzęt TIK.</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4 573 328,57</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3 201 330,00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2: Upowszechnienie dostępu do edukacji przedszkolnej oraz wsparcie kształcenia zawodowego na terenie Wrocławskiego Obszaru Funkcjonalnego</w:t>
            </w:r>
          </w:p>
        </w:tc>
      </w:tr>
      <w:tr w:rsidR="00525CAC" w:rsidRPr="00A813D5" w:rsidTr="001D587F">
        <w:trPr>
          <w:trHeight w:val="20"/>
        </w:trPr>
        <w:tc>
          <w:tcPr>
            <w:tcW w:w="143"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390"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603"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569"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669"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ESO4.6:</w:t>
            </w:r>
          </w:p>
        </w:tc>
        <w:tc>
          <w:tcPr>
            <w:tcW w:w="443" w:type="pct"/>
            <w:shd w:val="clear" w:color="auto" w:fill="auto"/>
            <w:vAlign w:val="center"/>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20 345 197,33</w:t>
            </w:r>
          </w:p>
        </w:tc>
        <w:tc>
          <w:tcPr>
            <w:tcW w:w="443" w:type="pct"/>
            <w:shd w:val="clear" w:color="auto" w:fill="auto"/>
            <w:vAlign w:val="center"/>
          </w:tcPr>
          <w:p w:rsidR="00525CAC" w:rsidRPr="00A813D5" w:rsidRDefault="00525CAC" w:rsidP="00A813D5">
            <w:pPr>
              <w:spacing w:after="0" w:line="240" w:lineRule="auto"/>
              <w:jc w:val="left"/>
              <w:rPr>
                <w:rFonts w:ascii="Calibri" w:hAnsi="Calibri" w:cs="Arial"/>
                <w:b/>
                <w:bCs/>
                <w:color w:val="000000"/>
              </w:rPr>
            </w:pPr>
            <w:r w:rsidRPr="00A813D5">
              <w:rPr>
                <w:rFonts w:ascii="Calibri" w:hAnsi="Calibri" w:cs="Arial"/>
                <w:b/>
                <w:bCs/>
                <w:color w:val="000000"/>
              </w:rPr>
              <w:t>14 241 638,14</w:t>
            </w:r>
          </w:p>
        </w:tc>
        <w:tc>
          <w:tcPr>
            <w:tcW w:w="352"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364"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466"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c>
          <w:tcPr>
            <w:tcW w:w="558" w:type="pct"/>
            <w:shd w:val="clear" w:color="auto" w:fill="auto"/>
            <w:vAlign w:val="center"/>
          </w:tcPr>
          <w:p w:rsidR="00525CAC" w:rsidRPr="00A813D5" w:rsidRDefault="00525CAC" w:rsidP="00A813D5">
            <w:pPr>
              <w:spacing w:after="0" w:line="240" w:lineRule="auto"/>
              <w:jc w:val="left"/>
              <w:rPr>
                <w:rFonts w:ascii="Calibri" w:hAnsi="Calibri" w:cs="Arial"/>
                <w:color w:val="000000"/>
              </w:rPr>
            </w:pPr>
          </w:p>
        </w:tc>
      </w:tr>
    </w:tbl>
    <w:p w:rsidR="00525CAC" w:rsidRPr="00525CAC" w:rsidRDefault="00525CAC">
      <w:pPr>
        <w:rPr>
          <w:sz w:val="8"/>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68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rPr>
                <w:rFonts w:ascii="Calibri" w:hAnsi="Calibri" w:cs="Arial"/>
                <w:b/>
                <w:bCs/>
                <w:color w:val="000000"/>
                <w:szCs w:val="20"/>
              </w:rPr>
            </w:pPr>
            <w:r w:rsidRPr="00A813D5">
              <w:rPr>
                <w:rFonts w:ascii="Calibri" w:hAnsi="Calibri" w:cs="Arial"/>
                <w:b/>
                <w:bCs/>
                <w:color w:val="000000"/>
                <w:szCs w:val="20"/>
              </w:rPr>
              <w:t>2.2.1. Priorytet pomocy technicznej na podstawie art. 36 ust. 4 rozporządzenia w sprawie wspólnych przepisów: 11. Pomoc Techniczna EFS+</w:t>
            </w:r>
          </w:p>
        </w:tc>
      </w:tr>
    </w:tbl>
    <w:p w:rsidR="00CB6D03" w:rsidRPr="00CB6D03" w:rsidRDefault="00CB6D03" w:rsidP="00A813D5">
      <w:pPr>
        <w:jc w:val="left"/>
        <w:rPr>
          <w:sz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CB6D03" w:rsidRPr="00A813D5" w:rsidTr="001D587F">
        <w:trPr>
          <w:trHeight w:val="20"/>
          <w:tblHeader/>
        </w:trPr>
        <w:tc>
          <w:tcPr>
            <w:tcW w:w="1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L.p.</w:t>
            </w:r>
          </w:p>
        </w:tc>
        <w:tc>
          <w:tcPr>
            <w:tcW w:w="390"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Priorytet/ Działanie zgodnie z SZOP FEDS 2021-2027</w:t>
            </w:r>
          </w:p>
        </w:tc>
        <w:tc>
          <w:tcPr>
            <w:tcW w:w="60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Tytuł projektu</w:t>
            </w:r>
          </w:p>
        </w:tc>
        <w:tc>
          <w:tcPr>
            <w:tcW w:w="5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Wnioskodawca</w:t>
            </w:r>
          </w:p>
        </w:tc>
        <w:tc>
          <w:tcPr>
            <w:tcW w:w="6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projektu</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Szacowana wartość ogółem w PLN</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Szacowany wkład UE w PLN*</w:t>
            </w:r>
          </w:p>
        </w:tc>
        <w:tc>
          <w:tcPr>
            <w:tcW w:w="352"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Termin rozpoczęcia projektu</w:t>
            </w:r>
          </w:p>
        </w:tc>
        <w:tc>
          <w:tcPr>
            <w:tcW w:w="364"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Termin zakończenia projektu</w:t>
            </w:r>
          </w:p>
        </w:tc>
        <w:tc>
          <w:tcPr>
            <w:tcW w:w="466"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 xml:space="preserve">Przewidywany termin złożenia wniosku </w:t>
            </w:r>
            <w:r w:rsidRPr="00A813D5">
              <w:rPr>
                <w:rFonts w:ascii="Calibri" w:hAnsi="Calibri" w:cs="Arial"/>
                <w:b/>
                <w:bCs/>
                <w:color w:val="000000"/>
                <w:szCs w:val="20"/>
              </w:rPr>
              <w:br/>
              <w:t>o dofinansowanie (miesiąc/rok)</w:t>
            </w:r>
          </w:p>
        </w:tc>
        <w:tc>
          <w:tcPr>
            <w:tcW w:w="558"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 xml:space="preserve">Numer i nazwa wiązki, </w:t>
            </w:r>
            <w:r w:rsidRPr="00A813D5">
              <w:rPr>
                <w:rFonts w:ascii="Calibri" w:hAnsi="Calibri" w:cs="Arial"/>
                <w:b/>
                <w:bCs/>
                <w:color w:val="000000"/>
                <w:szCs w:val="2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FEDS.11 Pomoc Techniczna EFS+ / FEDS.11.01 Pomoc Techniczna EFS+</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Wsparcie podmiotu realizującego ZIT ze środków FEDS PT EFS +  w latach 2021-2027</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Gmina Wrocław, Biuro ZIT WrOF</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Głównym celem projektu będzie wspieranie wdrażania programu FEDS w ramach priorytetu PT EFS +.</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2 721 238,63</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1 904 867,04</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II kw. 2029</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szCs w:val="20"/>
              </w:rPr>
            </w:pPr>
            <w:r w:rsidRPr="00A813D5">
              <w:rPr>
                <w:rFonts w:ascii="Calibri" w:hAnsi="Calibri" w:cs="Arial"/>
                <w:color w:val="000000"/>
                <w:szCs w:val="20"/>
              </w:rPr>
              <w:t>Wiązka projektów 13: Przygotowanie i monitorowanie strategii ZIT, kreowanie polityki rozwoju obszaru</w:t>
            </w:r>
          </w:p>
        </w:tc>
      </w:tr>
      <w:tr w:rsidR="00CB6D03" w:rsidRPr="00A813D5" w:rsidTr="001D587F">
        <w:trPr>
          <w:trHeight w:val="454"/>
        </w:trPr>
        <w:tc>
          <w:tcPr>
            <w:tcW w:w="143"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390"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603"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569"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669"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r w:rsidRPr="00A813D5">
              <w:rPr>
                <w:rFonts w:ascii="Calibri" w:hAnsi="Calibri" w:cs="Arial"/>
                <w:b/>
                <w:bCs/>
                <w:color w:val="000000"/>
                <w:szCs w:val="20"/>
              </w:rPr>
              <w:t>SUMA PROJEKTÓW W 2.2.1:</w:t>
            </w:r>
          </w:p>
        </w:tc>
        <w:tc>
          <w:tcPr>
            <w:tcW w:w="443" w:type="pct"/>
            <w:shd w:val="clear" w:color="auto" w:fill="auto"/>
            <w:vAlign w:val="center"/>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2 721 238,63</w:t>
            </w:r>
          </w:p>
        </w:tc>
        <w:tc>
          <w:tcPr>
            <w:tcW w:w="443" w:type="pct"/>
            <w:shd w:val="clear" w:color="auto" w:fill="auto"/>
            <w:vAlign w:val="center"/>
          </w:tcPr>
          <w:p w:rsidR="00CB6D03" w:rsidRPr="00A813D5" w:rsidRDefault="00CB6D03"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1 904 867,04</w:t>
            </w:r>
          </w:p>
        </w:tc>
        <w:tc>
          <w:tcPr>
            <w:tcW w:w="352"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364"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466"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c>
          <w:tcPr>
            <w:tcW w:w="558" w:type="pct"/>
            <w:shd w:val="clear" w:color="auto" w:fill="auto"/>
            <w:vAlign w:val="center"/>
          </w:tcPr>
          <w:p w:rsidR="00CB6D03" w:rsidRPr="00A813D5" w:rsidRDefault="00CB6D03" w:rsidP="00A813D5">
            <w:pPr>
              <w:spacing w:after="0" w:line="240" w:lineRule="auto"/>
              <w:jc w:val="left"/>
              <w:rPr>
                <w:rFonts w:ascii="Calibri" w:hAnsi="Calibri" w:cs="Arial"/>
                <w:color w:val="000000"/>
                <w:szCs w:val="20"/>
              </w:rPr>
            </w:pPr>
          </w:p>
        </w:tc>
      </w:tr>
    </w:tbl>
    <w:p w:rsidR="00CB6D03" w:rsidRDefault="00CB6D03"/>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624"/>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RSO2.1. Wspieranie efektywności energetycznej i redukcji emisji gazów cieplarnianych</w:t>
            </w:r>
          </w:p>
        </w:tc>
      </w:tr>
    </w:tbl>
    <w:p w:rsidR="00CB6D03" w:rsidRPr="00CB6D03" w:rsidRDefault="00CB6D03">
      <w:pPr>
        <w:rPr>
          <w:sz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CB6D03" w:rsidRPr="00A813D5" w:rsidTr="001D587F">
        <w:trPr>
          <w:trHeight w:val="20"/>
          <w:tblHeader/>
        </w:trPr>
        <w:tc>
          <w:tcPr>
            <w:tcW w:w="1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Poprawa efektywności energetycznej budynków publicznych w Gminie Wisznia Mała</w:t>
            </w:r>
          </w:p>
        </w:tc>
        <w:tc>
          <w:tcPr>
            <w:tcW w:w="569" w:type="pct"/>
            <w:shd w:val="clear" w:color="auto" w:fill="auto"/>
            <w:noWrap/>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Wisznia Mała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Projekt dotyczy zwiększenia efektywności energetycznej budynków użyteczności publicznej znajdującymi się na obszarze funkcjonalnym ZIT WrOF (gmina wiejska w ramach aglomeracji wrocławskiej).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1 611 400,00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1 127 980,00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Termomodernizacja budynku znajdującego się na terenie Gminy Oborniki Śląskie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Oborniki Śląskie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projektu jest zwiększenie efektywności energetycznej budynku użyteczności publicznej na obszarze Wrocławskiego Obszaru Funkcjonalnego, poprzez kompleksową modernizację  obiektu  na terenie Gminy Oborniki Śląskie.</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420 000,00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Termomodernizacja obiektów użyteczności publicznej w Żórawinie</w:t>
            </w:r>
          </w:p>
        </w:tc>
        <w:tc>
          <w:tcPr>
            <w:tcW w:w="569" w:type="pct"/>
            <w:shd w:val="clear" w:color="auto" w:fill="auto"/>
            <w:noWrap/>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Żórawina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zwiększenie parametrów cieplnych </w:t>
            </w:r>
            <w:r w:rsidRPr="00A813D5">
              <w:rPr>
                <w:rFonts w:ascii="Calibri" w:hAnsi="Calibri" w:cs="Arial"/>
                <w:color w:val="000000"/>
              </w:rPr>
              <w:br/>
              <w:t>i energooszczędnych obiektów publicznych (obiekt zabytkowy nr 1 - urząd gminy – obiekt willowy oraz obiekt zabytkowy nr 2 – Szkoła Podstawowa im. J. Kusocińskiego w Polakowicach.)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2 602 468,11</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1 821 727,67</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Termomodernizacja placówek oświatowych na terenie Gminy Miasta Oleśnicy</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Miasto Oleśnica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Projekt ma na celu poprawę efektywności energetycznej </w:t>
            </w:r>
            <w:r w:rsidRPr="00A813D5">
              <w:rPr>
                <w:rFonts w:ascii="Calibri" w:hAnsi="Calibri" w:cs="Arial"/>
                <w:color w:val="000000"/>
              </w:rPr>
              <w:br/>
              <w:t>i redukcję emisji gazów cieplarnianych.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4 142 857,00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2 900 000,00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maj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Termomodernizacja obiektów użyteczności publicznej w Gminie Oleśnica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Gmina Oleśnica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 xml:space="preserve">Projekt ma na celu poprawę efektywności energetycznej </w:t>
            </w:r>
            <w:r w:rsidRPr="00A813D5">
              <w:rPr>
                <w:rFonts w:ascii="Calibri" w:hAnsi="Calibri" w:cs="Arial"/>
              </w:rPr>
              <w:br/>
              <w:t>i redukcję emisji gazów cieplarnianych.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827 000,00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578 968,00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czerwiec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Termomodernizacja istniejącego budynku UG Dobroszyce wraz z przebudową na inne cele publiczne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Dobroszyce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Ograniczenie zapotrzebowania na energie obiektów użyteczności publicznej, a co za tym idzie znaczna redukcja niskiej emisji co będzie miało bezpośredni wpływ na poprawę standardu życia mieszkańców </w:t>
            </w:r>
            <w:r w:rsidRPr="00A813D5">
              <w:rPr>
                <w:rFonts w:ascii="Calibri" w:hAnsi="Calibri" w:cs="Arial"/>
                <w:color w:val="000000"/>
              </w:rPr>
              <w:br/>
              <w:t>a także na rozwój branży turystycznej.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4 205 058,29</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2 310 602,28</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sierpień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Ograniczenie niskiej emisji </w:t>
            </w:r>
            <w:r w:rsidRPr="00A813D5">
              <w:rPr>
                <w:rFonts w:ascii="Calibri" w:hAnsi="Calibri" w:cs="Arial"/>
                <w:color w:val="000000"/>
              </w:rPr>
              <w:br/>
              <w:t xml:space="preserve">w budynku użyteczności publicznej (Szkoła Podstawowa w Boleścinie) </w:t>
            </w:r>
            <w:r w:rsidRPr="00A813D5">
              <w:rPr>
                <w:rFonts w:ascii="Calibri" w:hAnsi="Calibri" w:cs="Arial"/>
                <w:color w:val="000000"/>
              </w:rPr>
              <w:br/>
              <w:t>w Gminie Trzebnica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Trzebnica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ograniczenie niskiej emisji poprzez wykonanie kompleksowej modernizacji energetycznej budynku użyteczności publicznej - SP </w:t>
            </w:r>
            <w:r w:rsidRPr="00A813D5">
              <w:rPr>
                <w:rFonts w:ascii="Calibri" w:hAnsi="Calibri" w:cs="Arial"/>
                <w:color w:val="000000"/>
              </w:rPr>
              <w:br/>
              <w:t>w Boleścinie.</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3 392 414,60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2 374 690,22</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2025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CB6D03" w:rsidRPr="00A813D5" w:rsidTr="001D587F">
        <w:trPr>
          <w:trHeight w:val="20"/>
        </w:trPr>
        <w:tc>
          <w:tcPr>
            <w:tcW w:w="1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RSO2.1:</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17 381 198,00</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11 533 968,17</w:t>
            </w:r>
          </w:p>
        </w:tc>
        <w:tc>
          <w:tcPr>
            <w:tcW w:w="352"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r>
    </w:tbl>
    <w:p w:rsidR="00CB6D03" w:rsidRDefault="00CB6D03"/>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624"/>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RSO2.5. Wspieranie dostępu do wody oraz zrównoważonej gospodarki wodnej</w:t>
            </w:r>
          </w:p>
        </w:tc>
      </w:tr>
    </w:tbl>
    <w:p w:rsidR="00CB6D03" w:rsidRPr="00CB6D03" w:rsidRDefault="00CB6D03">
      <w:pPr>
        <w:rPr>
          <w:sz w:val="4"/>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CB6D03" w:rsidRPr="00A813D5" w:rsidTr="001D587F">
        <w:trPr>
          <w:trHeight w:val="20"/>
          <w:tblHeader/>
        </w:trPr>
        <w:tc>
          <w:tcPr>
            <w:tcW w:w="1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Budowa kanalizacji sanitarnej w Będkowicach </w:t>
            </w:r>
            <w:r w:rsidRPr="00A813D5">
              <w:rPr>
                <w:rFonts w:ascii="Calibri" w:hAnsi="Calibri" w:cs="Arial"/>
                <w:color w:val="000000"/>
              </w:rPr>
              <w:br/>
              <w:t>ul. Bukowa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Sobótka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Celami projektu są: poprawa wyposażenia w niezbędną infrastrukturę, zmniejszenie kosztów oczyszczania ścieków likwidacja szamb, wzrost liczby mieszkańców korzystających </w:t>
            </w:r>
            <w:r w:rsidRPr="00A813D5">
              <w:rPr>
                <w:rFonts w:ascii="Calibri" w:hAnsi="Calibri" w:cs="Arial"/>
                <w:color w:val="000000"/>
              </w:rPr>
              <w:br/>
              <w:t>ze zbiorowego systemu odprowadzania ścieków, zwiększenie przepustowości oczyszczalni ścieków poprzez odprowadzanie do oczyszczalni wyłącznie ścieków komunalnych.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1 845 000,00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1 050 000,00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4: Poprawa sytuacji gospodarki wodno-ściekowej w aglomeracjach od 10 tys. do 15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kanalizacji sanitarnej w Księginicach Małych ul. Zbożowa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Sobótka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Celami projektu są: poprawa wyposażenia w niezbędną infrastrukturę, zmniejszenie kosztów oczyszczania ścieków likwidacja szamb, wzrost liczby mieszkańców korzystających ze zbiorowego systemu odprowadzania ścieków, zwiększenie przepustowości oczyszczalni ścieków poprzez odprowadzanie do oczyszczalni wyłącznie ścieków komunalnych.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1 476 000,00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840 000,00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4: Poprawa sytuacji gospodarki wodno-ściekowej w aglomeracjach od 10 tys. do 15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Rozbudowa gospodarki wodno-ściekowej na terenie aglomeracji Siechnice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Zakład Gospodarki Komunalnej sp. z o.o.</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kompleksowe rozwiązanie problemów gospodarki wodno-ściekowej wynikających </w:t>
            </w:r>
            <w:r w:rsidRPr="00A813D5">
              <w:rPr>
                <w:rFonts w:ascii="Calibri" w:hAnsi="Calibri" w:cs="Arial"/>
                <w:color w:val="000000"/>
              </w:rPr>
              <w:br/>
              <w:t>z czynników zewnętrznych (rozwój gminy) oraz czynników wewnętrznych (przeprowadzona inwentaryzacji sieci wodociągowych i kanalizacyjnych, pogorszenie stanu technicznego elementów systemu).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37 467 557,14</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21 323 000,00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grudzień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4: Poprawa sytuacji gospodarki wodno-ściekowej w aglomeracjach od 10 tys. do 15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kanalizacji sanitarnej w rejonie ul. Grzybowej w Obornikach Śląskich</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Oborniki Śląskie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projektu jest rozwój infrastruktury komunalnej zapewniającej zbieranie, odprowadzanie i efektywne oczyszczanie ścieków komunalnych na terenie Gminy Oborniki Śląskie.</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3 414 634,15</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styczeń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4: Poprawa sytuacji gospodarki wodno-ściekowej w aglomeracjach od 10 tys. do 15 tys. RLM znajdujących się we Wrocławskim Obszarze Funkcjonalnym</w:t>
            </w:r>
          </w:p>
        </w:tc>
      </w:tr>
      <w:tr w:rsidR="00CB6D03" w:rsidRPr="00A813D5" w:rsidTr="001D587F">
        <w:trPr>
          <w:trHeight w:val="454"/>
        </w:trPr>
        <w:tc>
          <w:tcPr>
            <w:tcW w:w="1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r w:rsidRPr="00A813D5">
              <w:rPr>
                <w:rFonts w:ascii="Calibri" w:hAnsi="Calibri" w:cs="Arial"/>
                <w:b/>
                <w:bCs/>
                <w:color w:val="000000"/>
              </w:rPr>
              <w:t>SUMA</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46 788 557,14</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26 627 634,15</w:t>
            </w:r>
          </w:p>
        </w:tc>
        <w:tc>
          <w:tcPr>
            <w:tcW w:w="352"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Instalacja do odbioru</w:t>
            </w:r>
            <w:r w:rsidRPr="00A813D5">
              <w:rPr>
                <w:rFonts w:ascii="Calibri" w:hAnsi="Calibri" w:cs="Arial"/>
                <w:color w:val="000000"/>
              </w:rPr>
              <w:br/>
              <w:t>i utylizacji osadów usuwanych z kanalizacji- 1-szy etap systemu docelowego zagospodarowania osadów</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Kobierzyckie Przedsiębiorstwo Wodociągów i Kanalizacji Sp. z o.o.</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budowy instalacji do utylizacji osadów z czyszczenia kanalizacji jest poprawa efektywności gospodarki osadowej na OŚ Kobierzyce.</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8 610 000,00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4 550 000,00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Rozbudowa sieci kanalizacji sanitarnej i wodociągowej </w:t>
            </w:r>
            <w:r w:rsidRPr="00A813D5">
              <w:rPr>
                <w:rFonts w:ascii="Calibri" w:hAnsi="Calibri" w:cs="Arial"/>
                <w:color w:val="000000"/>
              </w:rPr>
              <w:br/>
              <w:t>w aglomeracji Wisznia Mała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Przedsiębiorstwo Gospodarki Komunalnej Sp. z o.o. w Wiszni Małej</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Wzrost stopnia wyposażenia aglomeracji Wisznia Mała </w:t>
            </w:r>
            <w:r w:rsidRPr="00A813D5">
              <w:rPr>
                <w:rFonts w:ascii="Calibri" w:hAnsi="Calibri" w:cs="Arial"/>
                <w:color w:val="000000"/>
              </w:rPr>
              <w:br/>
              <w:t xml:space="preserve">w zbiorczą sieć kanalizacji sanitarnej Osiągnięcie przez aglomerację zgodności </w:t>
            </w:r>
            <w:r w:rsidRPr="00A813D5">
              <w:rPr>
                <w:rFonts w:ascii="Calibri" w:hAnsi="Calibri" w:cs="Arial"/>
                <w:color w:val="000000"/>
              </w:rPr>
              <w:br/>
              <w:t>z wymaganiami Dyrektywy 91/271/EWG dotyczącej oczyszczania ścieków komunalnych. Poprawa warunków życia mieszkańców poprzez rozwój infrastruktury kanalizacyjnej i wodociągowej.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6 726 984,00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2 351 709,99</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Kompleksowa rozbudowa systemu oczyszczania ścieków w Żórawinie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Żórawina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projektu jest rozbudowa systemu oczyszczania ścieków, wybudowanie odpowiedniej infrastruktury technicznej dla zapewnienia odbioru nieczystości od mieszkańców podłączonych do sieci kanalizacyjnej, jak również od mieszkańców niepodłączonych za pośrednictwem wozów asenizacyjnych.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32 000 000,00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11 186 991,87</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kwiecień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kanalizacji sanitarnej w aglomeracji Zawonia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Zawonia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jest modernizacja procesu biologicznego oczyszczania ścieków, stwarzająca zdolności zwiększonego odbioru </w:t>
            </w:r>
            <w:r w:rsidRPr="00A813D5">
              <w:rPr>
                <w:rFonts w:ascii="Calibri" w:hAnsi="Calibri" w:cs="Arial"/>
                <w:color w:val="000000"/>
              </w:rPr>
              <w:br/>
              <w:t xml:space="preserve">i skutecznego oczyszczania ścieków z terenu aglomeracji </w:t>
            </w:r>
            <w:r w:rsidRPr="00A813D5">
              <w:rPr>
                <w:rFonts w:ascii="Calibri" w:hAnsi="Calibri" w:cs="Arial"/>
                <w:color w:val="000000"/>
              </w:rPr>
              <w:br/>
              <w:t>z perspektywą pozostałych miejscowości gminy Zawonia.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41 820 000,00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14 620 000,00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Instalacja do kompostowania osadów ściekowych - 2-gi etap systemu docelowego zagospodarowania osadów</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Kobierzyckie Przedsiębiorstwo Wodociągów i Kanalizacji Sp. z o.o.</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realizacji inwestycji polegającej na budowie instalacji do kompostowania osadów jest stworzenie produktu, który po kompostowaniu będzie mógł być wykorzystywany rolniczo.</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9 840 000,00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1 000 000,00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2026</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2025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CB6D03" w:rsidRPr="00A813D5" w:rsidTr="001D587F">
        <w:trPr>
          <w:trHeight w:val="454"/>
        </w:trPr>
        <w:tc>
          <w:tcPr>
            <w:tcW w:w="1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r w:rsidRPr="00A813D5">
              <w:rPr>
                <w:rFonts w:ascii="Calibri" w:hAnsi="Calibri" w:cs="Arial"/>
                <w:b/>
                <w:bCs/>
                <w:color w:val="000000"/>
              </w:rPr>
              <w:t>SUMA</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98 996 984,00</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33 708 701,86</w:t>
            </w:r>
          </w:p>
        </w:tc>
        <w:tc>
          <w:tcPr>
            <w:tcW w:w="352"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r>
      <w:tr w:rsidR="00CB6D03" w:rsidRPr="00A813D5" w:rsidTr="001D587F">
        <w:trPr>
          <w:trHeight w:val="20"/>
        </w:trPr>
        <w:tc>
          <w:tcPr>
            <w:tcW w:w="1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SUMA PROJEKTÓW W CELU SZCZEGÓŁOWYM RSO2.5:</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145 785 541,14</w:t>
            </w:r>
          </w:p>
        </w:tc>
        <w:tc>
          <w:tcPr>
            <w:tcW w:w="443"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60 336 336,01</w:t>
            </w:r>
          </w:p>
        </w:tc>
        <w:tc>
          <w:tcPr>
            <w:tcW w:w="352"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CB6D03" w:rsidRPr="00A813D5" w:rsidRDefault="00CB6D03" w:rsidP="00A813D5">
            <w:pPr>
              <w:spacing w:after="0" w:line="240" w:lineRule="auto"/>
              <w:jc w:val="left"/>
              <w:rPr>
                <w:rFonts w:ascii="Calibri" w:hAnsi="Calibri" w:cs="Arial"/>
                <w:color w:val="000000"/>
              </w:rPr>
            </w:pPr>
          </w:p>
        </w:tc>
      </w:tr>
    </w:tbl>
    <w:p w:rsidR="00CB6D03" w:rsidRPr="00081504" w:rsidRDefault="00CB6D03">
      <w:pPr>
        <w:rPr>
          <w:sz w:val="14"/>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85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RSO2.7. Wzmacnianie ochrony i zachowania przyrody, różnorodności biologicznej oraz zielonej infrastruktury, w tym na obszarach miejskich, oraz ograniczanie wszelkich rodzajów zanieczyszczenia</w:t>
            </w:r>
          </w:p>
        </w:tc>
      </w:tr>
    </w:tbl>
    <w:p w:rsidR="00CB6D03" w:rsidRPr="00CB6D03" w:rsidRDefault="00CB6D03">
      <w:pPr>
        <w:rPr>
          <w:sz w:val="2"/>
          <w:szCs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CB6D03" w:rsidRPr="00A813D5" w:rsidTr="001D587F">
        <w:trPr>
          <w:trHeight w:val="20"/>
          <w:tblHeader/>
        </w:trPr>
        <w:tc>
          <w:tcPr>
            <w:tcW w:w="1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CB6D03" w:rsidRPr="00A813D5" w:rsidRDefault="00CB6D03"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A1431D" w:rsidRDefault="00525CAC" w:rsidP="00A1431D">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w:t>
            </w:r>
          </w:p>
          <w:p w:rsidR="00525CAC" w:rsidRPr="00A813D5" w:rsidRDefault="00525CAC" w:rsidP="00A1431D">
            <w:pPr>
              <w:spacing w:after="0" w:line="240" w:lineRule="auto"/>
              <w:jc w:val="left"/>
              <w:rPr>
                <w:rFonts w:ascii="Calibri" w:hAnsi="Calibri" w:cs="Arial"/>
                <w:color w:val="000000"/>
              </w:rPr>
            </w:pPr>
            <w:r w:rsidRPr="00A813D5">
              <w:rPr>
                <w:rFonts w:ascii="Calibri" w:hAnsi="Calibri" w:cs="Arial"/>
                <w:color w:val="000000"/>
              </w:rPr>
              <w:t>na Dolnym Śląsku / FEDS.02.10 Ochrona przyrody i klimatu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Pola </w:t>
            </w:r>
            <w:proofErr w:type="spellStart"/>
            <w:r w:rsidRPr="00A813D5">
              <w:rPr>
                <w:rFonts w:ascii="Calibri" w:hAnsi="Calibri" w:cs="Arial"/>
                <w:color w:val="000000"/>
              </w:rPr>
              <w:t>Osobowickie</w:t>
            </w:r>
            <w:proofErr w:type="spellEnd"/>
            <w:r w:rsidRPr="00A813D5">
              <w:rPr>
                <w:rFonts w:ascii="Calibri" w:hAnsi="Calibri" w:cs="Arial"/>
                <w:color w:val="000000"/>
              </w:rPr>
              <w:t xml:space="preserve"> - utrzymanie terenów podmokłych i związanej </w:t>
            </w:r>
            <w:r w:rsidRPr="00A813D5">
              <w:rPr>
                <w:rFonts w:ascii="Calibri" w:hAnsi="Calibri" w:cs="Arial"/>
                <w:color w:val="000000"/>
              </w:rPr>
              <w:br/>
              <w:t>z nimi bioróżnorodności oraz utworzenie atrakcyjnego obszaru edukacyjno-rekreacyjnego dla mieszkańców Wrocławia, Dolnego Śląska i turystów</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odtworzenie terenów podmokłych i/lub zbiorników </w:t>
            </w:r>
            <w:r w:rsidRPr="00A813D5">
              <w:rPr>
                <w:rFonts w:ascii="Calibri" w:hAnsi="Calibri" w:cs="Arial"/>
                <w:color w:val="000000"/>
              </w:rPr>
              <w:br/>
              <w:t xml:space="preserve">z otwartym lustrem wody w celu zachowania i odtworzenia siedlisk przyrodniczych </w:t>
            </w:r>
            <w:r w:rsidRPr="00A813D5">
              <w:rPr>
                <w:rFonts w:ascii="Calibri" w:hAnsi="Calibri" w:cs="Arial"/>
                <w:color w:val="000000"/>
              </w:rPr>
              <w:br/>
              <w:t xml:space="preserve">i populacji gatunków (w tym gatunków chronionych i zagrożonych) głównie ptaków, płazów i gadów poprzez przywrócenie reżimu hydrologicznego (budowa zastawek na </w:t>
            </w:r>
            <w:proofErr w:type="spellStart"/>
            <w:r w:rsidRPr="00A813D5">
              <w:rPr>
                <w:rFonts w:ascii="Calibri" w:hAnsi="Calibri" w:cs="Arial"/>
                <w:color w:val="000000"/>
              </w:rPr>
              <w:t>Trzcianie</w:t>
            </w:r>
            <w:proofErr w:type="spellEnd"/>
            <w:r w:rsidRPr="00A813D5">
              <w:rPr>
                <w:rFonts w:ascii="Calibri" w:hAnsi="Calibri" w:cs="Arial"/>
                <w:color w:val="000000"/>
              </w:rPr>
              <w:t xml:space="preserve"> </w:t>
            </w:r>
            <w:r w:rsidRPr="00A813D5">
              <w:rPr>
                <w:rFonts w:ascii="Calibri" w:hAnsi="Calibri" w:cs="Arial"/>
                <w:color w:val="000000"/>
              </w:rPr>
              <w:br/>
              <w:t>i Mokrzycy, ograniczenie drenażu.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5 700 000,00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3 961 500,00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6: Rozwój terenów zielonych i adaptacja do zmian klimatu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A1431D" w:rsidRDefault="00525CAC" w:rsidP="00A1431D">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w:t>
            </w:r>
          </w:p>
          <w:p w:rsidR="00525CAC" w:rsidRPr="00A813D5" w:rsidRDefault="00525CAC" w:rsidP="00A1431D">
            <w:pPr>
              <w:spacing w:after="0" w:line="240" w:lineRule="auto"/>
              <w:jc w:val="left"/>
              <w:rPr>
                <w:rFonts w:ascii="Calibri" w:hAnsi="Calibri" w:cs="Arial"/>
                <w:color w:val="000000"/>
              </w:rPr>
            </w:pPr>
            <w:r w:rsidRPr="00A813D5">
              <w:rPr>
                <w:rFonts w:ascii="Calibri" w:hAnsi="Calibri" w:cs="Arial"/>
                <w:color w:val="000000"/>
              </w:rPr>
              <w:t>na Dolnym Śląsku / FEDS.02.10 Ochrona przyrody i klimatu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Park przy ul. Idzikowskiego - rekultywacja terenów zdegradowanych działalnością gospodarczą </w:t>
            </w:r>
            <w:r w:rsidRPr="00A813D5">
              <w:rPr>
                <w:rFonts w:ascii="Calibri" w:hAnsi="Calibri" w:cs="Arial"/>
                <w:color w:val="000000"/>
              </w:rPr>
              <w:br/>
              <w:t>i przemysłową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wzmocnienie ochrony </w:t>
            </w:r>
            <w:r w:rsidRPr="00A813D5">
              <w:rPr>
                <w:rFonts w:ascii="Calibri" w:hAnsi="Calibri" w:cs="Arial"/>
                <w:color w:val="000000"/>
              </w:rPr>
              <w:br/>
              <w:t xml:space="preserve">i zachowania przyrody na terenach zdegradowanych działalnością gospodarczą </w:t>
            </w:r>
            <w:r w:rsidRPr="00A813D5">
              <w:rPr>
                <w:rFonts w:ascii="Calibri" w:hAnsi="Calibri" w:cs="Arial"/>
                <w:color w:val="000000"/>
              </w:rPr>
              <w:br/>
              <w:t xml:space="preserve">i przemysłową, oraz ograniczanie wszelkich zanieczyszczeń. Realizacja projektu ukierunkowana jest również na wzmocnienie różnorodności biologicznej oraz zielonej infrastruktury </w:t>
            </w:r>
            <w:r w:rsidRPr="00A813D5">
              <w:rPr>
                <w:rFonts w:ascii="Calibri" w:hAnsi="Calibri" w:cs="Arial"/>
                <w:color w:val="000000"/>
              </w:rPr>
              <w:br/>
              <w:t>na obszarze miejskim.</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11 800 000,00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5 817 053,54</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6: Rozwój terenów zielonych i adaptacja do zmian klimatu we Wrocławskim Obszarze Funkcjonalnym</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A1431D" w:rsidRDefault="00525CAC" w:rsidP="00A1431D">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w:t>
            </w:r>
          </w:p>
          <w:p w:rsidR="00525CAC" w:rsidRPr="00A813D5" w:rsidRDefault="00525CAC" w:rsidP="00A1431D">
            <w:pPr>
              <w:spacing w:after="0" w:line="240" w:lineRule="auto"/>
              <w:jc w:val="left"/>
              <w:rPr>
                <w:rFonts w:ascii="Calibri" w:hAnsi="Calibri" w:cs="Arial"/>
                <w:color w:val="000000"/>
              </w:rPr>
            </w:pPr>
            <w:r w:rsidRPr="00A813D5">
              <w:rPr>
                <w:rFonts w:ascii="Calibri" w:hAnsi="Calibri" w:cs="Arial"/>
                <w:color w:val="000000"/>
              </w:rPr>
              <w:t>na Dolnym Śląsku / FEDS.02.10 Ochrona przyrody i klimatu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Żernicki Park Sportu </w:t>
            </w:r>
            <w:r w:rsidRPr="00A813D5">
              <w:rPr>
                <w:rFonts w:ascii="Calibri" w:hAnsi="Calibri" w:cs="Arial"/>
                <w:color w:val="000000"/>
              </w:rPr>
              <w:br/>
              <w:t>i Rekreacji - Etap II - rekultywacja terenów zdegradowanych działalnością poprzemysłową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wzmocnienie ochrony </w:t>
            </w:r>
            <w:r w:rsidRPr="00A813D5">
              <w:rPr>
                <w:rFonts w:ascii="Calibri" w:hAnsi="Calibri" w:cs="Arial"/>
                <w:color w:val="000000"/>
              </w:rPr>
              <w:br/>
              <w:t>i zachowania przyrody, różnorodności biologicznej oraz zielonej infrastruktury na obszarach miejskich, oraz ograniczenie wszelkich rodzajów zanieczyszczenia.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6 750 000,00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3 434 149,70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6: Rozwój terenów zielonych i adaptacja do zmian klimatu we Wrocławskim Obszarze Funkcjonalnym</w:t>
            </w:r>
          </w:p>
        </w:tc>
      </w:tr>
      <w:tr w:rsidR="00081504" w:rsidRPr="00A813D5" w:rsidTr="001D587F">
        <w:trPr>
          <w:trHeight w:val="737"/>
        </w:trPr>
        <w:tc>
          <w:tcPr>
            <w:tcW w:w="1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RSO2.7:</w:t>
            </w:r>
          </w:p>
        </w:tc>
        <w:tc>
          <w:tcPr>
            <w:tcW w:w="4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24 250 000,00</w:t>
            </w:r>
          </w:p>
        </w:tc>
        <w:tc>
          <w:tcPr>
            <w:tcW w:w="4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13 212 703,24</w:t>
            </w:r>
          </w:p>
        </w:tc>
        <w:tc>
          <w:tcPr>
            <w:tcW w:w="352"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r>
    </w:tbl>
    <w:p w:rsidR="00CB6D03" w:rsidRDefault="00CB6D03"/>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624"/>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rPr>
                <w:rFonts w:ascii="Calibri" w:hAnsi="Calibri" w:cs="Arial"/>
                <w:b/>
                <w:bCs/>
                <w:color w:val="000000"/>
                <w:szCs w:val="20"/>
              </w:rPr>
            </w:pPr>
            <w:r w:rsidRPr="00A813D5">
              <w:rPr>
                <w:rFonts w:ascii="Calibri" w:hAnsi="Calibri" w:cs="Arial"/>
                <w:b/>
                <w:bCs/>
                <w:color w:val="000000"/>
                <w:szCs w:val="20"/>
              </w:rPr>
              <w:t xml:space="preserve">Cel szczegółowy: RSO2.8. Wspieranie zrównoważonej multimodalnej mobilności miejskiej jako elementu transformacji w kierunku gospodarki </w:t>
            </w:r>
            <w:proofErr w:type="spellStart"/>
            <w:r w:rsidRPr="00A813D5">
              <w:rPr>
                <w:rFonts w:ascii="Calibri" w:hAnsi="Calibri" w:cs="Arial"/>
                <w:b/>
                <w:bCs/>
                <w:color w:val="000000"/>
                <w:szCs w:val="20"/>
              </w:rPr>
              <w:t>zeroemisyjnej</w:t>
            </w:r>
            <w:proofErr w:type="spellEnd"/>
          </w:p>
        </w:tc>
      </w:tr>
    </w:tbl>
    <w:p w:rsidR="00081504" w:rsidRPr="00081504" w:rsidRDefault="00081504">
      <w:pPr>
        <w:rPr>
          <w:sz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081504" w:rsidRPr="00A813D5" w:rsidTr="001D587F">
        <w:trPr>
          <w:trHeight w:val="20"/>
          <w:tblHeader/>
        </w:trPr>
        <w:tc>
          <w:tcPr>
            <w:tcW w:w="1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ciągu pieszo-rowerowego przy drodze powiatowej nr 1368D relacji Malin – Ligota Piękna, gm. Wisznia Mała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Wisznia Mała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Rozbudowa sieci dróg rowerowych na obszarze funkcjonalnym ZIT WrOF.</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2 852 000,00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1 595 620,40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Rozwój rowerowego systemu parkingowego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głównym Projektu jest redukcja niskiej emisji transportowej oraz poprawa transportowej mobilności mieszkańców w ramach kompleksowej strategii promowania i rozwoju transportu rowerowego </w:t>
            </w:r>
            <w:r w:rsidRPr="00A813D5">
              <w:rPr>
                <w:rFonts w:ascii="Calibri" w:hAnsi="Calibri" w:cs="Arial"/>
                <w:color w:val="000000"/>
              </w:rPr>
              <w:br/>
              <w:t>na terenie Wrocławia oraz obszaru ZIT WrOF.</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1 500 000,00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listopad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centrum przesiadkowego przy nowym przystanku kolejowym Oława Zachodnia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Miasto Oława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Zakładane cele projektu: szersze wykorzystanie bardziej efektywnego transportu publicznego </w:t>
            </w:r>
            <w:r w:rsidRPr="00A813D5">
              <w:rPr>
                <w:rFonts w:ascii="Calibri" w:hAnsi="Calibri" w:cs="Arial"/>
                <w:color w:val="000000"/>
              </w:rPr>
              <w:br/>
              <w:t>i niezmotoryzowanego indywidualnego, ograniczenie emisji zanieczyszczeń powietrza, ograniczenie emisji hałasu, ograniczenie zjawiska zatłoczenia drogowego, zmniejszenie wykorzystania samochodów osobowych, lepszą integrację gałęzi transportu.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7 616 286,00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5 283 417,60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styczeń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i oznakowanie tras rowerowych, dróg rowerowych i ciągów pieszo-rowerowych na terenie Gminy Kobierzyce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Kobierzyce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Realizacja inwestycji zrealizuje cele w obszarze poprawy mobilności, komfortu życia mieszkańców, a także dbałości </w:t>
            </w:r>
            <w:r w:rsidRPr="00A813D5">
              <w:rPr>
                <w:rFonts w:ascii="Calibri" w:hAnsi="Calibri" w:cs="Arial"/>
                <w:color w:val="000000"/>
              </w:rPr>
              <w:br/>
              <w:t xml:space="preserve">o środowisko naturalne, działania związane z budową ciągów pieszo-rowerowych pozwolą bowiem na zmniejszenie poziomu niskiej emisji pochodzącej z transportu samochodowego oraz pozwolą na ograniczenie indywidualnego roku zmotoryzowanego, na rzecz ruchu rowerowego. Realizacja inwestycji </w:t>
            </w:r>
            <w:r w:rsidRPr="00A813D5">
              <w:rPr>
                <w:rFonts w:ascii="Calibri" w:hAnsi="Calibri" w:cs="Arial"/>
                <w:color w:val="000000"/>
              </w:rPr>
              <w:br/>
              <w:t>na przedmiotowych odcinkach umożliwi  dogodną komunikację rowerem do przystanków komunikacji publicznej, w tym do stacji na linii kolejowej nr 285  w Wierzbicach).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6 840 000,00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4 026 908,00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Rozbudowa systemu Parkuj </w:t>
            </w:r>
            <w:r w:rsidRPr="00A813D5">
              <w:rPr>
                <w:rFonts w:ascii="Calibri" w:hAnsi="Calibri" w:cs="Arial"/>
                <w:color w:val="000000"/>
              </w:rPr>
              <w:br/>
              <w:t>i jedź we Wrocławiu - Etap III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Głównym celem projektu jest redukcja niskiej emisji transportowej w Gminie Wrocław poprzez usprawnienie systemu miejskiego transportu zbiorowego.</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20 000 000,00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10 000 000,00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Parkingu Park &amp; Drive (Parkuj i Jedź)  na ternie Gminy Oborniki Śląskie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Oborniki Śląskie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głównym Projektu jest redukcja emisji transportowej oraz poprawa transportowej mobilności mieszkańców </w:t>
            </w:r>
            <w:r w:rsidRPr="00A813D5">
              <w:rPr>
                <w:rFonts w:ascii="Calibri" w:hAnsi="Calibri" w:cs="Arial"/>
                <w:color w:val="000000"/>
              </w:rPr>
              <w:br/>
              <w:t>w ramach kompleksowej strategii promowania i rozwoju transportu kolejowego na terenie gminy Oborniki Śląskie.</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1 915 000,00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1 328 435,50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Spójna sieć tras rowerowych we Wrocławiu dla mieszkańców miasta i aglomeracji wraz z budową systemu badania natężenia ruchu na drogach dla rowerów – etap 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głównym Projektu jest redukcja niskiej emisji transportowej oraz poprawa transportowej mobilności mieszkańców w ramach kompleksowej strategii promowania i rozwoju transportu rowerowego na terenie Wrocławia oraz obszaru ZIT WrOF.</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31 000 000,00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7 977 885,00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2021</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8</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węzła przesiadkowego P&amp;R i B&amp;R w Lizawicach przy stacji kolejowej oraz utworzenie ścieżki rowerowej</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Oława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 projektu: stworzenie bezpiecznego i odpowiednio zagospodarowanego miejsca przesiadkowego, zwiększenie wykorzystania usług transportu publicznego poprzez umożliwienie użytkownikom transportu indywidualnego pozostawienia samochodu lub roweru i kontynuacji podróży środkami komunikacji publicznej, poprawa jakości powietrza poprzez zmniejszenie emisji zanieczyszczeń oraz gazów cieplarnianych spowodowanych przez zwiększony ruch drogowy, zmniejszenie natężenia ruchu na uczęszczanych trasach łączących mniejsze miejscowości </w:t>
            </w:r>
            <w:r w:rsidRPr="00A813D5">
              <w:rPr>
                <w:rFonts w:ascii="Calibri" w:hAnsi="Calibri" w:cs="Arial"/>
                <w:color w:val="000000"/>
              </w:rPr>
              <w:br/>
              <w:t>z miastami, ułatwienie dostępu do transportu zbiorowego osobom ze szczególnymi potrzebami.</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3 227 125,45</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2028</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grudzień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9</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dróg pieszo-rowerowych na terenie Gminy Zawonia – etap I (odcinek Zawonia-Złotówek)</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Zawonia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głównym Projektu jest poprawa transportowej mobilności mieszkańców Gminy Zawonia, podniesie poziomu wewnętrznego skomunikowania gminy oraz redukcja niskiej emisji transportowej w ramach kompleksowej strategii promowania i rozwoju transportu rowerowego, co jest spójne z ideą wspierania działań na rzecz poprawy jakości życia jego mieszkańców i gospodarki efektywnie korzystającej </w:t>
            </w:r>
            <w:r w:rsidRPr="00A813D5">
              <w:rPr>
                <w:rFonts w:ascii="Calibri" w:hAnsi="Calibri" w:cs="Arial"/>
                <w:color w:val="000000"/>
              </w:rPr>
              <w:br/>
              <w:t>z zasobów i przyjaznej środowisku.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3 140 602,80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2 178 636,16</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III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III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luty 2025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10</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proofErr w:type="spellStart"/>
            <w:r w:rsidRPr="00A813D5">
              <w:rPr>
                <w:rFonts w:ascii="Calibri" w:hAnsi="Calibri" w:cs="Arial"/>
                <w:color w:val="000000"/>
              </w:rPr>
              <w:t>Algomeracyjno</w:t>
            </w:r>
            <w:proofErr w:type="spellEnd"/>
            <w:r w:rsidRPr="00A813D5">
              <w:rPr>
                <w:rFonts w:ascii="Calibri" w:hAnsi="Calibri" w:cs="Arial"/>
                <w:color w:val="000000"/>
              </w:rPr>
              <w:t xml:space="preserve">-miejskie centrum przesiadkowe </w:t>
            </w:r>
            <w:r w:rsidRPr="00A813D5">
              <w:rPr>
                <w:rFonts w:ascii="Calibri" w:hAnsi="Calibri" w:cs="Arial"/>
                <w:color w:val="000000"/>
              </w:rPr>
              <w:br/>
              <w:t>w gminie Czernica (Łany -  Wojnów)</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Czernica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jest zapewnienie odpowiedniego rozwoju systemu komunikacji publicznej, zwiększenie zainteresowania mieszkańców ofertą różnych środków transportu publicznego, poprzez stworzenie nowego centrum przesiadkowego graniczącego </w:t>
            </w:r>
            <w:r w:rsidRPr="00A813D5">
              <w:rPr>
                <w:rFonts w:ascii="Calibri" w:hAnsi="Calibri" w:cs="Arial"/>
                <w:color w:val="000000"/>
              </w:rPr>
              <w:br/>
              <w:t>z miastem Wrocławiem.</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2 500 000,00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1 363 430,12</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2025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i oznakowanie dróg rowerowych i ciągów pieszo-rowerowych na terenie Gminy Długołęka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Długołęka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Realizacja inwestycji zrealizuje cele w obszarze poprawy mobilności, komfortu życia mieszkańców, a także dbałości </w:t>
            </w:r>
            <w:r w:rsidRPr="00A813D5">
              <w:rPr>
                <w:rFonts w:ascii="Calibri" w:hAnsi="Calibri" w:cs="Arial"/>
                <w:color w:val="000000"/>
              </w:rPr>
              <w:br/>
              <w:t>o środowisko naturalne, działania związane z budową ciągów pieszo-rowerowych pozwolą bowiem na zmniejszenie poziomu niskiej emisji pochodzącej z transportu samochodowego oraz pozwolą na ograniczenie indywidualnego roku zmotoryzowanego, na rzecz ruchu rowerowego. Realizacja inwestycji na przedmiotowych odcinkach umożliwi  dogodną komunikację rowerem do przystanków komunikacji publicznej.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7 955 082,00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5 518 440,98</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2025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081504" w:rsidRPr="00A813D5" w:rsidTr="001D587F">
        <w:trPr>
          <w:trHeight w:val="20"/>
        </w:trPr>
        <w:tc>
          <w:tcPr>
            <w:tcW w:w="1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RSO 2.8:</w:t>
            </w:r>
          </w:p>
        </w:tc>
        <w:tc>
          <w:tcPr>
            <w:tcW w:w="4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92 318 970,80</w:t>
            </w:r>
          </w:p>
        </w:tc>
        <w:tc>
          <w:tcPr>
            <w:tcW w:w="443"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42 999 899,21</w:t>
            </w:r>
          </w:p>
        </w:tc>
        <w:tc>
          <w:tcPr>
            <w:tcW w:w="352"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081504" w:rsidRPr="00A813D5" w:rsidRDefault="00081504" w:rsidP="00A813D5">
            <w:pPr>
              <w:spacing w:after="0" w:line="240" w:lineRule="auto"/>
              <w:jc w:val="left"/>
              <w:rPr>
                <w:rFonts w:ascii="Calibri" w:hAnsi="Calibri" w:cs="Arial"/>
                <w:color w:val="000000"/>
              </w:rPr>
            </w:pPr>
          </w:p>
        </w:tc>
      </w:tr>
    </w:tbl>
    <w:p w:rsidR="00CB6D03" w:rsidRDefault="00CB6D03"/>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525CAC" w:rsidRPr="00A813D5" w:rsidTr="001D587F">
        <w:trPr>
          <w:trHeight w:val="68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525CAC" w:rsidRPr="00A813D5" w:rsidRDefault="00525CAC"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RSO5.1. Wspieranie zintegrowanego i sprzyjającego włączeniu społecznemu rozwoju społecznego, gospodarczego i środowiskowego, kultury, dziedzictwa naturalnego, zrównoważonej turystyki i bezpieczeństwa na obszarach miejskich</w:t>
            </w:r>
          </w:p>
        </w:tc>
      </w:tr>
    </w:tbl>
    <w:p w:rsidR="00081504" w:rsidRPr="00081504" w:rsidRDefault="00081504">
      <w:pPr>
        <w:rPr>
          <w:sz w:val="6"/>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599"/>
        <w:gridCol w:w="1636"/>
        <w:gridCol w:w="2529"/>
        <w:gridCol w:w="2386"/>
        <w:gridCol w:w="2806"/>
        <w:gridCol w:w="1858"/>
        <w:gridCol w:w="1858"/>
        <w:gridCol w:w="1476"/>
        <w:gridCol w:w="1526"/>
        <w:gridCol w:w="1954"/>
        <w:gridCol w:w="2340"/>
      </w:tblGrid>
      <w:tr w:rsidR="00081504" w:rsidRPr="00A813D5" w:rsidTr="001D587F">
        <w:trPr>
          <w:trHeight w:val="20"/>
          <w:tblHeader/>
        </w:trPr>
        <w:tc>
          <w:tcPr>
            <w:tcW w:w="1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390"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60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569"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669"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4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443"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352"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364"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466"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Przewidywany termin złożenia wniosku </w:t>
            </w:r>
            <w:r w:rsidRPr="00A813D5">
              <w:rPr>
                <w:rFonts w:ascii="Calibri" w:hAnsi="Calibri" w:cs="Arial"/>
                <w:b/>
                <w:bCs/>
                <w:color w:val="000000"/>
              </w:rPr>
              <w:br/>
              <w:t>o dofinansowanie (miesiąc/rok)</w:t>
            </w:r>
          </w:p>
        </w:tc>
        <w:tc>
          <w:tcPr>
            <w:tcW w:w="558" w:type="pct"/>
            <w:shd w:val="clear" w:color="000000" w:fill="F2F2F2"/>
            <w:vAlign w:val="center"/>
            <w:hideMark/>
          </w:tcPr>
          <w:p w:rsidR="00081504" w:rsidRPr="00A813D5" w:rsidRDefault="00081504" w:rsidP="00A813D5">
            <w:pPr>
              <w:spacing w:after="0" w:line="240" w:lineRule="auto"/>
              <w:jc w:val="left"/>
              <w:rPr>
                <w:rFonts w:ascii="Calibri" w:hAnsi="Calibri" w:cs="Arial"/>
                <w:b/>
                <w:bCs/>
                <w:color w:val="000000"/>
              </w:rPr>
            </w:pPr>
            <w:r w:rsidRPr="00A813D5">
              <w:rPr>
                <w:rFonts w:ascii="Calibri" w:hAnsi="Calibri" w:cs="Arial"/>
                <w:b/>
                <w:bCs/>
                <w:color w:val="000000"/>
              </w:rPr>
              <w:t xml:space="preserve">Numer i nazwa wiązki, </w:t>
            </w:r>
            <w:r w:rsidRPr="00A813D5">
              <w:rPr>
                <w:rFonts w:ascii="Calibri" w:hAnsi="Calibri" w:cs="Arial"/>
                <w:b/>
                <w:bCs/>
                <w:color w:val="000000"/>
              </w:rPr>
              <w:br/>
              <w:t>do której przyporządkowano projekt</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terenu przy ul. Ludwikowskiej – Park Południowy w Oleśnicy</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Miasto Oleśnica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Projekt ma na celu poprawę jakości życia mieszkańców oraz ich integrację poprzez stworzenie atrakcyjnej </w:t>
            </w:r>
            <w:r w:rsidRPr="00A813D5">
              <w:rPr>
                <w:rFonts w:ascii="Calibri" w:hAnsi="Calibri" w:cs="Arial"/>
                <w:color w:val="000000"/>
              </w:rPr>
              <w:br/>
              <w:t>i bezpiecznej przestrzeni publicznej.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5 820 000,00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2 880 000,00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2021</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w obrębie ulic Rozbrat, Sępa Szarzyńskiego, Prusa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 główny projektu, </w:t>
            </w:r>
            <w:r w:rsidRPr="00A813D5">
              <w:rPr>
                <w:rFonts w:ascii="Calibri" w:hAnsi="Calibri" w:cs="Arial"/>
                <w:color w:val="000000"/>
              </w:rPr>
              <w:br/>
              <w:t>to poprawa jakości życia mieszkańców Wrocławia, w tym w szczególności mieszkańców wnętrza Rozbrat, Sępa Szarzyńskiego, Prusa.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557 400,00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167 220,00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Benedyktyńska, Sępa-Szarzyńskiego, Górnickiego, Sienkiewicza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 główny projektu, </w:t>
            </w:r>
            <w:r w:rsidRPr="00A813D5">
              <w:rPr>
                <w:rFonts w:ascii="Calibri" w:hAnsi="Calibri" w:cs="Arial"/>
                <w:color w:val="000000"/>
              </w:rPr>
              <w:br/>
              <w:t>to poprawa jakości życia mieszkańców wnętrz kwartałowych zlokalizowanych na obszarze Wrocławia.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5 139 300,00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2 097 658,78</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2021</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Odnowa przestrzeni publicznej w celu stworzenie miejsc do wypoczynku i rekreacji na terenie gminy Kąty Wrocławskie w tym poprzez rewitalizację parku gminnego w Smolcu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Kąty Wrocławskie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projektu będzie poprawa jakości życia mieszkańców na terenie ZIT WrOF. Realizacja projektu będzie odpowiedzią na potrzeby mieszkańców poprzez stworzenie atrakcyjnej</w:t>
            </w:r>
            <w:r w:rsidRPr="00A813D5">
              <w:rPr>
                <w:rFonts w:ascii="Calibri" w:hAnsi="Calibri" w:cs="Arial"/>
                <w:color w:val="000000"/>
              </w:rPr>
              <w:br/>
              <w:t xml:space="preserve"> i bezpiecznej przestrzeni publicznej, umożliwiającej integrację mieszkańców.</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1 954 285,00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1 367 999,50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Rozwój infrastruktury sportowej i rekreacyjnej </w:t>
            </w:r>
            <w:r w:rsidRPr="00A813D5">
              <w:rPr>
                <w:rFonts w:ascii="Calibri" w:hAnsi="Calibri" w:cs="Arial"/>
                <w:color w:val="000000"/>
              </w:rPr>
              <w:br/>
              <w:t>w gminie Miękinia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Miękinia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Podstawowym celem realizowanego projektu będzie wdrożenie działań na rzecz poprawy kondycji psychofizycznej mieszkańców gminy poprzez budowę obiektów infrastruktury sportowej i rekreacyjnej.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5 067 976,21</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3 547 583,35</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6</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Budowa świetlicy wiejskiej wraz z kuźnią talentów </w:t>
            </w:r>
            <w:r w:rsidRPr="00A813D5">
              <w:rPr>
                <w:rFonts w:ascii="Calibri" w:hAnsi="Calibri" w:cs="Arial"/>
                <w:color w:val="000000"/>
              </w:rPr>
              <w:br/>
              <w:t>w Sadkowie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Kąty Wrocławskie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Celami projektu są: rozwój infrastruktury aktywizacji </w:t>
            </w:r>
            <w:r w:rsidRPr="00A813D5">
              <w:rPr>
                <w:rFonts w:ascii="Calibri" w:hAnsi="Calibri" w:cs="Arial"/>
                <w:color w:val="000000"/>
              </w:rPr>
              <w:br/>
              <w:t xml:space="preserve">i integracji społecznej mający </w:t>
            </w:r>
            <w:r w:rsidRPr="00A813D5">
              <w:rPr>
                <w:rFonts w:ascii="Calibri" w:hAnsi="Calibri" w:cs="Arial"/>
                <w:color w:val="000000"/>
              </w:rPr>
              <w:br/>
              <w:t xml:space="preserve">na celu poprawę kondycji psychofizycznej mieszkańców – np. tworzenie przestrzeni dla aktywności fizycznej oraz do organizacji m.in. spotkań, warsztatów, wspólnych działań, edukacji kulturalnej </w:t>
            </w:r>
            <w:r w:rsidRPr="00A813D5">
              <w:rPr>
                <w:rFonts w:ascii="Calibri" w:hAnsi="Calibri" w:cs="Arial"/>
                <w:color w:val="000000"/>
              </w:rPr>
              <w:br/>
              <w:t>i artystycznej, służących odpoczynkowi czy też przeciwdziałaniu wykluczeniu społecznemu, znacząca poprawa dostępności do kultury.</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2 800 000,00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11: Rozwój infrastruktury aktywizacji i integracji społecznej mający na celu poprawę kondycji psychofizycznej mieszkańców we Wrocławskim Obszarze Funkcjonalnym, ze szczególnym uwzględnieniem kultury</w:t>
            </w:r>
          </w:p>
        </w:tc>
      </w:tr>
      <w:tr w:rsidR="00525CAC" w:rsidRPr="00A813D5" w:rsidTr="001D587F">
        <w:trPr>
          <w:trHeight w:val="20"/>
        </w:trPr>
        <w:tc>
          <w:tcPr>
            <w:tcW w:w="143"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7</w:t>
            </w:r>
          </w:p>
        </w:tc>
        <w:tc>
          <w:tcPr>
            <w:tcW w:w="390"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Remont i przebudowa świetlicy wiejskiej </w:t>
            </w:r>
            <w:r w:rsidRPr="00A813D5">
              <w:rPr>
                <w:rFonts w:ascii="Calibri" w:hAnsi="Calibri" w:cs="Arial"/>
                <w:color w:val="000000" w:themeColor="text1"/>
              </w:rPr>
              <w:br/>
              <w:t>w Michałowicach</w:t>
            </w:r>
          </w:p>
        </w:tc>
        <w:tc>
          <w:tcPr>
            <w:tcW w:w="569"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Sobótka</w:t>
            </w:r>
          </w:p>
        </w:tc>
        <w:tc>
          <w:tcPr>
            <w:tcW w:w="669"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Celami projektu są: rozwój infrastruktury aktywizacji </w:t>
            </w:r>
            <w:r w:rsidRPr="00A813D5">
              <w:rPr>
                <w:rFonts w:ascii="Calibri" w:hAnsi="Calibri" w:cs="Arial"/>
                <w:color w:val="000000" w:themeColor="text1"/>
              </w:rPr>
              <w:br/>
              <w:t xml:space="preserve">i integracji społecznej; poprawa dostępność do kultury </w:t>
            </w:r>
            <w:r w:rsidRPr="00A813D5">
              <w:rPr>
                <w:rFonts w:ascii="Calibri" w:hAnsi="Calibri" w:cs="Arial"/>
                <w:color w:val="000000" w:themeColor="text1"/>
              </w:rPr>
              <w:br/>
              <w:t xml:space="preserve">w wymiarze fizycznym; zachowanie dziedzictwa kulturowego dla przyszłych pokoleń; podniesienie atrakcyjności turystycznej regionu;  utworzenie nowej przestrzeni do prowadzenia działalności kulturalnej; wzrost atrakcyjności kulturalnej </w:t>
            </w:r>
            <w:r w:rsidRPr="00A813D5">
              <w:rPr>
                <w:rFonts w:ascii="Calibri" w:hAnsi="Calibri" w:cs="Arial"/>
                <w:color w:val="000000" w:themeColor="text1"/>
              </w:rPr>
              <w:br/>
              <w:t>i pielęgnacja kultury słowiańskiej w Masywie Ślęży,</w:t>
            </w:r>
            <w:r w:rsidRPr="00A813D5">
              <w:rPr>
                <w:rFonts w:ascii="Calibri" w:hAnsi="Calibri" w:cs="Arial"/>
                <w:color w:val="000000" w:themeColor="text1"/>
              </w:rPr>
              <w:br/>
              <w:t>wzbogacenie oferty imprez kulturalnych.</w:t>
            </w:r>
          </w:p>
        </w:tc>
        <w:tc>
          <w:tcPr>
            <w:tcW w:w="443"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1 750 000,00</w:t>
            </w:r>
          </w:p>
        </w:tc>
        <w:tc>
          <w:tcPr>
            <w:tcW w:w="443"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1 200 000,00</w:t>
            </w:r>
          </w:p>
        </w:tc>
        <w:tc>
          <w:tcPr>
            <w:tcW w:w="352"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2023</w:t>
            </w:r>
          </w:p>
        </w:tc>
        <w:tc>
          <w:tcPr>
            <w:tcW w:w="364"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2024</w:t>
            </w:r>
          </w:p>
        </w:tc>
        <w:tc>
          <w:tcPr>
            <w:tcW w:w="466"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FFFFFF" w:themeFill="background1"/>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11: Rozwój infrastruktury aktywizacji i integracji społecznej mający na celu poprawę kondycji psychofizycznej mieszkańców we Wrocławskim Obszarze Funkcjonalnym, ze szczególnym uwzględnieniem kultury</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8</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Renowacja Parku </w:t>
            </w:r>
            <w:r w:rsidRPr="00A813D5">
              <w:rPr>
                <w:rFonts w:ascii="Calibri" w:hAnsi="Calibri" w:cs="Arial"/>
                <w:color w:val="000000" w:themeColor="text1"/>
              </w:rPr>
              <w:br/>
              <w:t>w Żórawinie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Żórawina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color w:val="000000" w:themeColor="text1"/>
              </w:rPr>
              <w:t xml:space="preserve"> </w:t>
            </w:r>
            <w:r w:rsidRPr="00A813D5">
              <w:rPr>
                <w:rFonts w:ascii="Calibri" w:hAnsi="Calibri" w:cs="Arial"/>
                <w:color w:val="000000" w:themeColor="text1"/>
              </w:rPr>
              <w:t xml:space="preserve">Celem projektu jest przebudowa przestrzeni parku </w:t>
            </w:r>
            <w:r w:rsidRPr="00A813D5">
              <w:rPr>
                <w:rFonts w:ascii="Calibri" w:hAnsi="Calibri" w:cs="Arial"/>
                <w:color w:val="000000" w:themeColor="text1"/>
              </w:rPr>
              <w:br/>
              <w:t xml:space="preserve">o powierzchni 2,5 ha. przy zachowaniu istniejących drzew, wykonanie alejek o nawierzchni wskazanej przez konserwatora zabytków, oświetlenia energooszczędnego, wykonanie ławek, cichych miejsc odpoczynku w postaci pergoli, </w:t>
            </w:r>
            <w:r w:rsidRPr="00A813D5">
              <w:rPr>
                <w:rFonts w:ascii="Calibri" w:hAnsi="Calibri" w:cs="Arial"/>
                <w:color w:val="000000" w:themeColor="text1"/>
              </w:rPr>
              <w:br/>
              <w:t>a także  ławek, siłowni plenerowej, placu zabaw</w:t>
            </w:r>
            <w:r w:rsidRPr="00A813D5">
              <w:rPr>
                <w:rFonts w:ascii="Calibri" w:hAnsi="Calibri" w:cs="Arial"/>
                <w:color w:val="000000" w:themeColor="text1"/>
              </w:rPr>
              <w:br/>
              <w:t xml:space="preserve"> w różnych częściach parku, tworząc odpowiednie strefy.</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1 442 857,15</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1 010 000,01</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9</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Budowa obiektów małej architektury na terenie Szkoły Podstawowej </w:t>
            </w:r>
            <w:r w:rsidRPr="00A813D5">
              <w:rPr>
                <w:rFonts w:ascii="Calibri" w:hAnsi="Calibri" w:cs="Arial"/>
                <w:color w:val="000000" w:themeColor="text1"/>
              </w:rPr>
              <w:br/>
              <w:t xml:space="preserve">w Małkowicach – Stworzenie miejsc do wypoczynku </w:t>
            </w:r>
            <w:r w:rsidRPr="00A813D5">
              <w:rPr>
                <w:rFonts w:ascii="Calibri" w:hAnsi="Calibri" w:cs="Arial"/>
                <w:color w:val="000000" w:themeColor="text1"/>
              </w:rPr>
              <w:br/>
              <w:t>i rekreacji na terenie gminy Kąty Wrocławskie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Kąty Wrocławskie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Celem projektu będzie poprawa jakości życia mieszkańców na terenie ZIT WrOF. Realizacja projektu będzie odpowiedzią na potrzeby mieszkańców poprzez stworzenie atrakcyjnej </w:t>
            </w:r>
            <w:r w:rsidRPr="00A813D5">
              <w:rPr>
                <w:rFonts w:ascii="Calibri" w:hAnsi="Calibri" w:cs="Arial"/>
                <w:color w:val="000000" w:themeColor="text1"/>
              </w:rPr>
              <w:br/>
              <w:t>i bezpiecznej przestrzeni publicznej, umożliwiającej integrację mieszkańców.</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600 000,00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350 000,00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2024</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10</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Zagospodarowanie wnętrza podwórzowego Jaracza- </w:t>
            </w:r>
            <w:proofErr w:type="spellStart"/>
            <w:r w:rsidRPr="00A813D5">
              <w:rPr>
                <w:rFonts w:ascii="Calibri" w:hAnsi="Calibri" w:cs="Arial"/>
                <w:color w:val="000000" w:themeColor="text1"/>
              </w:rPr>
              <w:t>Orzeszkowej-Wyszyńskiego</w:t>
            </w:r>
            <w:proofErr w:type="spellEnd"/>
            <w:r w:rsidRPr="00A813D5">
              <w:rPr>
                <w:rFonts w:ascii="Calibri" w:hAnsi="Calibri" w:cs="Arial"/>
                <w:color w:val="000000" w:themeColor="text1"/>
              </w:rPr>
              <w:t xml:space="preserve"> - Nowowiejska (JOWN) </w:t>
            </w:r>
            <w:r w:rsidRPr="00A813D5">
              <w:rPr>
                <w:rFonts w:ascii="Calibri" w:hAnsi="Calibri" w:cs="Arial"/>
                <w:color w:val="000000" w:themeColor="text1"/>
              </w:rPr>
              <w:br/>
              <w:t>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color w:val="000000" w:themeColor="text1"/>
              </w:rPr>
              <w:t xml:space="preserve"> </w:t>
            </w:r>
            <w:r w:rsidRPr="00A813D5">
              <w:rPr>
                <w:rFonts w:ascii="Calibri" w:hAnsi="Calibri" w:cs="Arial"/>
                <w:color w:val="000000" w:themeColor="text1"/>
              </w:rPr>
              <w:t>Cel główny projektu to poprawa jakości życia mieszkańców Wrocławia w szczególności wnętrza Stefana Jaracza, Elizy Orzeszkowej, Kardynała Stefana Wyszyńskiego i Nowowiejskiej.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5 000 000,00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2 050 524,18</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10: Fizyczna odnowa i bezpieczeństwo przestrzeni publicznej 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Rozwój infrastruktury aktywizacji i integracji społecznej mający na celu poprawę kondycji psychofizycznej mieszkańców - budowa systemu świetlic wiejskich na obszarze gminy Siechnice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Siechnice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Celem przedsięwzięcia będzie poprawa jakości życia mieszkańców, promowanie </w:t>
            </w:r>
            <w:r w:rsidRPr="00A813D5">
              <w:rPr>
                <w:rFonts w:ascii="Calibri" w:hAnsi="Calibri" w:cs="Arial"/>
                <w:color w:val="000000" w:themeColor="text1"/>
              </w:rPr>
              <w:br/>
              <w:t xml:space="preserve">i ochrona materialnego dziedzictwa kulturowego, </w:t>
            </w:r>
            <w:r w:rsidRPr="00A813D5">
              <w:rPr>
                <w:rFonts w:ascii="Calibri" w:hAnsi="Calibri" w:cs="Arial"/>
                <w:color w:val="000000" w:themeColor="text1"/>
              </w:rPr>
              <w:br/>
              <w:t xml:space="preserve">a także rozwój instytucji kultury. Działania te przyczynią  się do poprawy kondycji psychofizycznej mieszkańców, poprzez stworzenie przestrzeni dla aktywności fizycznej oraz do organizacji m.in. spotkań, warsztatów, wspólnych działań, edukacji kulturalnej </w:t>
            </w:r>
            <w:r w:rsidRPr="00A813D5">
              <w:rPr>
                <w:rFonts w:ascii="Calibri" w:hAnsi="Calibri" w:cs="Arial"/>
                <w:color w:val="000000" w:themeColor="text1"/>
              </w:rPr>
              <w:br/>
              <w:t>i artystycznej, służących odpoczynkowi czy też przeciwdziałaniu wykluczeniu społecznemu.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6 200 000,00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4 300 102,28</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11: Rozwój infrastruktury aktywizacji i integracji społecznej mający na celu poprawę kondycji psychofizycznej mieszkańców we Wrocławskim Obszarze Funkcjonalnym, ze szczególnym uwzględnieniem kultury</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Przygotowanie i monitorowanie strategii ZIT oraz działania na rzecz zwiększenia zdolności kreowania polityki   rozwoju obszaru oraz koordynacyjnych Biura ZIT Wrocławskiego Obszaru Funkcjonalnego - Etap 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Ideą Zintegrowanych Inwestycji Terytorialnych (a tym samym celem przedmiotowego projektu) jest współpraca samorządów na rzecz maksymalnego wykorzystania atutów samorządów </w:t>
            </w:r>
            <w:r w:rsidRPr="00A813D5">
              <w:rPr>
                <w:rFonts w:ascii="Calibri" w:hAnsi="Calibri" w:cs="Arial"/>
                <w:color w:val="000000" w:themeColor="text1"/>
              </w:rPr>
              <w:br/>
              <w:t>i wspólnego rozwiązywania problemów.</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1 070 000,00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578 967,85</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październik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Wiązka projektów 13: Przygotowanie </w:t>
            </w:r>
            <w:r w:rsidRPr="00A813D5">
              <w:rPr>
                <w:rFonts w:ascii="Calibri" w:hAnsi="Calibri" w:cs="Arial"/>
                <w:color w:val="000000" w:themeColor="text1"/>
              </w:rPr>
              <w:br/>
              <w:t>i monitorowanie strategii ZIT, kreowanie polityki rozwoju obszaru</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Zagospodarowanie centrum miasta jako teren zielony – Park Miejski w Jelczu-Laskowicach</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Jelcz-Laskowice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Celem projektu jest poprawa jakości życia mieszkańców poprzez adaptację i stworzenie bezpiecznej przestrzeni publicznej.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6 200 000,00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4 202 564,20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grudzień 2023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Wiązka projektów 10: Fizyczna odnowa </w:t>
            </w:r>
            <w:r w:rsidRPr="00A813D5">
              <w:rPr>
                <w:rFonts w:ascii="Calibri" w:hAnsi="Calibri" w:cs="Arial"/>
                <w:color w:val="000000" w:themeColor="text1"/>
              </w:rPr>
              <w:br/>
              <w:t xml:space="preserve">i bezpieczeństwo przestrzeni publicznej </w:t>
            </w:r>
            <w:r w:rsidRPr="00A813D5">
              <w:rPr>
                <w:rFonts w:ascii="Calibri" w:hAnsi="Calibri" w:cs="Arial"/>
                <w:color w:val="000000" w:themeColor="text1"/>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Budowa dróg rowerowych na terenie Gminy Oborniki Śląskie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Oborniki Śląskie</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Głównym celem projektu jest zwiększenie mobilności mieszkańców obszaru ZIT WrOF poprzez rozwój turystyki rowerowej.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2 992 875,00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2 095 000,00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luty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Wiązka projektów 8: Budowa infrastruktury rowerowej lub pieszo-rowerowej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Zagospodarowanie wnętrza podwórzowego Wyszyńskiego – Prusa-Sępa-Szarzyńskiego- Sienkiewicza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color w:val="000000" w:themeColor="text1"/>
              </w:rPr>
              <w:t xml:space="preserve"> </w:t>
            </w:r>
            <w:r w:rsidRPr="00A813D5">
              <w:rPr>
                <w:rFonts w:ascii="Calibri" w:hAnsi="Calibri" w:cs="Arial"/>
                <w:color w:val="000000" w:themeColor="text1"/>
              </w:rPr>
              <w:t xml:space="preserve">Cel główny projektu, to poprawa jakości życia mieszkańców Wrocławia, </w:t>
            </w:r>
            <w:r w:rsidRPr="00A813D5">
              <w:rPr>
                <w:rFonts w:ascii="Calibri" w:hAnsi="Calibri" w:cs="Arial"/>
                <w:color w:val="000000" w:themeColor="text1"/>
              </w:rPr>
              <w:br/>
              <w:t>w szczególności zaś wnętrza Wyszyńskiego- Prusa-Sępa-Szarzyńskiego – Sienkiewicza.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3 000 000,00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900 000,00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Wiązka projektów 10: Fizyczna odnowa </w:t>
            </w:r>
            <w:r w:rsidRPr="00A813D5">
              <w:rPr>
                <w:rFonts w:ascii="Calibri" w:hAnsi="Calibri" w:cs="Arial"/>
                <w:color w:val="000000" w:themeColor="text1"/>
              </w:rPr>
              <w:br/>
              <w:t xml:space="preserve">i bezpieczeństwo przestrzeni publicznej </w:t>
            </w:r>
            <w:r w:rsidRPr="00A813D5">
              <w:rPr>
                <w:rFonts w:ascii="Calibri" w:hAnsi="Calibri" w:cs="Arial"/>
                <w:color w:val="000000" w:themeColor="text1"/>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16</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Zagospodarowanie wnętrza podwórzowego Piastowska - Sienkiewicza - Reja – Nowowiejska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color w:val="000000" w:themeColor="text1"/>
              </w:rPr>
              <w:t xml:space="preserve"> </w:t>
            </w:r>
            <w:r w:rsidRPr="00A813D5">
              <w:rPr>
                <w:rFonts w:ascii="Calibri" w:hAnsi="Calibri" w:cs="Arial"/>
                <w:color w:val="000000" w:themeColor="text1"/>
              </w:rPr>
              <w:t xml:space="preserve">Cel główny projektu  </w:t>
            </w:r>
            <w:r w:rsidRPr="00A813D5">
              <w:rPr>
                <w:rFonts w:ascii="Calibri" w:hAnsi="Calibri" w:cs="Arial"/>
                <w:color w:val="000000" w:themeColor="text1"/>
              </w:rPr>
              <w:br/>
              <w:t xml:space="preserve">to poprawa jakości życia mieszkańców Wrocławia, </w:t>
            </w:r>
            <w:r w:rsidRPr="00A813D5">
              <w:rPr>
                <w:rFonts w:ascii="Calibri" w:hAnsi="Calibri" w:cs="Arial"/>
                <w:color w:val="000000" w:themeColor="text1"/>
              </w:rPr>
              <w:br/>
              <w:t>w szczególności wnętrza w obrębie ulic Piastowska - Sienkiewicza - Reja – Nowowiejska.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6 000 000,00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1 800 000,00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Wiązka projektów 10: Fizyczna odnowa </w:t>
            </w:r>
            <w:r w:rsidRPr="00A813D5">
              <w:rPr>
                <w:rFonts w:ascii="Calibri" w:hAnsi="Calibri" w:cs="Arial"/>
                <w:color w:val="000000" w:themeColor="text1"/>
              </w:rPr>
              <w:br/>
              <w:t xml:space="preserve">i bezpieczeństwo przestrzeni publicznej </w:t>
            </w:r>
            <w:r w:rsidRPr="00A813D5">
              <w:rPr>
                <w:rFonts w:ascii="Calibri" w:hAnsi="Calibri" w:cs="Arial"/>
                <w:color w:val="000000" w:themeColor="text1"/>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17</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Zagospodarowanie skweru im. Stanisława Dunajewskiego w Sobótce</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Gmina Sobótka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Celami projektu będą: zwiększenie świadomości </w:t>
            </w:r>
            <w:r w:rsidRPr="00A813D5">
              <w:rPr>
                <w:rFonts w:ascii="Calibri" w:hAnsi="Calibri" w:cs="Arial"/>
                <w:color w:val="000000" w:themeColor="text1"/>
              </w:rPr>
              <w:br/>
              <w:t xml:space="preserve">w kwestii problematyki zmian klimatycznych, zwiększenie odporności Gminy Sobótka </w:t>
            </w:r>
            <w:r w:rsidRPr="00A813D5">
              <w:rPr>
                <w:rFonts w:ascii="Calibri" w:hAnsi="Calibri" w:cs="Arial"/>
                <w:color w:val="000000" w:themeColor="text1"/>
              </w:rPr>
              <w:br/>
              <w:t xml:space="preserve">na negatywne zjawiska </w:t>
            </w:r>
            <w:r w:rsidRPr="00A813D5">
              <w:rPr>
                <w:rFonts w:ascii="Calibri" w:hAnsi="Calibri" w:cs="Arial"/>
                <w:color w:val="000000" w:themeColor="text1"/>
              </w:rPr>
              <w:br/>
              <w:t xml:space="preserve">i adaptacja do ich skutków oraz znaczące zwiększenie świadomości społeczeństwa </w:t>
            </w:r>
            <w:r w:rsidRPr="00A813D5">
              <w:rPr>
                <w:rFonts w:ascii="Calibri" w:hAnsi="Calibri" w:cs="Arial"/>
                <w:color w:val="000000" w:themeColor="text1"/>
              </w:rPr>
              <w:br/>
              <w:t>w kwestii konieczności podejmowania działań na rzecz klimatu, poprawa kondycji psychofizycznej mieszkańców poprzez rozwój infrastruktury aktywizacji i integracji społecznej.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2 700 000,00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1 800 747,56</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themeColor="text1"/>
              </w:rPr>
            </w:pPr>
            <w:r w:rsidRPr="00A813D5">
              <w:rPr>
                <w:rFonts w:ascii="Calibri" w:hAnsi="Calibri" w:cs="Arial"/>
                <w:color w:val="000000" w:themeColor="text1"/>
              </w:rPr>
              <w:t xml:space="preserve">Wiązka projektów 10: Fizyczna odnowa </w:t>
            </w:r>
            <w:r w:rsidRPr="00A813D5">
              <w:rPr>
                <w:rFonts w:ascii="Calibri" w:hAnsi="Calibri" w:cs="Arial"/>
                <w:color w:val="000000" w:themeColor="text1"/>
              </w:rPr>
              <w:br/>
              <w:t xml:space="preserve">i bezpieczeństwo przestrzeni publicznej </w:t>
            </w:r>
            <w:r w:rsidRPr="00A813D5">
              <w:rPr>
                <w:rFonts w:ascii="Calibri" w:hAnsi="Calibri" w:cs="Arial"/>
                <w:color w:val="000000" w:themeColor="text1"/>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18</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Zielone trasy pieszo – rowerowe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głównym Projektu jest redukcja niskiej emisji transportowej oraz poprawa transportowej mobilności mieszkańców w ramach kompleksowej strategii promowania i rozwoju transportu rowerowego na terenie Wrocławia oraz obszaru ZIT WROF oraz promocja zrównoważonej turystyki.</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28 759 000,00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17 482 019,01</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2021</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marzec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8: Budowa infrastruktury rowerowej lub pieszo-rowerowej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19</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terenu Promenady Staromiejskiej – obszaru cennego historycznie i przyrodniczo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 główny projektu, to poprawa jakości życia mieszkańców Wrocławia oraz podniesienie jego walorów turystycznych.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15 000 000,00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5 075 512,95</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kwiecień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20</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Struga -Kraszewskiego- Zegadłowicza –Kleczkowska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 główny projektu, </w:t>
            </w:r>
            <w:r w:rsidRPr="00A813D5">
              <w:rPr>
                <w:rFonts w:ascii="Calibri" w:hAnsi="Calibri" w:cs="Arial"/>
                <w:color w:val="000000"/>
              </w:rPr>
              <w:br/>
              <w:t xml:space="preserve">to poprawa jakości życia mieszkańców Wrocławia, </w:t>
            </w:r>
            <w:r w:rsidRPr="00A813D5">
              <w:rPr>
                <w:rFonts w:ascii="Calibri" w:hAnsi="Calibri" w:cs="Arial"/>
                <w:color w:val="000000"/>
              </w:rPr>
              <w:br/>
              <w:t>w szczególności mieszkańców wnętrza Struga  Kraszewskiego- Zegadłowicza –Kleczkowska we Wrocławiu.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2 500 000,00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750 000,00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czerwiec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21</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Kromera - Bydgoska - Łąka Mazurska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 główny projektu, </w:t>
            </w:r>
            <w:r w:rsidRPr="00A813D5">
              <w:rPr>
                <w:rFonts w:ascii="Calibri" w:hAnsi="Calibri" w:cs="Arial"/>
                <w:color w:val="000000"/>
              </w:rPr>
              <w:br/>
              <w:t>to poprawa jakości życia mieszkańców Wrocławia, w tym w szczególności mieszkańców wnętrza Kromera - Bydgoska - Łąka Mazurska.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4 500 000,00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1 350 000,00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2022</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czerwiec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22</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Oleśnica bliżej obywateli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Oleśnica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Celem projektu jest integrowanie społeczne WrOF </w:t>
            </w:r>
            <w:r w:rsidRPr="00A813D5">
              <w:rPr>
                <w:rFonts w:ascii="Calibri" w:hAnsi="Calibri" w:cs="Arial"/>
                <w:color w:val="000000"/>
              </w:rPr>
              <w:br/>
              <w:t>i poprawa jakości życia mieszkańców i spójność społeczna na terenie WrOF. Nowo powstała infrastruktura będzie ogólnodostępna.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3 773 000,00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2 566 126,00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2026</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czerwiec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23</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kładek pieszo-rowerowych we Wrocławiu – etap 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Celem projektu jest usprawnienie komunikacji pieszo – rowerowej na terenie Wrocławia dzięki likwidacji naturalnych barier komunikacyjnych.</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8 000 000,00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rPr>
            </w:pPr>
            <w:r w:rsidRPr="00A813D5">
              <w:rPr>
                <w:rFonts w:ascii="Calibri" w:hAnsi="Calibri" w:cs="Arial"/>
              </w:rPr>
              <w:t>5 600 000,00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2024</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czerwiec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Wiązka projektów 8: Budowa infrastruktury rowerowej lub pieszo-rowerowej na terenie Wrocławskiego Obszaru Funkcjonalnego</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24</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Odnowa Parku Szczytnickiego - obszar cenny historycznie i przyrodniczo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odnowa </w:t>
            </w:r>
            <w:r w:rsidRPr="00A813D5">
              <w:rPr>
                <w:rFonts w:ascii="Calibri" w:hAnsi="Calibri" w:cs="Arial"/>
                <w:color w:val="000000"/>
              </w:rPr>
              <w:br/>
              <w:t>i  poprawa  bezpieczeństwa przestrzeni publicznej poprzez zagospodarowanie terenu zaniedbanego przyrodniczo. Działanie to wpłynie  pozytywnie na rozwój walorów turystycznych i rekreacyjnych oraz poprawę bezpieczeństwa obecnie nieprzychylnego dla spotkań miejsca.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20 000 000,00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5 674 370,36</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lipiec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25</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Komuny Paryskiej- Zgodna- pl. Zgody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Celem ogólnym projektu jest poprawa jakości życia mieszkańców Wrocławia, w tym w szczególności mieszkańców kwartału podwórzowego objętego zakresem projektu.</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1 200 000,00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360 000,00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wrzesień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26</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Budowa budynku edukacyjnego na terenie Gminy Trzebnica</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Trzebnica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Głównym celem projektu będzie rozbudowa infrastruktury edukacyjnej na terenie Gminy Trzebnica poprzez budowę punktu przedszkolnego </w:t>
            </w:r>
            <w:r w:rsidRPr="00A813D5">
              <w:rPr>
                <w:rFonts w:ascii="Calibri" w:hAnsi="Calibri" w:cs="Arial"/>
                <w:color w:val="000000"/>
              </w:rPr>
              <w:br/>
              <w:t>w miejscowości wiejskiej.</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2 800 000,00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1 960 000,00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wrzesień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12: Poprawa dostępności usług publicznych, </w:t>
            </w:r>
            <w:r w:rsidRPr="00A813D5">
              <w:rPr>
                <w:rFonts w:ascii="Calibri" w:hAnsi="Calibri" w:cs="Arial"/>
                <w:color w:val="000000"/>
              </w:rPr>
              <w:br/>
              <w:t xml:space="preserve">w szczególności poprzez budowę lub rozbudowę infrastruktury społecznej </w:t>
            </w:r>
            <w:r w:rsidRPr="00A813D5">
              <w:rPr>
                <w:rFonts w:ascii="Calibri" w:hAnsi="Calibri" w:cs="Arial"/>
                <w:color w:val="000000"/>
              </w:rPr>
              <w:br/>
              <w:t>i edukacyjnej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27</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Zagospodarowanie wnętrza podwórzowego w obrębie ulic Wapienna, Gajowa, Kamienna, Przestrzenna we Wrocławiu</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Wrocław</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t xml:space="preserve"> </w:t>
            </w:r>
            <w:r w:rsidRPr="00A813D5">
              <w:rPr>
                <w:rFonts w:ascii="Calibri" w:hAnsi="Calibri" w:cs="Arial"/>
                <w:color w:val="000000"/>
              </w:rPr>
              <w:t>Cel główny projekt  to poprawa jakości życia mieszkańców Wrocławia, w szczególności zaś mieszkańców wnętrza w obrębie ulic Wapienna, Gajowa, Kamienna.</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940 000,00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282 000,00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II kw. 2023</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październik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 xml:space="preserve">i bezpieczeństwo przestrzeni publicznej </w:t>
            </w:r>
            <w:r w:rsidRPr="00A813D5">
              <w:rPr>
                <w:rFonts w:ascii="Calibri" w:hAnsi="Calibri" w:cs="Arial"/>
                <w:color w:val="000000"/>
              </w:rPr>
              <w:br/>
              <w:t>we Wrocławskim Obszarze Funkcjonalnym, w tym sprzyjająca aktywności fizycznej</w:t>
            </w:r>
          </w:p>
        </w:tc>
      </w:tr>
      <w:tr w:rsidR="00525CAC" w:rsidRPr="00A813D5" w:rsidTr="001D587F">
        <w:trPr>
          <w:trHeight w:val="20"/>
        </w:trPr>
        <w:tc>
          <w:tcPr>
            <w:tcW w:w="1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28</w:t>
            </w:r>
          </w:p>
        </w:tc>
        <w:tc>
          <w:tcPr>
            <w:tcW w:w="390"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60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Poprawa dostępności do usług publicznych na terenach wiejskich Wrocławskiego Obszaru Funkcjonalnego – Gmina Czernica etap I</w:t>
            </w:r>
          </w:p>
        </w:tc>
        <w:tc>
          <w:tcPr>
            <w:tcW w:w="5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Gmina Czernica</w:t>
            </w:r>
          </w:p>
        </w:tc>
        <w:tc>
          <w:tcPr>
            <w:tcW w:w="669"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Głównym celem projektu jest zwiększenie i poprawa dostępności do usług publicznych na terenie gminy wiejskiej Wrocławskiego Obszaru Funkcjonalnego.</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40 000 000,00</w:t>
            </w:r>
          </w:p>
        </w:tc>
        <w:tc>
          <w:tcPr>
            <w:tcW w:w="443"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2 090 000,00</w:t>
            </w:r>
          </w:p>
        </w:tc>
        <w:tc>
          <w:tcPr>
            <w:tcW w:w="352"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 kw. 2025</w:t>
            </w:r>
          </w:p>
        </w:tc>
        <w:tc>
          <w:tcPr>
            <w:tcW w:w="364"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466"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grudzień 2024 r.</w:t>
            </w:r>
          </w:p>
        </w:tc>
        <w:tc>
          <w:tcPr>
            <w:tcW w:w="558" w:type="pct"/>
            <w:shd w:val="clear" w:color="auto" w:fill="auto"/>
            <w:vAlign w:val="center"/>
            <w:hideMark/>
          </w:tcPr>
          <w:p w:rsidR="00525CAC" w:rsidRPr="00A813D5" w:rsidRDefault="00525CAC" w:rsidP="00A813D5">
            <w:pPr>
              <w:spacing w:after="0" w:line="240" w:lineRule="auto"/>
              <w:jc w:val="left"/>
              <w:rPr>
                <w:rFonts w:ascii="Calibri" w:hAnsi="Calibri" w:cs="Arial"/>
                <w:color w:val="000000"/>
              </w:rPr>
            </w:pPr>
            <w:r w:rsidRPr="00A813D5">
              <w:rPr>
                <w:rFonts w:ascii="Calibri" w:hAnsi="Calibri" w:cs="Arial"/>
                <w:color w:val="000000"/>
              </w:rPr>
              <w:t xml:space="preserve">Wiązka projektów 12: Poprawa dostępności usług publicznych, </w:t>
            </w:r>
            <w:r w:rsidRPr="00A813D5">
              <w:rPr>
                <w:rFonts w:ascii="Calibri" w:hAnsi="Calibri" w:cs="Arial"/>
                <w:color w:val="000000"/>
              </w:rPr>
              <w:br/>
              <w:t xml:space="preserve">w szczególności poprzez budowę lub rozbudowę infrastruktury społecznej </w:t>
            </w:r>
            <w:r w:rsidRPr="00A813D5">
              <w:rPr>
                <w:rFonts w:ascii="Calibri" w:hAnsi="Calibri" w:cs="Arial"/>
                <w:color w:val="000000"/>
              </w:rPr>
              <w:br/>
              <w:t>i edukacyjnej</w:t>
            </w:r>
          </w:p>
        </w:tc>
      </w:tr>
      <w:tr w:rsidR="0049310E" w:rsidRPr="00A813D5" w:rsidTr="001D587F">
        <w:trPr>
          <w:trHeight w:val="1020"/>
        </w:trPr>
        <w:tc>
          <w:tcPr>
            <w:tcW w:w="143"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390"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603"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569"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669"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RSO5.1:</w:t>
            </w:r>
          </w:p>
        </w:tc>
        <w:tc>
          <w:tcPr>
            <w:tcW w:w="443"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186 966 693,36</w:t>
            </w:r>
          </w:p>
        </w:tc>
        <w:tc>
          <w:tcPr>
            <w:tcW w:w="443"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76 338 396,03</w:t>
            </w:r>
          </w:p>
        </w:tc>
        <w:tc>
          <w:tcPr>
            <w:tcW w:w="352"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364"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466"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c>
          <w:tcPr>
            <w:tcW w:w="558" w:type="pct"/>
            <w:shd w:val="clear" w:color="auto" w:fill="F2F2F2" w:themeFill="background1" w:themeFillShade="F2"/>
            <w:vAlign w:val="center"/>
          </w:tcPr>
          <w:p w:rsidR="0049310E" w:rsidRPr="00A813D5" w:rsidRDefault="0049310E" w:rsidP="00A813D5">
            <w:pPr>
              <w:spacing w:after="0" w:line="240" w:lineRule="auto"/>
              <w:jc w:val="left"/>
              <w:rPr>
                <w:rFonts w:ascii="Calibri" w:hAnsi="Calibri" w:cs="Arial"/>
                <w:color w:val="000000"/>
              </w:rPr>
            </w:pPr>
          </w:p>
        </w:tc>
      </w:tr>
      <w:tr w:rsidR="0049310E" w:rsidRPr="00A813D5" w:rsidTr="001D587F">
        <w:trPr>
          <w:trHeight w:val="1020"/>
        </w:trPr>
        <w:tc>
          <w:tcPr>
            <w:tcW w:w="143"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390"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603"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569"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669"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b/>
                <w:bCs/>
                <w:color w:val="000000"/>
              </w:rPr>
              <w:t>SUMA PROJEKTÓW WE WSZYSTKICH CELACH SZCZEGÓŁOWYCH:</w:t>
            </w:r>
          </w:p>
        </w:tc>
        <w:tc>
          <w:tcPr>
            <w:tcW w:w="443"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520 169 359,26</w:t>
            </w:r>
          </w:p>
        </w:tc>
        <w:tc>
          <w:tcPr>
            <w:tcW w:w="443"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241 876 171,84</w:t>
            </w:r>
          </w:p>
        </w:tc>
        <w:tc>
          <w:tcPr>
            <w:tcW w:w="352"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364"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466"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c>
          <w:tcPr>
            <w:tcW w:w="558" w:type="pct"/>
            <w:shd w:val="clear" w:color="auto" w:fill="D9D9D9" w:themeFill="background1" w:themeFillShade="D9"/>
            <w:vAlign w:val="center"/>
          </w:tcPr>
          <w:p w:rsidR="0049310E" w:rsidRPr="00A813D5" w:rsidRDefault="0049310E" w:rsidP="00A813D5">
            <w:pPr>
              <w:spacing w:after="0" w:line="240" w:lineRule="auto"/>
              <w:jc w:val="left"/>
              <w:rPr>
                <w:rFonts w:ascii="Calibri" w:hAnsi="Calibri" w:cs="Arial"/>
                <w:color w:val="000000"/>
              </w:rPr>
            </w:pPr>
          </w:p>
        </w:tc>
      </w:tr>
    </w:tbl>
    <w:p w:rsidR="00BA75B1" w:rsidRPr="0049310E" w:rsidRDefault="00A51ECC" w:rsidP="005A11FB">
      <w:pPr>
        <w:rPr>
          <w:sz w:val="20"/>
        </w:rPr>
      </w:pPr>
      <w:r w:rsidRPr="0049310E">
        <w:rPr>
          <w:sz w:val="20"/>
        </w:rPr>
        <w:t>* Zastrzega się możliwość zwiększenia Szacowanego wkład UE (PLN) do 70% wartości kosztów kwalifikowalnych projektu</w:t>
      </w:r>
    </w:p>
    <w:p w:rsidR="00E137CD" w:rsidRDefault="00E137CD" w:rsidP="005A11FB">
      <w:pPr>
        <w:sectPr w:rsidR="00E137CD" w:rsidSect="00E137CD">
          <w:headerReference w:type="even" r:id="rId78"/>
          <w:headerReference w:type="default" r:id="rId79"/>
          <w:pgSz w:w="23814" w:h="16840" w:orient="landscape" w:code="8"/>
          <w:pgMar w:top="1418" w:right="1418" w:bottom="1418" w:left="1418" w:header="709" w:footer="709" w:gutter="0"/>
          <w:cols w:space="708"/>
          <w:docGrid w:linePitch="360"/>
        </w:sectPr>
      </w:pPr>
    </w:p>
    <w:p w:rsidR="00101A94" w:rsidRDefault="001D587F" w:rsidP="001D587F">
      <w:pPr>
        <w:pStyle w:val="Nagwek3"/>
      </w:pPr>
      <w:bookmarkStart w:id="170" w:name="_Toc143673229"/>
      <w:r w:rsidRPr="0049310E">
        <w:rPr>
          <w:rFonts w:eastAsia="Calibri"/>
        </w:rPr>
        <w:t>IV.3.2</w:t>
      </w:r>
      <w:r>
        <w:rPr>
          <w:rFonts w:eastAsia="Calibri"/>
        </w:rPr>
        <w:t xml:space="preserve"> </w:t>
      </w:r>
      <w:r w:rsidRPr="0049310E">
        <w:rPr>
          <w:rFonts w:eastAsia="Calibri"/>
        </w:rPr>
        <w:t>Lista projektów rezerwowych wybieranych w trybie niekonkurencyjnym finansowanych z FEDS 2021-2027</w:t>
      </w:r>
      <w:bookmarkEnd w:id="170"/>
    </w:p>
    <w:tbl>
      <w:tblPr>
        <w:tblStyle w:val="Tabela-Siatka"/>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Lista projektów rezerwowych wybieranych w trybie niekonkurencyjnym finansowanych z FEDS 2021-2027"/>
        <w:tblDescription w:val="Lista projektów rezerwowych wybieranych w trybie niekonkurencyjnym finansowanych z FEDS 2021-2027"/>
      </w:tblPr>
      <w:tblGrid>
        <w:gridCol w:w="13992"/>
      </w:tblGrid>
      <w:tr w:rsidR="001D587F" w:rsidRPr="0049310E" w:rsidTr="001D587F">
        <w:trPr>
          <w:trHeight w:val="567"/>
          <w:tblHeader/>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eastAsia="Calibri" w:cstheme="minorHAnsi"/>
                <w:b/>
                <w:bCs/>
                <w:sz w:val="24"/>
                <w:szCs w:val="24"/>
              </w:rPr>
            </w:pPr>
            <w:r w:rsidRPr="0049310E">
              <w:rPr>
                <w:rFonts w:eastAsia="Calibri" w:cstheme="minorHAnsi"/>
                <w:b/>
                <w:bCs/>
                <w:sz w:val="24"/>
                <w:szCs w:val="24"/>
              </w:rPr>
              <w:t>Lista projektów rezerwowych wybieranych w trybie niekonkurencyjnym finansowanych z FEDS 2021-2027</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eastAsia="Calibri" w:cstheme="minorHAnsi"/>
                <w:sz w:val="24"/>
                <w:szCs w:val="24"/>
              </w:rPr>
            </w:pPr>
            <w:r w:rsidRPr="0049310E">
              <w:rPr>
                <w:rFonts w:eastAsia="Calibri" w:cstheme="minorHAnsi"/>
                <w:bCs/>
                <w:sz w:val="24"/>
                <w:szCs w:val="24"/>
              </w:rPr>
              <w:t>Wiązka projektów 1: Rozwój usług społecznych na terenie Wrocławskiego Obszaru Funkcjonalnego</w:t>
            </w:r>
          </w:p>
        </w:tc>
      </w:tr>
      <w:tr w:rsidR="001D587F" w:rsidRPr="0049310E" w:rsidTr="001D587F">
        <w:trPr>
          <w:trHeight w:val="20"/>
          <w:jc w:val="center"/>
        </w:trPr>
        <w:tc>
          <w:tcPr>
            <w:tcW w:w="13992" w:type="dxa"/>
            <w:shd w:val="clear" w:color="auto" w:fill="auto"/>
            <w:vAlign w:val="center"/>
          </w:tcPr>
          <w:p w:rsidR="001D587F" w:rsidRPr="0049310E" w:rsidRDefault="001D587F" w:rsidP="001D587F">
            <w:pPr>
              <w:pStyle w:val="Akapitzlist"/>
              <w:numPr>
                <w:ilvl w:val="0"/>
                <w:numId w:val="64"/>
              </w:numPr>
              <w:spacing w:line="240" w:lineRule="auto"/>
              <w:jc w:val="left"/>
              <w:rPr>
                <w:rFonts w:eastAsia="Calibri" w:cstheme="minorHAnsi"/>
                <w:sz w:val="24"/>
                <w:szCs w:val="24"/>
              </w:rPr>
            </w:pPr>
            <w:r w:rsidRPr="0049310E">
              <w:rPr>
                <w:color w:val="000000"/>
                <w:sz w:val="24"/>
                <w:szCs w:val="24"/>
              </w:rPr>
              <w:t>Rozwój usług społecznych na terenie ZIT WrOF w Powiecie Wrocławskim</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eastAsia="Calibri" w:cstheme="minorHAnsi"/>
                <w:sz w:val="24"/>
                <w:szCs w:val="24"/>
              </w:rPr>
            </w:pPr>
            <w:r w:rsidRPr="0049310E">
              <w:rPr>
                <w:rFonts w:eastAsia="Calibri" w:cstheme="minorHAnsi"/>
                <w:bCs/>
                <w:sz w:val="24"/>
                <w:szCs w:val="24"/>
              </w:rPr>
              <w:t>Wiązka projektów 2: Upowszechnienie dostępu  do edukacji przedszkolnej oraz wsparcie kształcenia zawodowego na terenie Wrocławskiego Obszaru Funkcjonalnego</w:t>
            </w:r>
          </w:p>
        </w:tc>
      </w:tr>
      <w:tr w:rsidR="001D587F" w:rsidRPr="0049310E" w:rsidTr="001D587F">
        <w:trPr>
          <w:trHeight w:val="20"/>
          <w:jc w:val="center"/>
        </w:trPr>
        <w:tc>
          <w:tcPr>
            <w:tcW w:w="13992" w:type="dxa"/>
            <w:shd w:val="clear" w:color="auto" w:fill="auto"/>
            <w:vAlign w:val="center"/>
          </w:tcPr>
          <w:p w:rsidR="001D587F" w:rsidRPr="0049310E" w:rsidRDefault="001D587F" w:rsidP="001D587F">
            <w:pPr>
              <w:spacing w:line="240" w:lineRule="auto"/>
              <w:jc w:val="left"/>
              <w:rPr>
                <w:rFonts w:eastAsia="Calibri" w:cstheme="minorHAnsi"/>
                <w:sz w:val="24"/>
                <w:szCs w:val="24"/>
              </w:rPr>
            </w:pPr>
            <w:r w:rsidRPr="0049310E">
              <w:rPr>
                <w:rFonts w:eastAsia="Calibri" w:cstheme="minorHAnsi"/>
                <w:sz w:val="24"/>
                <w:szCs w:val="24"/>
              </w:rPr>
              <w:t>-</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cstheme="minorHAnsi"/>
                <w:sz w:val="24"/>
                <w:szCs w:val="24"/>
              </w:rPr>
            </w:pPr>
            <w:r w:rsidRPr="0049310E">
              <w:rPr>
                <w:rFonts w:eastAsia="Calibri" w:cstheme="minorHAnsi"/>
                <w:sz w:val="24"/>
                <w:szCs w:val="24"/>
              </w:rPr>
              <w:t>Wiązka projektów 3: Termomodernizacja budynków użyteczności publicznej we Wrocławskim Obszarze Funkcjonalnym</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4"/>
              </w:numPr>
              <w:spacing w:line="240" w:lineRule="auto"/>
              <w:jc w:val="left"/>
              <w:rPr>
                <w:rFonts w:cstheme="minorHAnsi"/>
                <w:sz w:val="24"/>
                <w:szCs w:val="24"/>
              </w:rPr>
            </w:pPr>
            <w:r w:rsidRPr="0049310E">
              <w:rPr>
                <w:rFonts w:cstheme="minorHAnsi"/>
                <w:sz w:val="24"/>
                <w:szCs w:val="24"/>
              </w:rPr>
              <w:t>Ograniczenie niskiej emisji w zabytkowym budynku użyteczności publicznej w Gminie Trzebnica</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cstheme="minorHAnsi"/>
                <w:sz w:val="24"/>
                <w:szCs w:val="24"/>
              </w:rPr>
            </w:pPr>
            <w:r w:rsidRPr="0049310E">
              <w:rPr>
                <w:rFonts w:eastAsia="Calibri" w:cstheme="minorHAnsi"/>
                <w:sz w:val="24"/>
                <w:szCs w:val="24"/>
              </w:rPr>
              <w:t>Wiązka projektów 4: Poprawa sytuacji gospodarki wodno-ściekowej w aglomeracjach od 10 tys. do 15 tys. RLM znajdujących się we Wrocławskim Obszarze Funkcjonalnym</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4"/>
              </w:numPr>
              <w:spacing w:line="240" w:lineRule="auto"/>
              <w:jc w:val="left"/>
              <w:rPr>
                <w:rFonts w:cstheme="minorHAnsi"/>
                <w:sz w:val="24"/>
                <w:szCs w:val="24"/>
              </w:rPr>
            </w:pPr>
            <w:r w:rsidRPr="0049310E">
              <w:rPr>
                <w:rFonts w:cstheme="minorHAnsi"/>
                <w:sz w:val="24"/>
                <w:szCs w:val="24"/>
              </w:rPr>
              <w:t>Przebudowa oczyszczalni ścieków w Sobótce</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spacing w:line="240" w:lineRule="auto"/>
              <w:jc w:val="left"/>
              <w:rPr>
                <w:rFonts w:cstheme="minorHAnsi"/>
                <w:sz w:val="24"/>
                <w:szCs w:val="24"/>
              </w:rPr>
            </w:pPr>
            <w:r w:rsidRPr="0049310E">
              <w:rPr>
                <w:rFonts w:eastAsia="Calibri" w:cstheme="minorHAnsi"/>
                <w:sz w:val="24"/>
                <w:szCs w:val="24"/>
              </w:rPr>
              <w:t>Wiązka projektów 5: Poprawa sytuacji gospodarki wodno-ściekowej w aglomeracjach od 2 do poniżej 10 tys. RLM znajdujących się we Wrocławskim Obszarze Funkcjonalnym</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4"/>
              </w:numPr>
              <w:spacing w:line="240" w:lineRule="auto"/>
              <w:jc w:val="left"/>
              <w:rPr>
                <w:rFonts w:cstheme="minorHAnsi"/>
                <w:sz w:val="24"/>
                <w:szCs w:val="24"/>
              </w:rPr>
            </w:pPr>
            <w:r w:rsidRPr="0049310E">
              <w:rPr>
                <w:rFonts w:cstheme="minorHAnsi"/>
                <w:sz w:val="24"/>
                <w:szCs w:val="24"/>
              </w:rPr>
              <w:t>Budowa nowego SUW w Kolonii Strzelce oraz rozbudowa sieci wodociągowej</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6: Rozwój terenów zielonych i adaptacja do zmian klimatu we Wrocławskim Obszarze Funkcjonalnym</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Przebudowa stawów w Gminie Żórawina</w:t>
            </w:r>
          </w:p>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Park przy ul. Chałupniczej "Smocze uroczysko" we Wrocławiu</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7: Budowa lub rozbudowa dróg, ścieżek, tras rowerowych oraz ciągów pieszo-rowerowych na terenie Wrocławskiego Obszaru Funkcjonalnego</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Budowa sieci dróg dla rowerów wraz z infrastrukturą towarzyszącą w Gminie Mieście Oleśnicy</w:t>
            </w:r>
          </w:p>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Budowa chodników i ścieżki rowerowej w ramach rozbudowy drogi gminnej nr 107184D (od przejazdu kolejowego w Smolcu do drogi wojewódzkiej)</w:t>
            </w:r>
          </w:p>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Budowa ścieżki rowerowej Mrozów – Błonie</w:t>
            </w:r>
          </w:p>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Budowa dróg pieszo-rowerowych na terenie Gminy Zawonia -etap II (odcinek Złotówek-Czeszów oraz Zawonia-</w:t>
            </w:r>
            <w:proofErr w:type="spellStart"/>
            <w:r w:rsidRPr="0049310E">
              <w:rPr>
                <w:rFonts w:cstheme="minorHAnsi"/>
                <w:sz w:val="24"/>
                <w:szCs w:val="24"/>
              </w:rPr>
              <w:t>Pstrzejowice</w:t>
            </w:r>
            <w:proofErr w:type="spellEnd"/>
            <w:r w:rsidRPr="0049310E">
              <w:rPr>
                <w:rFonts w:cstheme="minorHAnsi"/>
                <w:sz w:val="24"/>
                <w:szCs w:val="24"/>
              </w:rPr>
              <w:t>)</w:t>
            </w:r>
          </w:p>
          <w:p w:rsidR="001D587F" w:rsidRPr="0049310E" w:rsidRDefault="001D587F" w:rsidP="001D587F">
            <w:pPr>
              <w:pStyle w:val="Akapitzlist"/>
              <w:numPr>
                <w:ilvl w:val="0"/>
                <w:numId w:val="34"/>
              </w:numPr>
              <w:tabs>
                <w:tab w:val="left" w:pos="1872"/>
              </w:tabs>
              <w:spacing w:line="240" w:lineRule="auto"/>
              <w:jc w:val="left"/>
              <w:rPr>
                <w:rFonts w:cstheme="minorHAnsi"/>
                <w:sz w:val="24"/>
                <w:szCs w:val="24"/>
              </w:rPr>
            </w:pPr>
            <w:r w:rsidRPr="0049310E">
              <w:rPr>
                <w:rFonts w:cstheme="minorHAnsi"/>
                <w:sz w:val="24"/>
                <w:szCs w:val="24"/>
              </w:rPr>
              <w:t>Budowa dróg rowerowych i ciągów pieszo-rowerowych na terenie miasta i gminy Jelcz-Laskowice</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8: Budowa infrastruktury rowerowej lub pieszo-rowerowej na terenie Wrocławskiego Obszaru Funkcjonalnego</w:t>
            </w:r>
          </w:p>
        </w:tc>
      </w:tr>
      <w:tr w:rsidR="001D587F" w:rsidRPr="0049310E" w:rsidTr="001D587F">
        <w:trPr>
          <w:trHeight w:val="20"/>
          <w:jc w:val="center"/>
        </w:trPr>
        <w:tc>
          <w:tcPr>
            <w:tcW w:w="13992" w:type="dxa"/>
            <w:vAlign w:val="center"/>
          </w:tcPr>
          <w:p w:rsidR="001D587F" w:rsidRPr="0049310E" w:rsidRDefault="001D587F" w:rsidP="001D587F">
            <w:pPr>
              <w:tabs>
                <w:tab w:val="left" w:pos="1872"/>
              </w:tabs>
              <w:spacing w:line="240" w:lineRule="auto"/>
              <w:jc w:val="left"/>
              <w:rPr>
                <w:rFonts w:cstheme="minorHAnsi"/>
                <w:bCs/>
                <w:sz w:val="24"/>
                <w:szCs w:val="24"/>
              </w:rPr>
            </w:pPr>
            <w:r w:rsidRPr="0049310E">
              <w:rPr>
                <w:rFonts w:cstheme="minorHAnsi"/>
                <w:bCs/>
                <w:sz w:val="24"/>
                <w:szCs w:val="24"/>
              </w:rPr>
              <w:t>-</w:t>
            </w:r>
          </w:p>
          <w:p w:rsidR="001D587F" w:rsidRPr="0049310E" w:rsidRDefault="001D587F" w:rsidP="001D587F">
            <w:pPr>
              <w:tabs>
                <w:tab w:val="left" w:pos="1872"/>
              </w:tabs>
              <w:spacing w:line="240" w:lineRule="auto"/>
              <w:jc w:val="left"/>
              <w:rPr>
                <w:rFonts w:cstheme="minorHAnsi"/>
                <w:sz w:val="24"/>
                <w:szCs w:val="24"/>
              </w:rPr>
            </w:pP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9: Budowa lub rozbudowa centrów, węzłów przesiadkowych, P&amp;R oraz B&amp;R na terenie Wrocławskiego Obszaru Funkcjonalnego</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Budowa infrastruktury przesiadkowej P&amp;R oraz B&amp;R  przy Dworcu Kolejowym w Oławie</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Projekt zintegrowany: Realizacja i aktualizacja Planu Zrównoważonej Mobilności dla Miejskiego Obszaru Funkcjonalnego Wrocławia</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10: Fizyczna odnowa i bezpieczeństwo przestrzeni publicznej we Wrocławskim Obszarze Funkcjonalnym, w tym sprzyjająca aktywności fizycznej</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Zagospodarowanie terenu Wzgórza Polskiego -Bastion Ceglarski we Wrocławiu</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Zagospodarowanie parków w Malinie i Psarach, gmina Wisznia Mała</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Zagospodarowanie wnętrza podwórzowego w kwartale ulic: Trzebnicka, Kleczkowska, Lucjana Siemieńskiego oraz Ignacego Józefa Kraszewskiego we Wrocławiu</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Zagospodarowanie Parku w Kobierzycach</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Park Mieszczański  -  rekultywacja dawnych terenów powojskowych we Wrocławiu</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Ścieżki przyrodniczo-edukacyjne na terenie Gminy Oława (zaprojektowanie i wykonanie)</w:t>
            </w:r>
          </w:p>
          <w:p w:rsidR="001D587F" w:rsidRPr="0049310E" w:rsidRDefault="001D587F" w:rsidP="001D587F">
            <w:pPr>
              <w:pStyle w:val="Akapitzlist"/>
              <w:numPr>
                <w:ilvl w:val="0"/>
                <w:numId w:val="35"/>
              </w:numPr>
              <w:tabs>
                <w:tab w:val="left" w:pos="1872"/>
              </w:tabs>
              <w:spacing w:line="240" w:lineRule="auto"/>
              <w:jc w:val="left"/>
              <w:rPr>
                <w:rFonts w:cstheme="minorHAnsi"/>
                <w:sz w:val="24"/>
                <w:szCs w:val="24"/>
              </w:rPr>
            </w:pPr>
            <w:r w:rsidRPr="0049310E">
              <w:rPr>
                <w:rFonts w:cstheme="minorHAnsi"/>
                <w:sz w:val="24"/>
                <w:szCs w:val="24"/>
              </w:rPr>
              <w:t>Zagospodarowanie parku w Sobótce Górce</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cstheme="minorHAnsi"/>
                <w:sz w:val="24"/>
                <w:szCs w:val="24"/>
              </w:rPr>
            </w:pPr>
            <w:r w:rsidRPr="0049310E">
              <w:rPr>
                <w:rFonts w:eastAsia="Calibri" w:cstheme="minorHAnsi"/>
                <w:sz w:val="24"/>
                <w:szCs w:val="24"/>
              </w:rPr>
              <w:t>Wiązka projektów 11: Rozwój infrastruktury aktywizacji i integracji społecznej mający na celu poprawę kondycji psychofizycznej mieszkańców we Wrocławskim Obszarze Funkcjonalnym, ze szczególnym uwzględnieniem kultury</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7"/>
              </w:numPr>
              <w:tabs>
                <w:tab w:val="left" w:pos="1872"/>
              </w:tabs>
              <w:spacing w:line="240" w:lineRule="auto"/>
              <w:jc w:val="left"/>
              <w:rPr>
                <w:rFonts w:eastAsia="Calibri" w:cstheme="minorHAnsi"/>
                <w:bCs/>
                <w:sz w:val="24"/>
                <w:szCs w:val="24"/>
              </w:rPr>
            </w:pPr>
            <w:r w:rsidRPr="0049310E">
              <w:rPr>
                <w:rFonts w:eastAsia="Calibri" w:cstheme="minorHAnsi"/>
                <w:bCs/>
                <w:sz w:val="24"/>
                <w:szCs w:val="24"/>
              </w:rPr>
              <w:t>Budowa Budynku Świetlicy wiejskiej na terenie Gminy</w:t>
            </w:r>
          </w:p>
          <w:p w:rsidR="001D587F" w:rsidRPr="0049310E" w:rsidRDefault="001D587F" w:rsidP="001D587F">
            <w:pPr>
              <w:pStyle w:val="Akapitzlist"/>
              <w:numPr>
                <w:ilvl w:val="0"/>
                <w:numId w:val="37"/>
              </w:numPr>
              <w:tabs>
                <w:tab w:val="left" w:pos="1872"/>
              </w:tabs>
              <w:spacing w:line="240" w:lineRule="auto"/>
              <w:jc w:val="left"/>
              <w:rPr>
                <w:rFonts w:eastAsia="Calibri" w:cstheme="minorHAnsi"/>
                <w:bCs/>
                <w:sz w:val="24"/>
                <w:szCs w:val="24"/>
              </w:rPr>
            </w:pPr>
            <w:r w:rsidRPr="0049310E">
              <w:rPr>
                <w:rFonts w:eastAsia="Calibri" w:cstheme="minorHAnsi"/>
                <w:bCs/>
                <w:sz w:val="24"/>
                <w:szCs w:val="24"/>
              </w:rPr>
              <w:t>Stworzenie centrów integracyjno-edukacyjnych dla mieszkańców gminy Długołęka wraz z zagospodarowaniem terenów zielonych</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eastAsia="Calibri" w:cstheme="minorHAnsi"/>
                <w:sz w:val="24"/>
                <w:szCs w:val="24"/>
              </w:rPr>
            </w:pPr>
            <w:r w:rsidRPr="0049310E">
              <w:rPr>
                <w:rFonts w:eastAsia="Calibri" w:cstheme="minorHAnsi"/>
                <w:sz w:val="24"/>
                <w:szCs w:val="24"/>
              </w:rPr>
              <w:t>Wiązka projektów 12: Poprawa dostępności usług publicznych, w szczególności poprzez budowę lub rozbudowę infrastruktury społecznej i edukacyjnej</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8"/>
              </w:numPr>
              <w:tabs>
                <w:tab w:val="left" w:pos="1872"/>
              </w:tabs>
              <w:spacing w:line="240" w:lineRule="auto"/>
              <w:jc w:val="left"/>
              <w:rPr>
                <w:rFonts w:eastAsia="Calibri" w:cstheme="minorHAnsi"/>
                <w:bCs/>
                <w:sz w:val="24"/>
                <w:szCs w:val="24"/>
              </w:rPr>
            </w:pPr>
            <w:r w:rsidRPr="0049310E">
              <w:rPr>
                <w:rFonts w:eastAsia="Calibri" w:cstheme="minorHAnsi"/>
                <w:bCs/>
                <w:sz w:val="24"/>
                <w:szCs w:val="24"/>
              </w:rPr>
              <w:t>Rozbudowa obiektu świadczącego usługi publiczne – Szkoły Podstawowej w Żernikach Wrocławskich</w:t>
            </w:r>
          </w:p>
          <w:p w:rsidR="001D587F" w:rsidRPr="0049310E" w:rsidRDefault="001D587F" w:rsidP="001D587F">
            <w:pPr>
              <w:pStyle w:val="Akapitzlist"/>
              <w:numPr>
                <w:ilvl w:val="0"/>
                <w:numId w:val="38"/>
              </w:numPr>
              <w:tabs>
                <w:tab w:val="left" w:pos="1872"/>
              </w:tabs>
              <w:spacing w:line="240" w:lineRule="auto"/>
              <w:jc w:val="left"/>
              <w:rPr>
                <w:rFonts w:eastAsia="Calibri" w:cstheme="minorHAnsi"/>
                <w:bCs/>
                <w:sz w:val="24"/>
                <w:szCs w:val="24"/>
              </w:rPr>
            </w:pPr>
            <w:r w:rsidRPr="0049310E">
              <w:rPr>
                <w:rFonts w:eastAsia="Calibri" w:cstheme="minorHAnsi"/>
                <w:bCs/>
                <w:sz w:val="24"/>
                <w:szCs w:val="24"/>
              </w:rPr>
              <w:t>Poprawa dostępności do usług publicznych na terenach wiejskich Wrocławskiego Obszaru Funkcjonalnego – Gmina Czernica etap II</w:t>
            </w:r>
          </w:p>
        </w:tc>
      </w:tr>
      <w:tr w:rsidR="001D587F" w:rsidRPr="0049310E" w:rsidTr="001D587F">
        <w:trPr>
          <w:trHeight w:val="20"/>
          <w:jc w:val="center"/>
        </w:trPr>
        <w:tc>
          <w:tcPr>
            <w:tcW w:w="13992" w:type="dxa"/>
            <w:shd w:val="clear" w:color="auto" w:fill="F2F2F2" w:themeFill="background1" w:themeFillShade="F2"/>
            <w:vAlign w:val="center"/>
          </w:tcPr>
          <w:p w:rsidR="001D587F" w:rsidRPr="0049310E" w:rsidRDefault="001D587F" w:rsidP="001D587F">
            <w:pPr>
              <w:tabs>
                <w:tab w:val="left" w:pos="1872"/>
              </w:tabs>
              <w:spacing w:line="240" w:lineRule="auto"/>
              <w:jc w:val="left"/>
              <w:rPr>
                <w:rFonts w:eastAsia="Calibri" w:cstheme="minorHAnsi"/>
                <w:sz w:val="24"/>
                <w:szCs w:val="24"/>
              </w:rPr>
            </w:pPr>
            <w:r w:rsidRPr="0049310E">
              <w:rPr>
                <w:rFonts w:eastAsia="Calibri" w:cstheme="minorHAnsi"/>
                <w:sz w:val="24"/>
                <w:szCs w:val="24"/>
              </w:rPr>
              <w:t>Wiązka projektów 13: Przygotowanie i monitorowanie strategii ZIT, kreowanie polityki rozwoju obszaru</w:t>
            </w:r>
          </w:p>
        </w:tc>
      </w:tr>
      <w:tr w:rsidR="001D587F" w:rsidRPr="0049310E" w:rsidTr="001D587F">
        <w:trPr>
          <w:trHeight w:val="20"/>
          <w:jc w:val="center"/>
        </w:trPr>
        <w:tc>
          <w:tcPr>
            <w:tcW w:w="13992" w:type="dxa"/>
            <w:vAlign w:val="center"/>
          </w:tcPr>
          <w:p w:rsidR="001D587F" w:rsidRPr="0049310E" w:rsidRDefault="001D587F" w:rsidP="001D587F">
            <w:pPr>
              <w:pStyle w:val="Akapitzlist"/>
              <w:numPr>
                <w:ilvl w:val="0"/>
                <w:numId w:val="36"/>
              </w:numPr>
              <w:tabs>
                <w:tab w:val="left" w:pos="1872"/>
              </w:tabs>
              <w:spacing w:line="240" w:lineRule="auto"/>
              <w:jc w:val="left"/>
              <w:rPr>
                <w:rFonts w:eastAsia="Calibri" w:cstheme="minorHAnsi"/>
                <w:bCs/>
                <w:sz w:val="24"/>
                <w:szCs w:val="24"/>
              </w:rPr>
            </w:pPr>
            <w:r w:rsidRPr="0049310E">
              <w:rPr>
                <w:rFonts w:eastAsia="Calibri" w:cstheme="minorHAnsi"/>
                <w:bCs/>
                <w:sz w:val="24"/>
                <w:szCs w:val="24"/>
              </w:rPr>
              <w:t>Przygotowanie i monitorowanie strategii ZIT oraz działania na rzecz zwiększenia zdolności kreowania polityki rozwoju obszaru oraz koordynacyjnych Biura ZIT Wrocławskiego Obszaru Funkcjonalnego - Etap II</w:t>
            </w:r>
          </w:p>
        </w:tc>
      </w:tr>
    </w:tbl>
    <w:p w:rsidR="001D587F" w:rsidRDefault="001D587F" w:rsidP="007B6D6E"/>
    <w:p w:rsidR="001D587F" w:rsidRDefault="001D587F" w:rsidP="007B6D6E">
      <w:pPr>
        <w:sectPr w:rsidR="001D587F" w:rsidSect="005A11FB">
          <w:headerReference w:type="even" r:id="rId80"/>
          <w:headerReference w:type="default" r:id="rId81"/>
          <w:pgSz w:w="16838" w:h="11906" w:orient="landscape" w:code="9"/>
          <w:pgMar w:top="1418" w:right="1418" w:bottom="1418" w:left="1418" w:header="709" w:footer="709" w:gutter="0"/>
          <w:cols w:space="708"/>
          <w:docGrid w:linePitch="360"/>
        </w:sectPr>
      </w:pPr>
    </w:p>
    <w:tbl>
      <w:tblPr>
        <w:tblW w:w="5000" w:type="pct"/>
        <w:tblInd w:w="49"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49310E" w:rsidRPr="00A813D5" w:rsidTr="001D587F">
        <w:trPr>
          <w:trHeight w:val="600"/>
          <w:tblHeader/>
        </w:trPr>
        <w:tc>
          <w:tcPr>
            <w:tcW w:w="20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9310E" w:rsidRPr="00A813D5" w:rsidRDefault="0049310E" w:rsidP="00A813D5">
            <w:pPr>
              <w:spacing w:after="0" w:line="240" w:lineRule="auto"/>
              <w:jc w:val="left"/>
              <w:rPr>
                <w:rFonts w:ascii="Calibri" w:hAnsi="Calibri" w:cs="Arial"/>
                <w:b/>
                <w:bCs/>
                <w:color w:val="000000"/>
                <w:szCs w:val="20"/>
              </w:rPr>
            </w:pPr>
            <w:r w:rsidRPr="00A813D5">
              <w:rPr>
                <w:rFonts w:ascii="Calibri" w:hAnsi="Calibri" w:cs="Arial"/>
                <w:b/>
                <w:bCs/>
                <w:color w:val="000000"/>
                <w:szCs w:val="20"/>
              </w:rPr>
              <w:t>Cel szczegółowy: 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r>
    </w:tbl>
    <w:p w:rsidR="0049310E" w:rsidRPr="001D587F" w:rsidRDefault="0049310E" w:rsidP="00E60C99">
      <w:pPr>
        <w:rPr>
          <w:sz w:val="2"/>
          <w:szCs w:val="2"/>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49310E" w:rsidRPr="00A813D5" w:rsidTr="001D587F">
        <w:trPr>
          <w:trHeight w:val="600"/>
          <w:tblHeader/>
        </w:trPr>
        <w:tc>
          <w:tcPr>
            <w:tcW w:w="469"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5"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0"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0"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8"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7"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6" w:type="dxa"/>
            <w:shd w:val="clear" w:color="auto" w:fill="F2F2F2" w:themeFill="background1" w:themeFillShade="F2"/>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49310E" w:rsidRPr="00A813D5" w:rsidTr="001D587F">
        <w:trPr>
          <w:trHeight w:val="600"/>
        </w:trPr>
        <w:tc>
          <w:tcPr>
            <w:tcW w:w="469" w:type="dxa"/>
            <w:shd w:val="clear" w:color="auto" w:fill="auto"/>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 </w:t>
            </w:r>
          </w:p>
        </w:tc>
        <w:tc>
          <w:tcPr>
            <w:tcW w:w="1891"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 xml:space="preserve">FEDS.07 Fundusze Europejskie na rzecz rynku pracy </w:t>
            </w:r>
            <w:r w:rsidRPr="00A813D5">
              <w:rPr>
                <w:rFonts w:ascii="Calibri" w:hAnsi="Calibri" w:cs="Arial"/>
                <w:color w:val="000000"/>
              </w:rPr>
              <w:br/>
              <w:t>i włączenia społecznego na Dolnym Śląsku / FEDS.07.10 Rozwój usług społecznych i zdrowotnych - ZIT</w:t>
            </w:r>
          </w:p>
        </w:tc>
        <w:tc>
          <w:tcPr>
            <w:tcW w:w="2795"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Rozwój usług społecznych na terenie ZIT WrOF w Powiecie Wrocławskim</w:t>
            </w:r>
          </w:p>
        </w:tc>
        <w:tc>
          <w:tcPr>
            <w:tcW w:w="193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Powiat Wrocławski</w:t>
            </w:r>
          </w:p>
        </w:tc>
        <w:tc>
          <w:tcPr>
            <w:tcW w:w="355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 xml:space="preserve">Zapewnienie usług asystencji osobistej jako wsparcia w wykonywaniu codziennych czynności oraz w funkcjonowaniu w życiu społecznym na rzecz osób z umiarkowanym lub znacznym stopniem niepełnosprawności, w tym osób </w:t>
            </w:r>
            <w:r w:rsidRPr="00A813D5">
              <w:rPr>
                <w:rFonts w:ascii="Calibri" w:hAnsi="Calibri" w:cs="Arial"/>
                <w:color w:val="000000"/>
              </w:rPr>
              <w:br/>
              <w:t xml:space="preserve">z trudnościami związanymi z mobilnością. Utworzenie nowej stacjonarnej formy całodobowej opieki </w:t>
            </w:r>
            <w:proofErr w:type="spellStart"/>
            <w:r w:rsidRPr="00A813D5">
              <w:rPr>
                <w:rFonts w:ascii="Calibri" w:hAnsi="Calibri" w:cs="Arial"/>
                <w:color w:val="000000"/>
              </w:rPr>
              <w:t>wytchnieniowej</w:t>
            </w:r>
            <w:proofErr w:type="spellEnd"/>
            <w:r w:rsidRPr="00A813D5">
              <w:rPr>
                <w:rFonts w:ascii="Calibri" w:hAnsi="Calibri" w:cs="Arial"/>
                <w:color w:val="000000"/>
              </w:rPr>
              <w:t xml:space="preserve"> w jednej z gmin powiatu wrocławskiego</w:t>
            </w:r>
            <w:r w:rsidRPr="00A813D5">
              <w:rPr>
                <w:rFonts w:ascii="Calibri" w:hAnsi="Calibri" w:cs="Arial"/>
                <w:b/>
                <w:bCs/>
                <w:i/>
                <w:iCs/>
                <w:color w:val="000000"/>
              </w:rPr>
              <w:t>.</w:t>
            </w:r>
          </w:p>
        </w:tc>
        <w:tc>
          <w:tcPr>
            <w:tcW w:w="1768"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2 326 370,00</w:t>
            </w:r>
          </w:p>
        </w:tc>
        <w:tc>
          <w:tcPr>
            <w:tcW w:w="1767"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1 628 459,00</w:t>
            </w:r>
          </w:p>
        </w:tc>
        <w:tc>
          <w:tcPr>
            <w:tcW w:w="1516"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III kw. 2023</w:t>
            </w:r>
          </w:p>
        </w:tc>
        <w:tc>
          <w:tcPr>
            <w:tcW w:w="171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I kw. 2026</w:t>
            </w:r>
          </w:p>
        </w:tc>
        <w:tc>
          <w:tcPr>
            <w:tcW w:w="3566"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Wiązka projektów 1: Rozwój usług społecznych na terenie Wrocławskiego Obszaru Funkcjonalnego</w:t>
            </w:r>
          </w:p>
        </w:tc>
      </w:tr>
      <w:tr w:rsidR="00A813D5" w:rsidRPr="00A813D5" w:rsidTr="001D587F">
        <w:trPr>
          <w:trHeight w:val="600"/>
        </w:trPr>
        <w:tc>
          <w:tcPr>
            <w:tcW w:w="469" w:type="dxa"/>
            <w:shd w:val="clear" w:color="auto" w:fill="auto"/>
          </w:tcPr>
          <w:p w:rsidR="00A813D5" w:rsidRPr="00A813D5" w:rsidRDefault="00A813D5" w:rsidP="00A813D5">
            <w:pPr>
              <w:spacing w:after="0" w:line="240" w:lineRule="auto"/>
              <w:jc w:val="left"/>
              <w:rPr>
                <w:rFonts w:ascii="Calibri" w:hAnsi="Calibri" w:cs="Arial"/>
                <w:color w:val="000000"/>
              </w:rPr>
            </w:pPr>
          </w:p>
        </w:tc>
        <w:tc>
          <w:tcPr>
            <w:tcW w:w="1891"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2795"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930"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50"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b/>
                <w:bCs/>
                <w:color w:val="000000"/>
              </w:rPr>
              <w:t>SUMA PROJEKTÓW W CELU SZCZEGÓŁOWYM ESO4.11:</w:t>
            </w:r>
          </w:p>
        </w:tc>
        <w:tc>
          <w:tcPr>
            <w:tcW w:w="1768" w:type="dxa"/>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2 326 370,00</w:t>
            </w:r>
          </w:p>
        </w:tc>
        <w:tc>
          <w:tcPr>
            <w:tcW w:w="1767" w:type="dxa"/>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1 628 459,00</w:t>
            </w:r>
          </w:p>
        </w:tc>
        <w:tc>
          <w:tcPr>
            <w:tcW w:w="1516"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710"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66"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r>
    </w:tbl>
    <w:p w:rsidR="00A813D5" w:rsidRDefault="00A813D5"/>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49310E" w:rsidRPr="00A813D5" w:rsidTr="001D587F">
        <w:trPr>
          <w:trHeight w:val="600"/>
          <w:tblHeader/>
        </w:trPr>
        <w:tc>
          <w:tcPr>
            <w:tcW w:w="20962" w:type="dxa"/>
            <w:shd w:val="clear" w:color="auto" w:fill="D9D9D9" w:themeFill="background1" w:themeFillShade="D9"/>
            <w:vAlign w:val="center"/>
            <w:hideMark/>
          </w:tcPr>
          <w:p w:rsidR="0049310E" w:rsidRPr="00A813D5" w:rsidRDefault="0049310E" w:rsidP="00A813D5">
            <w:pPr>
              <w:spacing w:after="0" w:line="240" w:lineRule="auto"/>
              <w:jc w:val="left"/>
              <w:rPr>
                <w:rFonts w:ascii="Calibri" w:hAnsi="Calibri" w:cs="Arial"/>
                <w:b/>
                <w:bCs/>
                <w:color w:val="000000"/>
              </w:rPr>
            </w:pPr>
            <w:r w:rsidRPr="00A813D5">
              <w:rPr>
                <w:rFonts w:ascii="Calibri" w:hAnsi="Calibri" w:cs="Arial"/>
                <w:b/>
                <w:bCs/>
                <w:color w:val="000000"/>
              </w:rPr>
              <w:t>Cel szczegółowy: RSO2.1. Wspieranie efektywności energetycznej i redukcji emisji gazów cieplarnianych</w:t>
            </w:r>
          </w:p>
        </w:tc>
      </w:tr>
    </w:tbl>
    <w:p w:rsidR="00A813D5" w:rsidRPr="00A813D5" w:rsidRDefault="00A813D5">
      <w:pPr>
        <w:rPr>
          <w:sz w:val="6"/>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A813D5" w:rsidRPr="00A813D5" w:rsidTr="001D587F">
        <w:trPr>
          <w:trHeight w:val="600"/>
          <w:tblHeader/>
        </w:trPr>
        <w:tc>
          <w:tcPr>
            <w:tcW w:w="469"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5"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8"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7"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6"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49310E" w:rsidRPr="00A813D5" w:rsidTr="001D587F">
        <w:trPr>
          <w:trHeight w:val="600"/>
        </w:trPr>
        <w:tc>
          <w:tcPr>
            <w:tcW w:w="469"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1</w:t>
            </w:r>
          </w:p>
        </w:tc>
        <w:tc>
          <w:tcPr>
            <w:tcW w:w="1891"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FEDS.02.08 Efektywność energetyczna w budynkach publicznych - ZIT</w:t>
            </w:r>
          </w:p>
        </w:tc>
        <w:tc>
          <w:tcPr>
            <w:tcW w:w="2795"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 xml:space="preserve">Ograniczenie niskiej emisji </w:t>
            </w:r>
            <w:r w:rsidRPr="00A813D5">
              <w:rPr>
                <w:rFonts w:ascii="Calibri" w:hAnsi="Calibri" w:cs="Arial"/>
                <w:color w:val="000000"/>
              </w:rPr>
              <w:br/>
              <w:t xml:space="preserve">w zabytkowym budynku użyteczności publicznej </w:t>
            </w:r>
            <w:r w:rsidRPr="00A813D5">
              <w:rPr>
                <w:rFonts w:ascii="Calibri" w:hAnsi="Calibri" w:cs="Arial"/>
                <w:color w:val="000000"/>
              </w:rPr>
              <w:br/>
              <w:t>w Gminie Trzebnica</w:t>
            </w:r>
          </w:p>
        </w:tc>
        <w:tc>
          <w:tcPr>
            <w:tcW w:w="193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Gmina Trzebnica</w:t>
            </w:r>
          </w:p>
        </w:tc>
        <w:tc>
          <w:tcPr>
            <w:tcW w:w="355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Celem projektu jest ograniczenie niskiej emisji w zabytkowym budynku użyteczności publicznej poprzez wykonanie pogłębionej termomodernizacji.</w:t>
            </w:r>
          </w:p>
        </w:tc>
        <w:tc>
          <w:tcPr>
            <w:tcW w:w="1768"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3 915 546,07</w:t>
            </w:r>
          </w:p>
        </w:tc>
        <w:tc>
          <w:tcPr>
            <w:tcW w:w="1767"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III kw. 2025</w:t>
            </w:r>
          </w:p>
        </w:tc>
        <w:tc>
          <w:tcPr>
            <w:tcW w:w="1710"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3566" w:type="dxa"/>
            <w:shd w:val="clear" w:color="auto" w:fill="auto"/>
            <w:vAlign w:val="center"/>
            <w:hideMark/>
          </w:tcPr>
          <w:p w:rsidR="0049310E" w:rsidRPr="00A813D5" w:rsidRDefault="0049310E" w:rsidP="00A813D5">
            <w:pPr>
              <w:spacing w:after="0" w:line="240" w:lineRule="auto"/>
              <w:jc w:val="left"/>
              <w:rPr>
                <w:rFonts w:ascii="Calibri" w:hAnsi="Calibri" w:cs="Arial"/>
                <w:color w:val="000000"/>
              </w:rPr>
            </w:pPr>
            <w:r w:rsidRPr="00A813D5">
              <w:rPr>
                <w:rFonts w:ascii="Calibri" w:hAnsi="Calibri" w:cs="Arial"/>
                <w:color w:val="000000"/>
              </w:rPr>
              <w:t>Wiązka projektów 3: Termomodernizacja budynków użyteczności publicznej we Wrocławskim Obszarze Funkcjonalnym</w:t>
            </w:r>
          </w:p>
        </w:tc>
      </w:tr>
      <w:tr w:rsidR="00A813D5" w:rsidRPr="00A813D5" w:rsidTr="001D587F">
        <w:trPr>
          <w:trHeight w:val="600"/>
        </w:trPr>
        <w:tc>
          <w:tcPr>
            <w:tcW w:w="469"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891"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2795"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930"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50" w:type="dxa"/>
            <w:shd w:val="clear" w:color="auto" w:fill="auto"/>
            <w:vAlign w:val="center"/>
          </w:tcPr>
          <w:p w:rsidR="00A813D5" w:rsidRPr="00A813D5" w:rsidRDefault="00A813D5" w:rsidP="00A813D5">
            <w:pPr>
              <w:spacing w:after="0" w:line="240" w:lineRule="auto"/>
              <w:jc w:val="left"/>
              <w:rPr>
                <w:rFonts w:ascii="Calibri" w:hAnsi="Calibri" w:cs="Arial"/>
                <w:b/>
                <w:color w:val="000000"/>
              </w:rPr>
            </w:pPr>
            <w:r w:rsidRPr="00A813D5">
              <w:rPr>
                <w:rFonts w:ascii="Calibri" w:hAnsi="Calibri" w:cs="Arial"/>
                <w:b/>
                <w:color w:val="000000"/>
              </w:rPr>
              <w:t>SUMA PROJEKTÓW W CELU SZCZEGÓŁOWYM RSO2.1:</w:t>
            </w:r>
          </w:p>
        </w:tc>
        <w:tc>
          <w:tcPr>
            <w:tcW w:w="1768" w:type="dxa"/>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3 915 546,07</w:t>
            </w:r>
          </w:p>
        </w:tc>
        <w:tc>
          <w:tcPr>
            <w:tcW w:w="1767" w:type="dxa"/>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2 740 882,25</w:t>
            </w:r>
          </w:p>
        </w:tc>
        <w:tc>
          <w:tcPr>
            <w:tcW w:w="1516"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710"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66" w:type="dxa"/>
            <w:shd w:val="clear" w:color="auto" w:fill="auto"/>
            <w:vAlign w:val="center"/>
          </w:tcPr>
          <w:p w:rsidR="00A813D5" w:rsidRPr="00A813D5" w:rsidRDefault="00A813D5" w:rsidP="00A813D5">
            <w:pPr>
              <w:spacing w:after="0" w:line="240" w:lineRule="auto"/>
              <w:jc w:val="left"/>
              <w:rPr>
                <w:rFonts w:ascii="Calibri" w:hAnsi="Calibri" w:cs="Arial"/>
                <w:color w:val="000000"/>
              </w:rPr>
            </w:pPr>
          </w:p>
        </w:tc>
      </w:tr>
    </w:tbl>
    <w:p w:rsidR="00A813D5" w:rsidRDefault="00A813D5">
      <w:r>
        <w:br w:type="page"/>
      </w: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A813D5" w:rsidRPr="00A813D5" w:rsidTr="001D587F">
        <w:trPr>
          <w:trHeight w:val="600"/>
          <w:tblHeader/>
        </w:trPr>
        <w:tc>
          <w:tcPr>
            <w:tcW w:w="20962" w:type="dxa"/>
            <w:shd w:val="clear" w:color="auto" w:fill="D9D9D9" w:themeFill="background1" w:themeFillShade="D9"/>
            <w:vAlign w:val="center"/>
            <w:hideMark/>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Cel szczegółowy: RSO2.5. Wspieranie dostępu do wody oraz zrównoważonej gospodarki wodnej</w:t>
            </w:r>
          </w:p>
        </w:tc>
      </w:tr>
    </w:tbl>
    <w:p w:rsidR="00A813D5" w:rsidRPr="00A813D5" w:rsidRDefault="00A813D5">
      <w:pPr>
        <w:rPr>
          <w:sz w:val="2"/>
          <w:szCs w:val="2"/>
        </w:rPr>
      </w:pPr>
    </w:p>
    <w:tbl>
      <w:tblPr>
        <w:tblW w:w="5000" w:type="pct"/>
        <w:tblInd w:w="49"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A813D5" w:rsidRPr="00A813D5" w:rsidTr="001D587F">
        <w:trPr>
          <w:trHeight w:val="600"/>
          <w:tblHeader/>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A813D5" w:rsidRPr="00A813D5" w:rsidTr="001D587F">
        <w:trPr>
          <w:trHeight w:val="600"/>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1</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Przebudowa oczyszczalni ścieków w Sobótce</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Gmina Sobótka</w:t>
            </w:r>
          </w:p>
        </w:tc>
        <w:tc>
          <w:tcPr>
            <w:tcW w:w="3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Celami projektu są: poprawa wyposażenia w niezbędną infrastrukturę do oczyszczania ścieków, zwiększenie efektywności procesu oczyszczania ścieków pod kątem podwyższonego usuwania substancji biogennych.</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10 086 000,00</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5 740 000,00</w:t>
            </w:r>
          </w:p>
        </w:tc>
        <w:tc>
          <w:tcPr>
            <w:tcW w:w="1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IV kw. 2025</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Wiązka projektów 4: Poprawa sytuacji gospodarki wodno-ściekowej w aglomeracjach od 10 tys. do 15 tys. RLM znajdujących się we Wrocławskim Obszarze Funkcjonalnym</w:t>
            </w:r>
          </w:p>
        </w:tc>
      </w:tr>
      <w:tr w:rsidR="00A813D5" w:rsidRPr="00A813D5" w:rsidTr="001D587F">
        <w:trPr>
          <w:trHeight w:val="600"/>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27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b/>
                <w:bCs/>
                <w:color w:val="000000"/>
              </w:rPr>
              <w:t>SUMA</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10 086 000,00</w:t>
            </w:r>
          </w:p>
        </w:tc>
        <w:tc>
          <w:tcPr>
            <w:tcW w:w="17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b/>
                <w:bCs/>
                <w:color w:val="000000"/>
              </w:rPr>
            </w:pPr>
            <w:r w:rsidRPr="00A813D5">
              <w:rPr>
                <w:rFonts w:ascii="Calibri" w:hAnsi="Calibri" w:cs="Arial"/>
                <w:b/>
                <w:bCs/>
                <w:color w:val="000000"/>
              </w:rPr>
              <w:t>5 740 000,00</w:t>
            </w:r>
          </w:p>
        </w:tc>
        <w:tc>
          <w:tcPr>
            <w:tcW w:w="1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A813D5" w:rsidRPr="00A813D5" w:rsidRDefault="00A813D5" w:rsidP="00A813D5">
            <w:pPr>
              <w:spacing w:after="0" w:line="240" w:lineRule="auto"/>
              <w:jc w:val="left"/>
              <w:rPr>
                <w:rFonts w:ascii="Calibri" w:hAnsi="Calibri" w:cs="Arial"/>
                <w:color w:val="000000"/>
              </w:rPr>
            </w:pPr>
          </w:p>
        </w:tc>
      </w:tr>
    </w:tbl>
    <w:p w:rsidR="00A813D5" w:rsidRPr="004954E3" w:rsidRDefault="00A813D5">
      <w:pPr>
        <w:rPr>
          <w:sz w:val="12"/>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A813D5" w:rsidRPr="00A813D5" w:rsidTr="001D587F">
        <w:trPr>
          <w:trHeight w:val="600"/>
          <w:tblHeader/>
        </w:trPr>
        <w:tc>
          <w:tcPr>
            <w:tcW w:w="469"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5"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8"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7"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6" w:type="dxa"/>
            <w:shd w:val="clear" w:color="auto" w:fill="F2F2F2" w:themeFill="background1" w:themeFillShade="F2"/>
            <w:vAlign w:val="center"/>
            <w:hideMark/>
          </w:tcPr>
          <w:p w:rsidR="00A813D5" w:rsidRPr="00A813D5" w:rsidRDefault="00A813D5"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A813D5" w:rsidRPr="00A813D5" w:rsidTr="001D587F">
        <w:trPr>
          <w:trHeight w:val="600"/>
        </w:trPr>
        <w:tc>
          <w:tcPr>
            <w:tcW w:w="469"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1</w:t>
            </w:r>
          </w:p>
        </w:tc>
        <w:tc>
          <w:tcPr>
            <w:tcW w:w="1891"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 na Dolnym Śląsku / FEDS.02.06 Gospodarka ściekowa - ZIT</w:t>
            </w:r>
          </w:p>
        </w:tc>
        <w:tc>
          <w:tcPr>
            <w:tcW w:w="2795"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Budowa nowego SUW w Kolonii Strzelce oraz rozbudowa sieci wodociągowej</w:t>
            </w:r>
          </w:p>
        </w:tc>
        <w:tc>
          <w:tcPr>
            <w:tcW w:w="1930"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Gmina Dobroszyce</w:t>
            </w:r>
          </w:p>
        </w:tc>
        <w:tc>
          <w:tcPr>
            <w:tcW w:w="3550"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 xml:space="preserve">Celem projektu jest lepsza jakość usług publicznych poprzez zwiększenie możliwości korzystania </w:t>
            </w:r>
            <w:r w:rsidRPr="00A813D5">
              <w:rPr>
                <w:rFonts w:ascii="Calibri" w:hAnsi="Calibri" w:cs="Arial"/>
                <w:color w:val="000000"/>
              </w:rPr>
              <w:br/>
              <w:t xml:space="preserve">ze zbiorczej komunalnej sieci wodociągowej. </w:t>
            </w:r>
          </w:p>
        </w:tc>
        <w:tc>
          <w:tcPr>
            <w:tcW w:w="1768"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5 169 564,35</w:t>
            </w:r>
          </w:p>
        </w:tc>
        <w:tc>
          <w:tcPr>
            <w:tcW w:w="1767"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II kw. 2025</w:t>
            </w:r>
          </w:p>
        </w:tc>
        <w:tc>
          <w:tcPr>
            <w:tcW w:w="1710"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IV kw. 2027</w:t>
            </w:r>
          </w:p>
        </w:tc>
        <w:tc>
          <w:tcPr>
            <w:tcW w:w="3566" w:type="dxa"/>
            <w:shd w:val="clear" w:color="auto" w:fill="auto"/>
            <w:vAlign w:val="center"/>
            <w:hideMark/>
          </w:tcPr>
          <w:p w:rsidR="00A813D5" w:rsidRPr="00A813D5" w:rsidRDefault="00A813D5" w:rsidP="00A813D5">
            <w:pPr>
              <w:spacing w:after="0" w:line="240" w:lineRule="auto"/>
              <w:jc w:val="left"/>
              <w:rPr>
                <w:rFonts w:ascii="Calibri" w:hAnsi="Calibri" w:cs="Arial"/>
                <w:color w:val="000000"/>
              </w:rPr>
            </w:pPr>
            <w:r w:rsidRPr="00A813D5">
              <w:rPr>
                <w:rFonts w:ascii="Calibri" w:hAnsi="Calibri" w:cs="Arial"/>
                <w:color w:val="000000"/>
              </w:rPr>
              <w:t>Wiązka projektów 5: Poprawa sytuacji gospodarki wodno-ściekowej w aglomeracjach od 2 do poniżej 10 tys. RLM znajdujących się we Wrocławskim Obszarze Funkcjonalnym</w:t>
            </w:r>
          </w:p>
        </w:tc>
      </w:tr>
      <w:tr w:rsidR="004954E3" w:rsidRPr="00A813D5" w:rsidTr="001D587F">
        <w:trPr>
          <w:trHeight w:val="600"/>
        </w:trPr>
        <w:tc>
          <w:tcPr>
            <w:tcW w:w="469"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891"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2795"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930"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3550"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SUMA</w:t>
            </w:r>
          </w:p>
        </w:tc>
        <w:tc>
          <w:tcPr>
            <w:tcW w:w="1768"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5 169 564,35</w:t>
            </w:r>
          </w:p>
        </w:tc>
        <w:tc>
          <w:tcPr>
            <w:tcW w:w="1767"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2 740 882,25</w:t>
            </w:r>
          </w:p>
        </w:tc>
        <w:tc>
          <w:tcPr>
            <w:tcW w:w="1516"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710"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3566"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r>
      <w:tr w:rsidR="004954E3" w:rsidRPr="00A813D5" w:rsidTr="001D587F">
        <w:trPr>
          <w:trHeight w:val="600"/>
        </w:trPr>
        <w:tc>
          <w:tcPr>
            <w:tcW w:w="469"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1891"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2795"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1930"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3550"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SUMA PROJEKTÓW W CELU SZCZEGÓŁOWYM RSO2.5:</w:t>
            </w:r>
          </w:p>
        </w:tc>
        <w:tc>
          <w:tcPr>
            <w:tcW w:w="1768"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15 255 564,35</w:t>
            </w:r>
          </w:p>
        </w:tc>
        <w:tc>
          <w:tcPr>
            <w:tcW w:w="1767"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8 480 882,25</w:t>
            </w:r>
          </w:p>
        </w:tc>
        <w:tc>
          <w:tcPr>
            <w:tcW w:w="1516"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1710"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c>
          <w:tcPr>
            <w:tcW w:w="3566" w:type="dxa"/>
            <w:shd w:val="clear" w:color="auto" w:fill="D9D9D9" w:themeFill="background1" w:themeFillShade="D9"/>
            <w:vAlign w:val="center"/>
          </w:tcPr>
          <w:p w:rsidR="004954E3" w:rsidRPr="00A813D5" w:rsidRDefault="004954E3" w:rsidP="004954E3">
            <w:pPr>
              <w:spacing w:after="0" w:line="240" w:lineRule="auto"/>
              <w:jc w:val="left"/>
              <w:rPr>
                <w:rFonts w:ascii="Calibri" w:hAnsi="Calibri" w:cs="Arial"/>
                <w:color w:val="000000"/>
              </w:rPr>
            </w:pPr>
          </w:p>
        </w:tc>
      </w:tr>
    </w:tbl>
    <w:p w:rsidR="004954E3" w:rsidRDefault="004954E3"/>
    <w:tbl>
      <w:tblPr>
        <w:tblW w:w="5000" w:type="pct"/>
        <w:tblInd w:w="49"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4954E3" w:rsidRPr="00A813D5" w:rsidTr="001D587F">
        <w:trPr>
          <w:trHeight w:val="600"/>
          <w:tblHeader/>
        </w:trPr>
        <w:tc>
          <w:tcPr>
            <w:tcW w:w="20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Cel szczegółowy: RSO2.7. Wzmacnianie ochrony i zachowania przyrody, różnorodności biologicznej oraz zielonej infrastruktury, w tym na obszarach miejskich, oraz ograniczanie wszelkich rodzajów zanieczyszczenia</w:t>
            </w:r>
          </w:p>
        </w:tc>
      </w:tr>
    </w:tbl>
    <w:p w:rsidR="001D587F" w:rsidRPr="001D587F" w:rsidRDefault="001D587F">
      <w:pPr>
        <w:rPr>
          <w:sz w:val="2"/>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4954E3" w:rsidRPr="00A813D5" w:rsidTr="001D587F">
        <w:trPr>
          <w:trHeight w:val="600"/>
          <w:tblHeader/>
        </w:trPr>
        <w:tc>
          <w:tcPr>
            <w:tcW w:w="469"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5"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0"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0"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8"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7"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6" w:type="dxa"/>
            <w:shd w:val="clear" w:color="auto" w:fill="F2F2F2" w:themeFill="background1" w:themeFillShade="F2"/>
            <w:vAlign w:val="center"/>
            <w:hideMark/>
          </w:tcPr>
          <w:p w:rsidR="004954E3" w:rsidRPr="00A813D5" w:rsidRDefault="004954E3"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w:t>
            </w:r>
          </w:p>
        </w:tc>
        <w:tc>
          <w:tcPr>
            <w:tcW w:w="1891" w:type="dxa"/>
            <w:shd w:val="clear" w:color="auto" w:fill="auto"/>
            <w:vAlign w:val="center"/>
            <w:hideMark/>
          </w:tcPr>
          <w:p w:rsidR="00A1431D" w:rsidRDefault="004954E3" w:rsidP="00A1431D">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w:t>
            </w:r>
          </w:p>
          <w:p w:rsidR="004954E3" w:rsidRPr="00A813D5" w:rsidRDefault="004954E3" w:rsidP="00A1431D">
            <w:pPr>
              <w:spacing w:after="0" w:line="240" w:lineRule="auto"/>
              <w:jc w:val="left"/>
              <w:rPr>
                <w:rFonts w:ascii="Calibri" w:hAnsi="Calibri" w:cs="Arial"/>
                <w:color w:val="000000"/>
              </w:rPr>
            </w:pPr>
            <w:r w:rsidRPr="00A813D5">
              <w:rPr>
                <w:rFonts w:ascii="Calibri" w:hAnsi="Calibri" w:cs="Arial"/>
                <w:color w:val="000000"/>
              </w:rPr>
              <w:t>na Dolnym Śląsku / FEDS.02.10 Ochrona przyrody i klimatu - ZIT</w:t>
            </w:r>
          </w:p>
        </w:tc>
        <w:tc>
          <w:tcPr>
            <w:tcW w:w="2795"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Przebudowa stawów w Gminie Żórawina</w:t>
            </w:r>
          </w:p>
        </w:tc>
        <w:tc>
          <w:tcPr>
            <w:tcW w:w="193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Żórawina</w:t>
            </w:r>
          </w:p>
        </w:tc>
        <w:tc>
          <w:tcPr>
            <w:tcW w:w="355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Celem projektu jest poprawa bilansu wód powierzchniowych (w szczególności poprawa ekosystemu dorzecza rzeki Ślęza),   przywrócenie/polepszenie właściwych warunków hydrologicznych siedlisk przyrodniczych.</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3 915 546,07</w:t>
            </w:r>
          </w:p>
        </w:tc>
        <w:tc>
          <w:tcPr>
            <w:tcW w:w="17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III kw. 2026</w:t>
            </w:r>
          </w:p>
        </w:tc>
        <w:tc>
          <w:tcPr>
            <w:tcW w:w="356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6: Rozwój terenów zielonych i adaptacja do zmian klimatu </w:t>
            </w:r>
            <w:r w:rsidRPr="00A813D5">
              <w:rPr>
                <w:rFonts w:ascii="Calibri" w:hAnsi="Calibri" w:cs="Arial"/>
                <w:color w:val="000000"/>
              </w:rPr>
              <w:br/>
              <w:t>we Wrocławskim Obszarze Funkcjonalnym</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w:t>
            </w:r>
          </w:p>
        </w:tc>
        <w:tc>
          <w:tcPr>
            <w:tcW w:w="1891" w:type="dxa"/>
            <w:shd w:val="clear" w:color="auto" w:fill="auto"/>
            <w:vAlign w:val="center"/>
            <w:hideMark/>
          </w:tcPr>
          <w:p w:rsidR="00A1431D" w:rsidRDefault="004954E3" w:rsidP="00A1431D">
            <w:pPr>
              <w:spacing w:after="0" w:line="240" w:lineRule="auto"/>
              <w:jc w:val="left"/>
              <w:rPr>
                <w:rFonts w:ascii="Calibri" w:hAnsi="Calibri" w:cs="Arial"/>
                <w:color w:val="000000"/>
              </w:rPr>
            </w:pPr>
            <w:r w:rsidRPr="00A813D5">
              <w:rPr>
                <w:rFonts w:ascii="Calibri" w:hAnsi="Calibri" w:cs="Arial"/>
                <w:color w:val="000000"/>
              </w:rPr>
              <w:t>FEDS.02 Fundusze Europejskie na rzecz środowiska</w:t>
            </w:r>
          </w:p>
          <w:p w:rsidR="004954E3" w:rsidRPr="00A813D5" w:rsidRDefault="004954E3" w:rsidP="00A1431D">
            <w:pPr>
              <w:spacing w:after="0" w:line="240" w:lineRule="auto"/>
              <w:jc w:val="left"/>
              <w:rPr>
                <w:rFonts w:ascii="Calibri" w:hAnsi="Calibri" w:cs="Arial"/>
                <w:color w:val="000000"/>
              </w:rPr>
            </w:pPr>
            <w:r w:rsidRPr="00A813D5">
              <w:rPr>
                <w:rFonts w:ascii="Calibri" w:hAnsi="Calibri" w:cs="Arial"/>
                <w:color w:val="000000"/>
              </w:rPr>
              <w:t>na Dolnym Śląsku / FEDS.02.10 Ochrona przyrody i klimatu - ZIT</w:t>
            </w:r>
          </w:p>
        </w:tc>
        <w:tc>
          <w:tcPr>
            <w:tcW w:w="2795"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Park przy ul. Chałupniczej "Smocze uroczysko" we Wrocławiu</w:t>
            </w:r>
          </w:p>
        </w:tc>
        <w:tc>
          <w:tcPr>
            <w:tcW w:w="193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t xml:space="preserve"> </w:t>
            </w:r>
            <w:r w:rsidRPr="00A813D5">
              <w:rPr>
                <w:rFonts w:ascii="Calibri" w:hAnsi="Calibri" w:cs="Arial"/>
                <w:color w:val="000000"/>
              </w:rPr>
              <w:t xml:space="preserve">Celem realizacji projektu jest ochrona terenu cennego przyrodniczo </w:t>
            </w:r>
            <w:r w:rsidRPr="00A813D5">
              <w:rPr>
                <w:rFonts w:ascii="Calibri" w:hAnsi="Calibri" w:cs="Arial"/>
                <w:color w:val="000000"/>
              </w:rPr>
              <w:br/>
              <w:t xml:space="preserve">a jednocześnie stworzenie przyjaznej mieszkańcom przestrzeni, </w:t>
            </w:r>
            <w:r w:rsidRPr="00A813D5">
              <w:rPr>
                <w:rFonts w:ascii="Calibri" w:hAnsi="Calibri" w:cs="Arial"/>
                <w:color w:val="000000"/>
              </w:rPr>
              <w:br/>
              <w:t xml:space="preserve">z uwzględnieniem i pielęgnacją walorów przyrodniczych i krajobrazowych. Jednocześnie zagospodarowanie opuszczonego terenu przyczyni się </w:t>
            </w:r>
            <w:r w:rsidRPr="00A813D5">
              <w:rPr>
                <w:rFonts w:ascii="Calibri" w:hAnsi="Calibri" w:cs="Arial"/>
                <w:color w:val="000000"/>
              </w:rPr>
              <w:br/>
              <w:t>do poprawy bezpieczeństwa okolicy. Zachowanie naturalnego charakteru Parku pozwoli na zachowanie miejsc cennych przyrodniczo, siedlisk ptaków oraz zamieszkujących tam zwierząt.</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5 850 000,00</w:t>
            </w:r>
          </w:p>
        </w:tc>
        <w:tc>
          <w:tcPr>
            <w:tcW w:w="17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2 113 266,78</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2027</w:t>
            </w:r>
          </w:p>
        </w:tc>
        <w:tc>
          <w:tcPr>
            <w:tcW w:w="356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6: Rozwój terenów zielonych i adaptacja do zmian klimatu </w:t>
            </w:r>
            <w:r w:rsidRPr="00A813D5">
              <w:rPr>
                <w:rFonts w:ascii="Calibri" w:hAnsi="Calibri" w:cs="Arial"/>
                <w:color w:val="000000"/>
              </w:rPr>
              <w:br/>
              <w:t>we Wrocławskim Obszarze Funkcjonalnym</w:t>
            </w:r>
          </w:p>
        </w:tc>
      </w:tr>
      <w:tr w:rsidR="004954E3" w:rsidRPr="00A813D5" w:rsidTr="001D587F">
        <w:trPr>
          <w:trHeight w:val="600"/>
        </w:trPr>
        <w:tc>
          <w:tcPr>
            <w:tcW w:w="469"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891"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2795"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930"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3550" w:type="dxa"/>
            <w:shd w:val="clear" w:color="auto" w:fill="F2F2F2" w:themeFill="background1" w:themeFillShade="F2"/>
            <w:vAlign w:val="center"/>
          </w:tcPr>
          <w:p w:rsidR="004954E3" w:rsidRPr="00A813D5" w:rsidRDefault="004954E3" w:rsidP="004954E3">
            <w:pPr>
              <w:spacing w:after="0" w:line="240" w:lineRule="auto"/>
              <w:jc w:val="left"/>
            </w:pPr>
            <w:r w:rsidRPr="00A813D5">
              <w:rPr>
                <w:rFonts w:ascii="Calibri" w:hAnsi="Calibri" w:cs="Arial"/>
                <w:b/>
                <w:bCs/>
                <w:color w:val="000000"/>
              </w:rPr>
              <w:t>SUMA PROJEKTÓW W CELU SZCZEGÓŁOWYM RSO2.7:</w:t>
            </w:r>
          </w:p>
        </w:tc>
        <w:tc>
          <w:tcPr>
            <w:tcW w:w="1768"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9 765 546,07</w:t>
            </w:r>
          </w:p>
        </w:tc>
        <w:tc>
          <w:tcPr>
            <w:tcW w:w="1767"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4 854 149,03</w:t>
            </w:r>
          </w:p>
        </w:tc>
        <w:tc>
          <w:tcPr>
            <w:tcW w:w="1516"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1710"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c>
          <w:tcPr>
            <w:tcW w:w="3566" w:type="dxa"/>
            <w:shd w:val="clear" w:color="auto" w:fill="F2F2F2" w:themeFill="background1" w:themeFillShade="F2"/>
            <w:vAlign w:val="center"/>
          </w:tcPr>
          <w:p w:rsidR="004954E3" w:rsidRPr="00A813D5" w:rsidRDefault="004954E3" w:rsidP="004954E3">
            <w:pPr>
              <w:spacing w:after="0" w:line="240" w:lineRule="auto"/>
              <w:jc w:val="left"/>
              <w:rPr>
                <w:rFonts w:ascii="Calibri" w:hAnsi="Calibri" w:cs="Arial"/>
                <w:color w:val="000000"/>
              </w:rPr>
            </w:pPr>
          </w:p>
        </w:tc>
      </w:tr>
    </w:tbl>
    <w:p w:rsidR="004954E3" w:rsidRPr="001D587F" w:rsidRDefault="004954E3">
      <w:pPr>
        <w:rPr>
          <w:sz w:val="18"/>
        </w:rPr>
      </w:pPr>
    </w:p>
    <w:tbl>
      <w:tblPr>
        <w:tblW w:w="5000" w:type="pct"/>
        <w:tblInd w:w="49"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4954E3" w:rsidRPr="00A813D5" w:rsidTr="001D587F">
        <w:trPr>
          <w:trHeight w:val="600"/>
        </w:trPr>
        <w:tc>
          <w:tcPr>
            <w:tcW w:w="20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 xml:space="preserve">Cel szczegółowy: RSO2.8. Wspieranie zrównoważonej multimodalnej mobilności miejskiej jako elementu transformacji w kierunku gospodarki </w:t>
            </w:r>
            <w:proofErr w:type="spellStart"/>
            <w:r w:rsidRPr="00A813D5">
              <w:rPr>
                <w:rFonts w:ascii="Calibri" w:hAnsi="Calibri" w:cs="Arial"/>
                <w:b/>
                <w:bCs/>
                <w:color w:val="000000"/>
              </w:rPr>
              <w:t>zeroemisyjnej</w:t>
            </w:r>
            <w:proofErr w:type="spellEnd"/>
          </w:p>
        </w:tc>
      </w:tr>
    </w:tbl>
    <w:p w:rsidR="004954E3" w:rsidRPr="001D587F" w:rsidRDefault="004954E3">
      <w:pPr>
        <w:rPr>
          <w:sz w:val="2"/>
          <w:szCs w:val="2"/>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1D587F" w:rsidRPr="00A813D5" w:rsidTr="001D587F">
        <w:trPr>
          <w:trHeight w:val="600"/>
          <w:tblHeader/>
        </w:trPr>
        <w:tc>
          <w:tcPr>
            <w:tcW w:w="469"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6"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9"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8"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7"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sieci dróg dla rowerów wraz z infrastrukturą towarzyszącą w Gminie Mieście Oleśnicy</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Miasto Oleśnica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Celem projektu jest wspieranie zrównoważonej multimodalnej mobilności miejskiej jako elementu transformacji w kierunku gospodarki </w:t>
            </w:r>
            <w:proofErr w:type="spellStart"/>
            <w:r w:rsidRPr="00A813D5">
              <w:rPr>
                <w:rFonts w:ascii="Calibri" w:hAnsi="Calibri" w:cs="Arial"/>
                <w:color w:val="000000"/>
              </w:rPr>
              <w:t>zeroemisyjnej</w:t>
            </w:r>
            <w:proofErr w:type="spellEnd"/>
            <w:r w:rsidRPr="00A813D5">
              <w:rPr>
                <w:rFonts w:ascii="Calibri" w:hAnsi="Calibri" w:cs="Arial"/>
                <w:color w:val="000000"/>
              </w:rPr>
              <w:t xml:space="preserve"> (EFRR) gdyż stworzenie sieci połączeń  rowerowych przyczyni się do obniżenia niskiej emisji.</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3 900 000,00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2 730 000,00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2024</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chodników i ścieżki rowerowej w ramach rozbudowy drogi gminnej nr 107184D (od przejazdu kolejowego w Smolcu do drogi wojewódzkiej)</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Kąty Wrocławskie</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Głównym celem projektu jest rozwój sieci dróg rowerowych na obszarach funkcjonalnych miast co przyczyni się </w:t>
            </w:r>
            <w:r w:rsidRPr="00A813D5">
              <w:rPr>
                <w:rFonts w:ascii="Calibri" w:hAnsi="Calibri" w:cs="Arial"/>
                <w:color w:val="000000"/>
              </w:rPr>
              <w:br/>
              <w:t>do ograniczenia emisji zanieczyszczeń powietrza.</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14 702 737,67</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1 750 000,00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2025</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infrastruktury przesiadkowej P&amp;R oraz B&amp;R  przy Dworcu Kolejowym w Oławie</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Miasto Oława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Zakładane cele projektu: szersze wykorzystanie bardziej efektywnego transportu publicznego </w:t>
            </w:r>
            <w:r w:rsidRPr="00A813D5">
              <w:rPr>
                <w:rFonts w:ascii="Calibri" w:hAnsi="Calibri" w:cs="Arial"/>
                <w:color w:val="000000"/>
              </w:rPr>
              <w:br/>
              <w:t>i niezmotoryzowanego indywidualnego, ograniczenie emisji zanieczyszczeń powietrza, ograniczenie emisji hałasu, ograniczenie zjawiska zatłoczenia drogowego, zmniejszenie wykorzystania samochodów osobowych, lepszą integrację gałęzi transportu.</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2025</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9: Budowa lub rozbudowa centrów, węzłów przesiadkowych, P&amp;R oraz B&amp;R na terenie Wrocławskiego Obszaru Funkcjonalnego</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ścieżki rowerowej Mrozów - Błonie</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Miękinia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Cele projektu: poprawa dostępności do obiektów transportu publicznego poprzez stworzenie infrastruktury rowerowej ułatwiającej mobilność mieszkańców; rozwój sieci dróg rowerowych zapewniających spójny system komunikacji w ramach gminy i z miastem Wrocław; ograniczenie indywidualnego ruchu zmotoryzowanego na terenie miast </w:t>
            </w:r>
            <w:r w:rsidRPr="00A813D5">
              <w:rPr>
                <w:rFonts w:ascii="Calibri" w:hAnsi="Calibri" w:cs="Arial"/>
                <w:color w:val="000000"/>
              </w:rPr>
              <w:br/>
              <w:t>i ich obszarów funkcjonalnych.</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5 000 000,00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2025</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2025</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5</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dróg pieszo-rowerowych na terenie Gminy Zawonia -etap II (odcinek Złotówek-Czeszów oraz Zawonia-</w:t>
            </w:r>
            <w:proofErr w:type="spellStart"/>
            <w:r w:rsidRPr="00A813D5">
              <w:rPr>
                <w:rFonts w:ascii="Calibri" w:hAnsi="Calibri" w:cs="Arial"/>
                <w:color w:val="000000"/>
              </w:rPr>
              <w:t>Pstrzejowice</w:t>
            </w:r>
            <w:proofErr w:type="spellEnd"/>
            <w:r w:rsidRPr="00A813D5">
              <w:rPr>
                <w:rFonts w:ascii="Calibri" w:hAnsi="Calibri" w:cs="Arial"/>
                <w:color w:val="000000"/>
              </w:rPr>
              <w:t>)</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Zawonia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Celem głównym projektu jest poprawa transportowej mobilności mieszkańców Gminy Zawonia, podniesie poziomu wewnętrznego skomunikowania gminy oraz redukcja niskiej emisji transportowej w ramach kompleksowej strategii promowania i rozwoju transportu rowerowego, co jest spójne z ideą wspierania działań na rzecz poprawy jakości życia jego mieszkańców </w:t>
            </w:r>
            <w:r w:rsidRPr="00A813D5">
              <w:rPr>
                <w:rFonts w:ascii="Calibri" w:hAnsi="Calibri" w:cs="Arial"/>
                <w:color w:val="000000"/>
              </w:rPr>
              <w:br/>
              <w:t xml:space="preserve">i gospodarki efektywnie korzystającej </w:t>
            </w:r>
            <w:r w:rsidRPr="00A813D5">
              <w:rPr>
                <w:rFonts w:ascii="Calibri" w:hAnsi="Calibri" w:cs="Arial"/>
                <w:color w:val="000000"/>
              </w:rPr>
              <w:br/>
              <w:t>z zasobów i przyjaznej środowisku.</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3 915 546,07</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2026</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6</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Realizacja i aktualizacja Planu Zrównoważonej Mobilności dla Miejskiego Obszaru Funkcjonalnego Wrocławia</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Celem projektu jest wdrożenie założeń zrównoważonej mobilności na obszarze funkcjonalnym Wrocławia, w tym na obszarze ZIT WrOF.</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700 000,00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490 000,00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2026</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Projekt zintegrowany: Realizacja </w:t>
            </w:r>
            <w:r w:rsidRPr="00A813D5">
              <w:rPr>
                <w:rFonts w:ascii="Calibri" w:hAnsi="Calibri" w:cs="Arial"/>
                <w:color w:val="000000"/>
              </w:rPr>
              <w:br/>
              <w:t>i aktualizacja Planu Zrównoważonej Mobilności dla Miejskiego Obszaru Funkcjonalnego Wrocławia</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7</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FEDS.03 Fundusze Europejskie na rzecz mobilności miejskiej Dolnego Śląska / FEDS.03.01 </w:t>
            </w:r>
            <w:proofErr w:type="spellStart"/>
            <w:r w:rsidRPr="00A813D5">
              <w:rPr>
                <w:rFonts w:ascii="Calibri" w:hAnsi="Calibri" w:cs="Arial"/>
                <w:color w:val="000000"/>
              </w:rPr>
              <w:t>Ekotransport</w:t>
            </w:r>
            <w:proofErr w:type="spellEnd"/>
            <w:r w:rsidRPr="00A813D5">
              <w:rPr>
                <w:rFonts w:ascii="Calibri" w:hAnsi="Calibri" w:cs="Arial"/>
                <w:color w:val="000000"/>
              </w:rPr>
              <w:t xml:space="preserve"> miejski i podmiejski -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Budowa dróg rowerowych </w:t>
            </w:r>
            <w:r w:rsidRPr="00A813D5">
              <w:rPr>
                <w:rFonts w:ascii="Calibri" w:hAnsi="Calibri" w:cs="Arial"/>
                <w:color w:val="000000"/>
              </w:rPr>
              <w:br/>
              <w:t>i ciągów pieszo-rowerowych na terenie miasta i gminy Jelcz-Laskowice</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Jelcz-Laskowice</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Projekt zakłada wsparcie transportu niskoemisyjnego poprzez rozbudowę infrastruktury rowerowej w celu utworzenia spójnej sieci dróg rowerowych oraz ograniczenia indywidualnego ruchu samochodowego na terenie miasta i gminy Jelcz-Laskowice.</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6 000 000,00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7: Budowa lub rozbudowa dróg, ścieżek, tras rowerowych oraz ciągów pieszo-rowerowych na terenie Wrocławskiego Obszaru Funkcjonalnego</w:t>
            </w:r>
          </w:p>
        </w:tc>
      </w:tr>
      <w:tr w:rsidR="001D587F" w:rsidRPr="00A813D5" w:rsidTr="001D587F">
        <w:trPr>
          <w:trHeight w:val="600"/>
        </w:trPr>
        <w:tc>
          <w:tcPr>
            <w:tcW w:w="469"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1891"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2796"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1931"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3551"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r w:rsidRPr="00A813D5">
              <w:rPr>
                <w:rFonts w:ascii="Calibri" w:hAnsi="Calibri" w:cs="Arial"/>
                <w:b/>
                <w:bCs/>
                <w:color w:val="000000"/>
              </w:rPr>
              <w:t>SUMA PROJEKTÓW W CELU SZCZEGÓŁOWYM RSO2.8:</w:t>
            </w:r>
          </w:p>
        </w:tc>
        <w:tc>
          <w:tcPr>
            <w:tcW w:w="1769" w:type="dxa"/>
            <w:shd w:val="clear" w:color="auto" w:fill="auto"/>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38 218 283,74</w:t>
            </w:r>
          </w:p>
        </w:tc>
        <w:tc>
          <w:tcPr>
            <w:tcW w:w="1768" w:type="dxa"/>
            <w:shd w:val="clear" w:color="auto" w:fill="auto"/>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15 933 529,00</w:t>
            </w:r>
          </w:p>
        </w:tc>
        <w:tc>
          <w:tcPr>
            <w:tcW w:w="1516"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1710"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c>
          <w:tcPr>
            <w:tcW w:w="3567" w:type="dxa"/>
            <w:shd w:val="clear" w:color="auto" w:fill="auto"/>
            <w:vAlign w:val="center"/>
          </w:tcPr>
          <w:p w:rsidR="001D587F" w:rsidRPr="00A813D5" w:rsidRDefault="001D587F" w:rsidP="001D587F">
            <w:pPr>
              <w:spacing w:after="0" w:line="240" w:lineRule="auto"/>
              <w:jc w:val="left"/>
              <w:rPr>
                <w:rFonts w:ascii="Calibri" w:hAnsi="Calibri" w:cs="Arial"/>
                <w:color w:val="000000"/>
              </w:rPr>
            </w:pPr>
          </w:p>
        </w:tc>
      </w:tr>
    </w:tbl>
    <w:p w:rsidR="001D587F" w:rsidRDefault="001D587F"/>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20968"/>
      </w:tblGrid>
      <w:tr w:rsidR="004954E3" w:rsidRPr="00A813D5" w:rsidTr="001D587F">
        <w:trPr>
          <w:trHeight w:val="600"/>
        </w:trPr>
        <w:tc>
          <w:tcPr>
            <w:tcW w:w="20968" w:type="dxa"/>
            <w:shd w:val="clear" w:color="auto" w:fill="D9D9D9" w:themeFill="background1" w:themeFillShade="D9"/>
            <w:vAlign w:val="center"/>
            <w:hideMark/>
          </w:tcPr>
          <w:p w:rsidR="004954E3" w:rsidRPr="00A813D5" w:rsidRDefault="004954E3" w:rsidP="004954E3">
            <w:pPr>
              <w:spacing w:after="0" w:line="240" w:lineRule="auto"/>
              <w:jc w:val="left"/>
              <w:rPr>
                <w:rFonts w:ascii="Calibri" w:hAnsi="Calibri" w:cs="Arial"/>
                <w:b/>
                <w:bCs/>
                <w:color w:val="000000"/>
              </w:rPr>
            </w:pPr>
            <w:r w:rsidRPr="00A813D5">
              <w:rPr>
                <w:rFonts w:ascii="Calibri" w:hAnsi="Calibri" w:cs="Arial"/>
                <w:b/>
                <w:bCs/>
                <w:color w:val="000000"/>
              </w:rPr>
              <w:t>Cel szczegółowy: RSO5.1. Wspieranie zintegrowanego i sprzyjającego włączeniu społecznemu rozwoju społecznego, gospodarczego i środowiskowego, kultury, dziedzictwa naturalnego, zrównoważonej turystyki i bezpieczeństwa na obszarach miejskich</w:t>
            </w:r>
          </w:p>
        </w:tc>
      </w:tr>
    </w:tbl>
    <w:p w:rsidR="001D587F" w:rsidRPr="001D587F" w:rsidRDefault="001D587F">
      <w:pPr>
        <w:rPr>
          <w:sz w:val="2"/>
        </w:rPr>
      </w:pPr>
    </w:p>
    <w:tbl>
      <w:tblPr>
        <w:tblW w:w="5000" w:type="pct"/>
        <w:tblInd w:w="4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jekty realizowane w ramach poszczególnych przedsięwzięć zintegrowanych przewidzianych do realizacji w ramach Strategii ZIT WrOF 2021-2027. "/>
        <w:tblDescription w:val="Projekty realizowane w ramach poszczególnych przedsięwzięć zintegrowanych przewidzianych do realizacji w ramach Strategii ZIT WrOF 2021-2027. "/>
      </w:tblPr>
      <w:tblGrid>
        <w:gridCol w:w="469"/>
        <w:gridCol w:w="1891"/>
        <w:gridCol w:w="2796"/>
        <w:gridCol w:w="1931"/>
        <w:gridCol w:w="3551"/>
        <w:gridCol w:w="1769"/>
        <w:gridCol w:w="1768"/>
        <w:gridCol w:w="1516"/>
        <w:gridCol w:w="1710"/>
        <w:gridCol w:w="3567"/>
      </w:tblGrid>
      <w:tr w:rsidR="001D587F" w:rsidRPr="00A813D5" w:rsidTr="001D587F">
        <w:trPr>
          <w:trHeight w:val="600"/>
          <w:tblHeader/>
        </w:trPr>
        <w:tc>
          <w:tcPr>
            <w:tcW w:w="469"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L.p.</w:t>
            </w:r>
          </w:p>
        </w:tc>
        <w:tc>
          <w:tcPr>
            <w:tcW w:w="189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Priorytet/ Działanie zgodnie z SZOP FEDS 2021-2027</w:t>
            </w:r>
          </w:p>
        </w:tc>
        <w:tc>
          <w:tcPr>
            <w:tcW w:w="2796"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Tytuł projektu</w:t>
            </w:r>
          </w:p>
        </w:tc>
        <w:tc>
          <w:tcPr>
            <w:tcW w:w="193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Wnioskodawca</w:t>
            </w:r>
          </w:p>
        </w:tc>
        <w:tc>
          <w:tcPr>
            <w:tcW w:w="3551"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Cel projektu</w:t>
            </w:r>
          </w:p>
        </w:tc>
        <w:tc>
          <w:tcPr>
            <w:tcW w:w="1769"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Szacowana wartość ogółem w PLN</w:t>
            </w:r>
          </w:p>
        </w:tc>
        <w:tc>
          <w:tcPr>
            <w:tcW w:w="1768"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Szacowany wkład UE  w PLN*</w:t>
            </w:r>
          </w:p>
        </w:tc>
        <w:tc>
          <w:tcPr>
            <w:tcW w:w="1516"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Termin rozpoczęcia projektu</w:t>
            </w:r>
          </w:p>
        </w:tc>
        <w:tc>
          <w:tcPr>
            <w:tcW w:w="1710"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Termin zakończenia projektu</w:t>
            </w:r>
          </w:p>
        </w:tc>
        <w:tc>
          <w:tcPr>
            <w:tcW w:w="3567" w:type="dxa"/>
            <w:shd w:val="clear" w:color="auto" w:fill="F2F2F2" w:themeFill="background1" w:themeFillShade="F2"/>
            <w:vAlign w:val="center"/>
            <w:hideMark/>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Numer i nazwa wiązki, do której przyporządkowano projekt</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Rozbudowa obiektu świadczącego usługi publiczne – Szkoły Podstawowej </w:t>
            </w:r>
            <w:r w:rsidRPr="00A813D5">
              <w:rPr>
                <w:rFonts w:ascii="Calibri" w:hAnsi="Calibri" w:cs="Arial"/>
                <w:color w:val="000000"/>
              </w:rPr>
              <w:br/>
              <w:t>w Żernikach Wrocławskich</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Siechnice</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Celem projektu będzie stworzenie obiektu zapewniającego komfortowy mikroklimat wymagającym użytkownikom, jakimi są dzieci, przy jednoczesnym zminimalizowaniu kosztów eksploatacji budynku.</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17 734 066,65</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2024</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12: Poprawa dostępności usług publicznych, </w:t>
            </w:r>
            <w:r w:rsidRPr="00A813D5">
              <w:rPr>
                <w:rFonts w:ascii="Calibri" w:hAnsi="Calibri" w:cs="Arial"/>
                <w:color w:val="000000"/>
              </w:rPr>
              <w:br/>
              <w:t xml:space="preserve">w szczególności poprzez budowę lub rozbudowę infrastruktury społecznej </w:t>
            </w:r>
            <w:r w:rsidRPr="00A813D5">
              <w:rPr>
                <w:rFonts w:ascii="Calibri" w:hAnsi="Calibri" w:cs="Arial"/>
                <w:color w:val="000000"/>
              </w:rPr>
              <w:br/>
              <w:t>i edukacyjnej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Zagospodarowanie terenu Wzgórza Polskiego -Bastion Ceglarski we Wrocławiu</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Realizacja projektu będzie miała na celu: zachowanie dziedzictwa kulturowego na obszarze zabytkowego centrum Wrocławia; wzmocnienie walorów turystycznych Wrocławia a co za tym idzie ZIT WrOF.</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5 000 000,00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1 806 182,72</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III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2024</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Zagospodarowanie parków w Malinie i Psarach, gmina Wisznia Mała</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Wisznia Mała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Celem projektu jest zagospodarowanie zabytkowych parków na terenie gminy Wisznia Mała w miejscowościach Malin </w:t>
            </w:r>
            <w:r w:rsidRPr="00A813D5">
              <w:rPr>
                <w:rFonts w:ascii="Calibri" w:hAnsi="Calibri" w:cs="Arial"/>
                <w:color w:val="000000"/>
              </w:rPr>
              <w:br/>
              <w:t>i Psary.</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2 730 000,00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1 911 000,00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2025</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Zagospodarowanie wnętrza podwórzowego w kwartale ulic: Trzebnicka, Kleczkowska, Lucjana Siemieńskiego oraz Ignacego Józefa Kraszewskiego we Wrocławiu</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bCs/>
                <w:color w:val="000000"/>
              </w:rPr>
            </w:pPr>
            <w:r w:rsidRPr="00A813D5">
              <w:rPr>
                <w:rFonts w:eastAsia="Times New Roman" w:cstheme="minorHAnsi"/>
                <w:bCs/>
                <w:color w:val="000000" w:themeColor="text1"/>
                <w:lang w:eastAsia="pl-PL"/>
              </w:rPr>
              <w:t xml:space="preserve"> </w:t>
            </w:r>
            <w:r w:rsidRPr="00A813D5">
              <w:rPr>
                <w:rFonts w:ascii="Calibri" w:hAnsi="Calibri" w:cs="Arial"/>
                <w:bCs/>
                <w:color w:val="000000"/>
              </w:rPr>
              <w:t xml:space="preserve">Cel główny projektu to poprawa jakości życia mieszkańców Wrocławia, w tym </w:t>
            </w:r>
            <w:r w:rsidRPr="00A813D5">
              <w:rPr>
                <w:rFonts w:ascii="Calibri" w:hAnsi="Calibri" w:cs="Arial"/>
                <w:bCs/>
                <w:color w:val="000000"/>
              </w:rPr>
              <w:br/>
              <w:t>w szczególności mieszkańców wnętrza podwórzowego zlokalizowanego w obrębie ulic Trzebnicka, Kleczkowska, Lucjana Siemieńskiego oraz Ignacego Józefa Kraszewskiego we Wrocławiu.</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6 000 000,00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2 167 419,26</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2026</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5</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Budowa Budynku Świetlicy wiejskiej na terenie Gminy</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Oborniki Śląskie</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Głównym celem projektu jest poprawa jakości życia mieszkańców Osolina, wzmocnienie kapitału społecznego oraz zaspokajanie potrzeb kulturalno-integracyjnych i edukacyjnych poprzez budowę miejsca spotkań.</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2 992 875,00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2 095 000,00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III kw. 2026</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11: Rozwój infrastruktury aktywizacji i integracji społecznej mający na celu poprawę kondycji psychofizycznej mieszkańców </w:t>
            </w:r>
            <w:r w:rsidRPr="00A813D5">
              <w:rPr>
                <w:rFonts w:ascii="Calibri" w:hAnsi="Calibri" w:cs="Arial"/>
                <w:color w:val="000000"/>
              </w:rPr>
              <w:br/>
              <w:t>we Wrocławskim Obszarze Funkcjonalnym, ze szczególnym uwzględnieniem kultury</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6</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Zagospodarowanie Parku w Kobierzycach</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Kobierzyce</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Celem projektu jest poprawa jakości życia mieszkańców poprzez rewitalizację parku oraz poprawę jakości przestrzeni publicznej.</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8 000 000,00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2024</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2026</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7</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Przygotowanie i monitorowanie strategii ZIT oraz działania na rzecz zwiększenia zdolności kreowania polityki   rozwoju obszaru oraz koordynacyjnych Biura ZIT Wrocławskiego Obszaru Funkcjonalnego - Etap II</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Ideą Zintegrowanych Inwestycji Terytorialnych (a tym samym celem przedmiotowego projektu) jest współpraca samorządów na rzecz maksymalnego wykorzystania atutów samorządów </w:t>
            </w:r>
            <w:r w:rsidRPr="00A813D5">
              <w:rPr>
                <w:rFonts w:ascii="Calibri" w:hAnsi="Calibri" w:cs="Arial"/>
                <w:color w:val="000000"/>
              </w:rPr>
              <w:br/>
              <w:t>i wspólnego rozwiązywania problemów.</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1 070 000,00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749 000,00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2025</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III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13: Przygotowanie </w:t>
            </w:r>
            <w:r w:rsidRPr="00A813D5">
              <w:rPr>
                <w:rFonts w:ascii="Calibri" w:hAnsi="Calibri" w:cs="Arial"/>
                <w:color w:val="000000"/>
              </w:rPr>
              <w:br/>
              <w:t>i monitorowanie strategii ZIT, kreowanie polityki rozwoju obszaru</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8</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Stworzenie centrów integracyjno-edukacyjnych dla mieszkańców gminy Długołęka wraz</w:t>
            </w:r>
            <w:r w:rsidRPr="00A813D5">
              <w:rPr>
                <w:rFonts w:ascii="Calibri" w:hAnsi="Calibri" w:cs="Arial"/>
                <w:color w:val="000000"/>
              </w:rPr>
              <w:br/>
              <w:t>z zagospodarowaniem terenów zielonych</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Długołęka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Celem projektu będzie nadanie nowych funkcjonalności w istniejącej przestrzeni publicznej.</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6 366 000,00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11: Rozwój infrastruktury aktywizacji i integracji społecznej mający na celu poprawę kondycji psychofizycznej mieszkańców </w:t>
            </w:r>
            <w:r w:rsidRPr="00A813D5">
              <w:rPr>
                <w:rFonts w:ascii="Calibri" w:hAnsi="Calibri" w:cs="Arial"/>
                <w:color w:val="000000"/>
              </w:rPr>
              <w:br/>
              <w:t>we Wrocławskim Obszarze Funkcjonalnym, ze szczególnym uwzględnieniem kultury</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9</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Park Mieszczański  -  rekultywacja dawnych terenów powojskowych we Wrocławiu</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Wrocław</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bCs/>
                <w:color w:val="000000"/>
              </w:rPr>
            </w:pPr>
            <w:r w:rsidRPr="00A813D5">
              <w:rPr>
                <w:rFonts w:eastAsia="Times New Roman" w:cstheme="minorHAnsi"/>
                <w:bCs/>
                <w:color w:val="000000" w:themeColor="text1"/>
                <w:lang w:eastAsia="pl-PL"/>
              </w:rPr>
              <w:t xml:space="preserve"> </w:t>
            </w:r>
            <w:r w:rsidRPr="00A813D5">
              <w:rPr>
                <w:rFonts w:ascii="Calibri" w:hAnsi="Calibri" w:cs="Arial"/>
                <w:bCs/>
                <w:color w:val="000000"/>
              </w:rPr>
              <w:t xml:space="preserve">Celem projektu jest rekultywacja terenów zdegradowanych działalnością gospodarczą i przemysłową oraz tworzenie na nich funkcji przyrodniczych </w:t>
            </w:r>
            <w:r w:rsidRPr="00A813D5">
              <w:rPr>
                <w:rFonts w:ascii="Calibri" w:hAnsi="Calibri" w:cs="Arial"/>
                <w:bCs/>
                <w:color w:val="000000"/>
              </w:rPr>
              <w:br/>
              <w:t>i rekreacyjnych. Realizacja projektu ukierunkowana jest ponadto na wzmocnienie istniejącej bioróżnorodności na tym obszarze, a także stworzenie lepszych warunków dla rozwoju funkcji przyrodniczych.</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13 500 000,00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4 876 693,34</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III kw. 2023</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10</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Ścieżki przyrodniczo-edukacyjne na terenie Gminy Oława  (zaprojektowanie i wykonanie)</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Oława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Cele projektu: </w:t>
            </w:r>
            <w:r w:rsidRPr="00A813D5">
              <w:rPr>
                <w:rFonts w:ascii="Calibri" w:hAnsi="Calibri" w:cs="Arial"/>
                <w:bCs/>
                <w:color w:val="000000"/>
              </w:rPr>
              <w:t xml:space="preserve">wykorzystanie zasobów przyrodniczych i kulturowych na potrzeby rozwoju społecznego, </w:t>
            </w:r>
            <w:r w:rsidRPr="00A813D5">
              <w:rPr>
                <w:rFonts w:ascii="Calibri" w:hAnsi="Calibri" w:cs="Arial"/>
                <w:color w:val="000000"/>
              </w:rPr>
              <w:t xml:space="preserve">promocja publicznych walorów turystycznych poprzez budowę infrastruktury dla lokalnej turystyki , ochrona, rozwój </w:t>
            </w:r>
            <w:r w:rsidRPr="00A813D5">
              <w:rPr>
                <w:rFonts w:ascii="Calibri" w:hAnsi="Calibri" w:cs="Arial"/>
                <w:color w:val="000000"/>
              </w:rPr>
              <w:br/>
              <w:t xml:space="preserve">i promowanie dziedzictwa naturalnego </w:t>
            </w:r>
            <w:r w:rsidRPr="00A813D5">
              <w:rPr>
                <w:rFonts w:ascii="Calibri" w:hAnsi="Calibri" w:cs="Arial"/>
                <w:color w:val="000000"/>
              </w:rPr>
              <w:br/>
              <w:t>i kulturowego.</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3 915 546,07</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2 740 882,25</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2025</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10: Fizyczna odnowa </w:t>
            </w:r>
            <w:r w:rsidRPr="00A813D5">
              <w:rPr>
                <w:rFonts w:ascii="Calibri" w:hAnsi="Calibri" w:cs="Arial"/>
                <w:color w:val="000000"/>
              </w:rPr>
              <w:br/>
              <w:t>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11</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Zagospodarowanie parku </w:t>
            </w:r>
            <w:r w:rsidRPr="00A813D5">
              <w:rPr>
                <w:rFonts w:ascii="Calibri" w:hAnsi="Calibri" w:cs="Arial"/>
                <w:color w:val="000000"/>
              </w:rPr>
              <w:br/>
              <w:t>w Sobótce Górce</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Sobótka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Celami projektu będą:  zwiększenie świadomości w kwestii problematyki zmian klimatycznych, zwiększenie odporności Gminy Sobótka na negatywne zjawiska </w:t>
            </w:r>
            <w:r w:rsidRPr="00A813D5">
              <w:rPr>
                <w:rFonts w:ascii="Calibri" w:hAnsi="Calibri" w:cs="Arial"/>
                <w:color w:val="000000"/>
              </w:rPr>
              <w:br/>
              <w:t xml:space="preserve">i adaptacja do ich skutków oraz znaczące zwiększenie świadomości społeczeństwa </w:t>
            </w:r>
            <w:r w:rsidRPr="00A813D5">
              <w:rPr>
                <w:rFonts w:ascii="Calibri" w:hAnsi="Calibri" w:cs="Arial"/>
                <w:color w:val="000000"/>
              </w:rPr>
              <w:br/>
              <w:t>w kwestii konieczności podejmowania działań na rzecz klimatu, poprawa kondycji psychofizycznej mieszkańców poprzez rozwój infrastruktury aktywizacji i integracji społecznej.</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3 900 000,00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2 730 000,00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II kw. 2025</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IV kw. 2027</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Wiązka projektów 10: Fizyczna odnowa</w:t>
            </w:r>
            <w:r w:rsidRPr="00A813D5">
              <w:rPr>
                <w:rFonts w:ascii="Calibri" w:hAnsi="Calibri" w:cs="Arial"/>
                <w:color w:val="000000"/>
              </w:rPr>
              <w:br/>
              <w:t xml:space="preserve"> i bezpieczeństwo przestrzeni publicznej we Wrocławskim Obszarze Funkcjonalnym, w tym sprzyjająca aktywności fizycznej</w:t>
            </w:r>
          </w:p>
        </w:tc>
      </w:tr>
      <w:tr w:rsidR="004954E3" w:rsidRPr="00A813D5" w:rsidTr="001D587F">
        <w:trPr>
          <w:trHeight w:val="600"/>
        </w:trPr>
        <w:tc>
          <w:tcPr>
            <w:tcW w:w="4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12</w:t>
            </w:r>
          </w:p>
        </w:tc>
        <w:tc>
          <w:tcPr>
            <w:tcW w:w="189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FEDS.06 Fundusze Europejskie bliżej mieszkańców Dolnego Śląska / FEDS.06.01 Rozwój lokalny - strategie ZIT</w:t>
            </w:r>
          </w:p>
        </w:tc>
        <w:tc>
          <w:tcPr>
            <w:tcW w:w="279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Poprawa dostępności do usług publicznych na terenach wiejskich Wrocławskiego Obszaru Funkcjonalnego – Gmina Czernica etap II</w:t>
            </w:r>
          </w:p>
        </w:tc>
        <w:tc>
          <w:tcPr>
            <w:tcW w:w="193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Gmina Czernica</w:t>
            </w:r>
          </w:p>
        </w:tc>
        <w:tc>
          <w:tcPr>
            <w:tcW w:w="3551"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Głównym celem projektu jest zwiększenie</w:t>
            </w:r>
            <w:r w:rsidRPr="00A813D5">
              <w:rPr>
                <w:rFonts w:ascii="Calibri" w:hAnsi="Calibri" w:cs="Arial"/>
                <w:color w:val="000000"/>
              </w:rPr>
              <w:br/>
              <w:t>i poprawa dostępności do usług publicznych na terenie gminy wiejskiej Wrocławskiego Obszaru Funkcjonalnego.</w:t>
            </w:r>
          </w:p>
        </w:tc>
        <w:tc>
          <w:tcPr>
            <w:tcW w:w="1769"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40 000 000,00</w:t>
            </w:r>
          </w:p>
        </w:tc>
        <w:tc>
          <w:tcPr>
            <w:tcW w:w="1768"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3 500 000,00</w:t>
            </w:r>
          </w:p>
        </w:tc>
        <w:tc>
          <w:tcPr>
            <w:tcW w:w="1516"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2025</w:t>
            </w:r>
          </w:p>
        </w:tc>
        <w:tc>
          <w:tcPr>
            <w:tcW w:w="1710"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I kw. 2029</w:t>
            </w:r>
          </w:p>
        </w:tc>
        <w:tc>
          <w:tcPr>
            <w:tcW w:w="3567" w:type="dxa"/>
            <w:shd w:val="clear" w:color="auto" w:fill="auto"/>
            <w:vAlign w:val="center"/>
            <w:hideMark/>
          </w:tcPr>
          <w:p w:rsidR="004954E3" w:rsidRPr="00A813D5" w:rsidRDefault="004954E3" w:rsidP="004954E3">
            <w:pPr>
              <w:spacing w:after="0" w:line="240" w:lineRule="auto"/>
              <w:jc w:val="left"/>
              <w:rPr>
                <w:rFonts w:ascii="Calibri" w:hAnsi="Calibri" w:cs="Arial"/>
                <w:color w:val="000000"/>
              </w:rPr>
            </w:pPr>
            <w:r w:rsidRPr="00A813D5">
              <w:rPr>
                <w:rFonts w:ascii="Calibri" w:hAnsi="Calibri" w:cs="Arial"/>
                <w:color w:val="000000"/>
              </w:rPr>
              <w:t xml:space="preserve">Wiązka projektów 12: Poprawa dostępności usług publicznych, </w:t>
            </w:r>
            <w:r w:rsidRPr="00A813D5">
              <w:rPr>
                <w:rFonts w:ascii="Calibri" w:hAnsi="Calibri" w:cs="Arial"/>
                <w:color w:val="000000"/>
              </w:rPr>
              <w:br/>
              <w:t xml:space="preserve">w szczególności poprzez budowę lub rozbudowę infrastruktury społecznej </w:t>
            </w:r>
            <w:r w:rsidRPr="00A813D5">
              <w:rPr>
                <w:rFonts w:ascii="Calibri" w:hAnsi="Calibri" w:cs="Arial"/>
                <w:color w:val="000000"/>
              </w:rPr>
              <w:br/>
              <w:t>i edukacyjnej</w:t>
            </w:r>
          </w:p>
        </w:tc>
      </w:tr>
      <w:tr w:rsidR="001D587F" w:rsidRPr="00A813D5" w:rsidTr="001D587F">
        <w:trPr>
          <w:trHeight w:val="737"/>
        </w:trPr>
        <w:tc>
          <w:tcPr>
            <w:tcW w:w="469"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89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2796"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93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355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SUMA PROJEKTÓW W CELU SZCZEGÓŁOWYM RSO5.1:</w:t>
            </w:r>
          </w:p>
        </w:tc>
        <w:tc>
          <w:tcPr>
            <w:tcW w:w="1769"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111 208 487,72</w:t>
            </w:r>
          </w:p>
        </w:tc>
        <w:tc>
          <w:tcPr>
            <w:tcW w:w="1768"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30 798 824,07</w:t>
            </w:r>
          </w:p>
        </w:tc>
        <w:tc>
          <w:tcPr>
            <w:tcW w:w="1516"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710"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3567"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r>
      <w:tr w:rsidR="001D587F" w:rsidRPr="00A813D5" w:rsidTr="001D587F">
        <w:trPr>
          <w:trHeight w:val="737"/>
        </w:trPr>
        <w:tc>
          <w:tcPr>
            <w:tcW w:w="469"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89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2796"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93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3551"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SUMA PROJEKTÓW WE WSZYSTKICH CELACH SZCZEGÓŁOWYCH:</w:t>
            </w:r>
          </w:p>
        </w:tc>
        <w:tc>
          <w:tcPr>
            <w:tcW w:w="1769"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180 689 797,95</w:t>
            </w:r>
          </w:p>
        </w:tc>
        <w:tc>
          <w:tcPr>
            <w:tcW w:w="1768"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b/>
                <w:bCs/>
                <w:color w:val="000000"/>
              </w:rPr>
            </w:pPr>
            <w:r w:rsidRPr="00A813D5">
              <w:rPr>
                <w:rFonts w:ascii="Calibri" w:hAnsi="Calibri" w:cs="Arial"/>
                <w:b/>
                <w:bCs/>
                <w:color w:val="000000"/>
              </w:rPr>
              <w:t>64 436 725,60</w:t>
            </w:r>
          </w:p>
        </w:tc>
        <w:tc>
          <w:tcPr>
            <w:tcW w:w="1516"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1710"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c>
          <w:tcPr>
            <w:tcW w:w="3567" w:type="dxa"/>
            <w:shd w:val="clear" w:color="auto" w:fill="F2F2F2" w:themeFill="background1" w:themeFillShade="F2"/>
            <w:vAlign w:val="center"/>
          </w:tcPr>
          <w:p w:rsidR="001D587F" w:rsidRPr="00A813D5" w:rsidRDefault="001D587F" w:rsidP="001D587F">
            <w:pPr>
              <w:spacing w:after="0" w:line="240" w:lineRule="auto"/>
              <w:jc w:val="left"/>
              <w:rPr>
                <w:rFonts w:ascii="Calibri" w:hAnsi="Calibri" w:cs="Arial"/>
                <w:color w:val="000000"/>
              </w:rPr>
            </w:pPr>
          </w:p>
        </w:tc>
      </w:tr>
    </w:tbl>
    <w:p w:rsidR="001D587F" w:rsidRPr="00A813D5" w:rsidRDefault="001D587F" w:rsidP="001D587F">
      <w:pPr>
        <w:spacing w:after="0" w:line="240" w:lineRule="auto"/>
        <w:jc w:val="left"/>
      </w:pPr>
      <w:r w:rsidRPr="00A813D5">
        <w:t>* Zastrzega się możliwość zwiększenia Szacowanego wkład UE (PLN) do 70% wartości kosztów kwalifikowalnych projektu</w:t>
      </w:r>
    </w:p>
    <w:p w:rsidR="001D587F" w:rsidRPr="001D587F" w:rsidRDefault="001D587F" w:rsidP="001D587F">
      <w:pPr>
        <w:jc w:val="left"/>
        <w:rPr>
          <w:sz w:val="24"/>
        </w:rPr>
      </w:pPr>
    </w:p>
    <w:p w:rsidR="00E60C99" w:rsidRPr="001D587F" w:rsidRDefault="00E60C99" w:rsidP="001D587F">
      <w:pPr>
        <w:jc w:val="left"/>
        <w:rPr>
          <w:sz w:val="24"/>
        </w:rPr>
      </w:pPr>
      <w:r w:rsidRPr="001D587F">
        <w:rPr>
          <w:sz w:val="24"/>
        </w:rPr>
        <w:t>Program Fundusze Europejskie na Infrastrukturę, Klimat, Środowisko 2021-2027 (</w:t>
      </w:r>
      <w:proofErr w:type="spellStart"/>
      <w:r w:rsidRPr="001D587F">
        <w:rPr>
          <w:sz w:val="24"/>
        </w:rPr>
        <w:t>FEnIKS</w:t>
      </w:r>
      <w:proofErr w:type="spellEnd"/>
      <w:r w:rsidRPr="001D587F">
        <w:rPr>
          <w:sz w:val="24"/>
        </w:rPr>
        <w:t xml:space="preserve"> 2021-2027) stanowi kontynuację dwóch wcześniejszych programów Infrastruktura i Środowisko 2007-2013 oraz 2014-2020. Celem nadrzędnym programu jest poprawienie warunków rozwoju kraju dzięki budowie infrastruktury społecznej i technicznej, przy zastosowaniu zasad zrównoważonego rozwoju. Możliwe to będzie m.in. dzięki obniżeniu emisyjności gospodarki oraz transformację w szczególności w kierunku gospodarki o obiegu zamkniętym, budowie systemu transportowego, którego wpływ na środowisko naturalne będzie ograniczony, poprawie bezpieczeństwa transportu, zapewnieniu równego dostępu do opieki zdrowotnej i poprawę odporności systemu ochrony zdrowia. Dodatkowo poprawa warunków rozwoju kraju możliwa będzie dzięki wzmocnieniu roli kultury w rozwoju społecznym i gospodarczym. W programie w stronę obszarów ZIT kierowane jest wsparcie w ramach Priorytetu III: Transport miejski,  Cel szczegółowy 2.8 Wspieranie zrównoważonej multimodalnej mobilności miejskiej jako elementu transformacji w kierunku gospodarki </w:t>
      </w:r>
      <w:proofErr w:type="spellStart"/>
      <w:r w:rsidRPr="001D587F">
        <w:rPr>
          <w:sz w:val="24"/>
        </w:rPr>
        <w:t>zeroemisyjnej</w:t>
      </w:r>
      <w:proofErr w:type="spellEnd"/>
      <w:r w:rsidRPr="001D587F">
        <w:rPr>
          <w:sz w:val="24"/>
        </w:rPr>
        <w:t xml:space="preserve">. W ramach tego celu dopuszcza się możliwość realizacji inwestycji infrastrukturalnych, w tym: infrastruktury szynowej (tramwajowa, metro), węzły przesiadkowe (w tym: parkingi P&amp;R poza centrami miast), miejskie systemy ITS, rozwiązania IT czy systemy sprzedaży biletów i informacji pasażerskiej. Ponadto typy projektów dotyczyć mogą taboru szynowego, autobusowego i trolejbusowego oraz Planów Zrównoważonej Mobilności Miejskiej. Podstawowym celem interwencji będzie dążenie do stworzenia warunków dla zrównoważonej mobilności dzięki zapewnieniu sprawnego, efektywnego, inteligentnego i bezpiecznego nisko oraz </w:t>
      </w:r>
      <w:proofErr w:type="spellStart"/>
      <w:r w:rsidRPr="001D587F">
        <w:rPr>
          <w:sz w:val="24"/>
        </w:rPr>
        <w:t>zeroemisyjnego</w:t>
      </w:r>
      <w:proofErr w:type="spellEnd"/>
      <w:r w:rsidRPr="001D587F">
        <w:rPr>
          <w:sz w:val="24"/>
        </w:rPr>
        <w:t xml:space="preserve"> systemu transportu publicznego w miastach dostępnego dla wszystkich użytkowników (w tym również osób ze szczególnymi potrzebami).</w:t>
      </w:r>
    </w:p>
    <w:p w:rsidR="00325C86" w:rsidRDefault="00325C86" w:rsidP="007278A4">
      <w:pPr>
        <w:spacing w:line="259" w:lineRule="auto"/>
        <w:jc w:val="left"/>
        <w:sectPr w:rsidR="00325C86" w:rsidSect="00325C86">
          <w:headerReference w:type="even" r:id="rId82"/>
          <w:headerReference w:type="default" r:id="rId83"/>
          <w:pgSz w:w="23814" w:h="16840" w:orient="landscape" w:code="8"/>
          <w:pgMar w:top="1418" w:right="1418" w:bottom="1418" w:left="1418" w:header="709" w:footer="709" w:gutter="0"/>
          <w:cols w:space="708"/>
          <w:docGrid w:linePitch="360"/>
        </w:sectPr>
      </w:pPr>
    </w:p>
    <w:p w:rsidR="00C03A66" w:rsidRDefault="00292BDA" w:rsidP="001D587F">
      <w:pPr>
        <w:pStyle w:val="Nagwek3"/>
      </w:pPr>
      <w:bookmarkStart w:id="171" w:name="_Toc143673230"/>
      <w:r w:rsidRPr="002F3FDC">
        <w:t>IV.3.</w:t>
      </w:r>
      <w:r w:rsidR="00E36EE1" w:rsidRPr="002F3FDC">
        <w:t>3</w:t>
      </w:r>
      <w:r w:rsidR="006A0C47">
        <w:t xml:space="preserve"> </w:t>
      </w:r>
      <w:r w:rsidR="00C03A66" w:rsidRPr="002F3FDC">
        <w:t xml:space="preserve">Lista projektów podstawowych wybieranych w </w:t>
      </w:r>
      <w:r w:rsidR="00DE7417" w:rsidRPr="002F3FDC">
        <w:t>trybie</w:t>
      </w:r>
      <w:r w:rsidR="00C03A66" w:rsidRPr="002F3FDC">
        <w:t xml:space="preserve"> niekonkurencyjny</w:t>
      </w:r>
      <w:r w:rsidR="00DE7417" w:rsidRPr="002F3FDC">
        <w:t>m</w:t>
      </w:r>
      <w:r w:rsidR="00C03A66" w:rsidRPr="002F3FDC">
        <w:t xml:space="preserve"> finansowanych z </w:t>
      </w:r>
      <w:proofErr w:type="spellStart"/>
      <w:r w:rsidR="00C03A66" w:rsidRPr="002F3FDC">
        <w:t>FEnIKS</w:t>
      </w:r>
      <w:proofErr w:type="spellEnd"/>
      <w:r w:rsidR="00C03A66" w:rsidRPr="002F3FDC">
        <w:t xml:space="preserve"> 2021-2027</w:t>
      </w:r>
      <w:bookmarkEnd w:id="171"/>
    </w:p>
    <w:tbl>
      <w:tblPr>
        <w:tblStyle w:val="Tabela-Siatka"/>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Lista projektów podstawowych wybieranych w trybie niekonkurencyjnym finansowanych z FEnIKS 2021-2027"/>
        <w:tblDescription w:val="Lista projektów podstawowych wybieranych w trybie niekonkurencyjnym finansowanych z FEnIKS 2021-2027"/>
      </w:tblPr>
      <w:tblGrid>
        <w:gridCol w:w="13992"/>
      </w:tblGrid>
      <w:tr w:rsidR="001D587F" w:rsidRPr="001D587F" w:rsidTr="00F25E70">
        <w:trPr>
          <w:trHeight w:val="567"/>
          <w:tblHeader/>
          <w:jc w:val="center"/>
        </w:trPr>
        <w:tc>
          <w:tcPr>
            <w:tcW w:w="14218" w:type="dxa"/>
            <w:shd w:val="clear" w:color="auto" w:fill="F2F2F2"/>
            <w:vAlign w:val="center"/>
          </w:tcPr>
          <w:p w:rsidR="001D587F" w:rsidRPr="001D587F" w:rsidRDefault="001D587F" w:rsidP="006A0C47">
            <w:pPr>
              <w:spacing w:line="240" w:lineRule="auto"/>
              <w:jc w:val="left"/>
              <w:rPr>
                <w:rFonts w:cstheme="minorHAnsi"/>
                <w:b/>
                <w:sz w:val="24"/>
                <w:szCs w:val="24"/>
              </w:rPr>
            </w:pPr>
            <w:r w:rsidRPr="001D587F">
              <w:rPr>
                <w:b/>
                <w:sz w:val="24"/>
                <w:szCs w:val="24"/>
              </w:rPr>
              <w:t xml:space="preserve">Lista projektów podstawowych wybieranych w trybie niekonkurencyjnym finansowanych z </w:t>
            </w:r>
            <w:proofErr w:type="spellStart"/>
            <w:r w:rsidRPr="001D587F">
              <w:rPr>
                <w:b/>
                <w:sz w:val="24"/>
                <w:szCs w:val="24"/>
              </w:rPr>
              <w:t>FEnIKS</w:t>
            </w:r>
            <w:proofErr w:type="spellEnd"/>
            <w:r w:rsidRPr="001D587F">
              <w:rPr>
                <w:b/>
                <w:sz w:val="24"/>
                <w:szCs w:val="24"/>
              </w:rPr>
              <w:t xml:space="preserve"> 2021-2027</w:t>
            </w:r>
          </w:p>
        </w:tc>
      </w:tr>
      <w:tr w:rsidR="00775B4C" w:rsidRPr="001D587F" w:rsidTr="001D587F">
        <w:trPr>
          <w:trHeight w:val="567"/>
          <w:jc w:val="center"/>
        </w:trPr>
        <w:tc>
          <w:tcPr>
            <w:tcW w:w="14218" w:type="dxa"/>
            <w:shd w:val="clear" w:color="auto" w:fill="F2F2F2"/>
            <w:vAlign w:val="center"/>
          </w:tcPr>
          <w:p w:rsidR="00775B4C" w:rsidRPr="001D587F" w:rsidRDefault="00775B4C" w:rsidP="006A0C47">
            <w:pPr>
              <w:spacing w:line="240" w:lineRule="auto"/>
              <w:jc w:val="left"/>
              <w:rPr>
                <w:rFonts w:cstheme="minorHAnsi"/>
                <w:sz w:val="24"/>
                <w:szCs w:val="24"/>
              </w:rPr>
            </w:pPr>
            <w:r w:rsidRPr="001D587F">
              <w:rPr>
                <w:rFonts w:cstheme="minorHAnsi"/>
                <w:sz w:val="24"/>
                <w:szCs w:val="24"/>
              </w:rPr>
              <w:t>Wiązka projektów 1: Poprawa jakości powietrza we Wrocławskim Obszarze Funkcjonalnym poprzez zakup taboru szynowego i autobusowego</w:t>
            </w:r>
          </w:p>
        </w:tc>
      </w:tr>
      <w:tr w:rsidR="00775B4C" w:rsidRPr="001D587F" w:rsidTr="001D587F">
        <w:trPr>
          <w:jc w:val="center"/>
        </w:trPr>
        <w:tc>
          <w:tcPr>
            <w:tcW w:w="14218" w:type="dxa"/>
          </w:tcPr>
          <w:p w:rsidR="00775B4C" w:rsidRPr="001D587F" w:rsidRDefault="00775B4C" w:rsidP="001579AC">
            <w:pPr>
              <w:pStyle w:val="Akapitzlist"/>
              <w:numPr>
                <w:ilvl w:val="0"/>
                <w:numId w:val="39"/>
              </w:numPr>
              <w:spacing w:line="240" w:lineRule="auto"/>
              <w:jc w:val="left"/>
              <w:rPr>
                <w:rFonts w:cstheme="minorHAnsi"/>
                <w:sz w:val="24"/>
                <w:szCs w:val="24"/>
              </w:rPr>
            </w:pPr>
            <w:r w:rsidRPr="001D587F">
              <w:rPr>
                <w:rFonts w:cstheme="minorHAnsi"/>
                <w:sz w:val="24"/>
                <w:szCs w:val="24"/>
              </w:rPr>
              <w:t xml:space="preserve">Zakup elektrycznych autobusów oraz instalacji do dystrybucji nośników energii dla </w:t>
            </w:r>
            <w:proofErr w:type="spellStart"/>
            <w:r w:rsidRPr="001D587F">
              <w:rPr>
                <w:rFonts w:cstheme="minorHAnsi"/>
                <w:sz w:val="24"/>
                <w:szCs w:val="24"/>
              </w:rPr>
              <w:t>zeroemisyjnego</w:t>
            </w:r>
            <w:proofErr w:type="spellEnd"/>
            <w:r w:rsidRPr="001D587F">
              <w:rPr>
                <w:rFonts w:cstheme="minorHAnsi"/>
                <w:sz w:val="24"/>
                <w:szCs w:val="24"/>
              </w:rPr>
              <w:t xml:space="preserve"> transportu na potrzeby obsługi publicznego transportu zbiorowe</w:t>
            </w:r>
            <w:r w:rsidR="00E60C99" w:rsidRPr="001D587F">
              <w:rPr>
                <w:rFonts w:cstheme="minorHAnsi"/>
                <w:sz w:val="24"/>
                <w:szCs w:val="24"/>
              </w:rPr>
              <w:t>go Oławskich Przewozów Gminno-</w:t>
            </w:r>
            <w:r w:rsidRPr="001D587F">
              <w:rPr>
                <w:rFonts w:cstheme="minorHAnsi"/>
                <w:sz w:val="24"/>
                <w:szCs w:val="24"/>
              </w:rPr>
              <w:t>Powiatowych</w:t>
            </w:r>
          </w:p>
          <w:p w:rsidR="00775B4C" w:rsidRPr="001D587F" w:rsidRDefault="00775B4C" w:rsidP="001579AC">
            <w:pPr>
              <w:pStyle w:val="Akapitzlist"/>
              <w:numPr>
                <w:ilvl w:val="0"/>
                <w:numId w:val="39"/>
              </w:numPr>
              <w:spacing w:line="240" w:lineRule="auto"/>
              <w:jc w:val="left"/>
              <w:rPr>
                <w:rFonts w:cstheme="minorHAnsi"/>
                <w:sz w:val="24"/>
                <w:szCs w:val="24"/>
              </w:rPr>
            </w:pPr>
            <w:r w:rsidRPr="001D587F">
              <w:rPr>
                <w:rFonts w:cstheme="minorHAnsi"/>
                <w:sz w:val="24"/>
                <w:szCs w:val="24"/>
              </w:rPr>
              <w:t>Zakup ekologicznych autobusów dla Gminy Miękinia</w:t>
            </w:r>
          </w:p>
          <w:p w:rsidR="00775B4C" w:rsidRPr="001D587F" w:rsidRDefault="00775B4C" w:rsidP="001579AC">
            <w:pPr>
              <w:pStyle w:val="Akapitzlist"/>
              <w:numPr>
                <w:ilvl w:val="0"/>
                <w:numId w:val="39"/>
              </w:numPr>
              <w:spacing w:line="240" w:lineRule="auto"/>
              <w:jc w:val="left"/>
              <w:rPr>
                <w:rFonts w:cstheme="minorHAnsi"/>
                <w:sz w:val="24"/>
                <w:szCs w:val="24"/>
              </w:rPr>
            </w:pPr>
            <w:r w:rsidRPr="001D587F">
              <w:rPr>
                <w:rFonts w:cstheme="minorHAnsi"/>
                <w:sz w:val="24"/>
                <w:szCs w:val="24"/>
              </w:rPr>
              <w:t>Zakup taboru tramwajowego dla Wrocławia – etap I</w:t>
            </w:r>
          </w:p>
        </w:tc>
      </w:tr>
      <w:tr w:rsidR="00775B4C" w:rsidRPr="001D587F" w:rsidTr="001D587F">
        <w:trPr>
          <w:trHeight w:val="567"/>
          <w:jc w:val="center"/>
        </w:trPr>
        <w:tc>
          <w:tcPr>
            <w:tcW w:w="14218" w:type="dxa"/>
            <w:shd w:val="clear" w:color="auto" w:fill="F2F2F2"/>
            <w:vAlign w:val="center"/>
          </w:tcPr>
          <w:p w:rsidR="00775B4C" w:rsidRPr="001D587F" w:rsidRDefault="00775B4C" w:rsidP="006A0C47">
            <w:pPr>
              <w:spacing w:line="240" w:lineRule="auto"/>
              <w:jc w:val="left"/>
              <w:rPr>
                <w:rFonts w:cstheme="minorHAnsi"/>
                <w:sz w:val="24"/>
                <w:szCs w:val="24"/>
              </w:rPr>
            </w:pPr>
            <w:r w:rsidRPr="001D587F">
              <w:rPr>
                <w:rFonts w:cstheme="minorHAnsi"/>
                <w:sz w:val="24"/>
                <w:szCs w:val="24"/>
              </w:rPr>
              <w:t>Wiązka projektów 2: Rozwój zrównoważonego systemu transportowego na terenie Wrocławskiego Obszaru Funkcjonalnego poprzez budowę węzłów przesiadkowych</w:t>
            </w:r>
          </w:p>
        </w:tc>
      </w:tr>
      <w:tr w:rsidR="00775B4C" w:rsidRPr="001D587F" w:rsidTr="001D587F">
        <w:trPr>
          <w:jc w:val="center"/>
        </w:trPr>
        <w:tc>
          <w:tcPr>
            <w:tcW w:w="14218" w:type="dxa"/>
          </w:tcPr>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i rozbudowa parkingów P&amp;R na terenie Gminy Miasta Oleśnicy</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Parkingu Parkuj i Jedź w Pęgowie – etap 2</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Park&amp;Ride i Bike&amp;Ride w Krynicznie wraz z ciągiem pieszo-rowerowym przy drodze powiatowej nr 1368D relacji Kryniczno-Malin, gm. Wisznia Mała</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infrastruktury przesiadkowej P&amp;R oraz B&amp;R  przy Dworcu Kolejowym w Oławie</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parkingów typu Park&amp;Ride oraz Bike&amp;Ride wraz z ciągami pieszo-rowerowymi i infrastrukturą towarzyszącą na terenie Gminy Kobierzyce</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Rozbudowa systemu przesiadkowego P&amp;R na terenie Gminy Żórawina</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P&amp;R na terenie gminy Sobótka - etap II</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Budowa obiektów  Park&amp;Ride przy dworcach kolejowych na trasie Wrocław – Oleśnica w miejscowościach Długołęka i Borowa - Integracja systemu parkingów z systemami transportu kolejowego, drogowego i publicznego</w:t>
            </w:r>
          </w:p>
          <w:p w:rsidR="00775B4C" w:rsidRPr="001D587F" w:rsidRDefault="00775B4C" w:rsidP="001579AC">
            <w:pPr>
              <w:pStyle w:val="Akapitzlist"/>
              <w:numPr>
                <w:ilvl w:val="0"/>
                <w:numId w:val="40"/>
              </w:numPr>
              <w:spacing w:line="240" w:lineRule="auto"/>
              <w:jc w:val="left"/>
              <w:rPr>
                <w:rFonts w:cstheme="minorHAnsi"/>
                <w:sz w:val="24"/>
                <w:szCs w:val="24"/>
              </w:rPr>
            </w:pPr>
            <w:r w:rsidRPr="001D587F">
              <w:rPr>
                <w:rFonts w:cstheme="minorHAnsi"/>
                <w:sz w:val="24"/>
                <w:szCs w:val="24"/>
              </w:rPr>
              <w:t>II etap rozbudowy multimodalnych centrów przesiadkowych oraz budowy systemu parkingów P&amp;R wraz z dostosowaniem infrastruktury na terenie gminy Siechnice</w:t>
            </w:r>
          </w:p>
        </w:tc>
      </w:tr>
      <w:tr w:rsidR="00775B4C" w:rsidRPr="001D587F" w:rsidTr="001D587F">
        <w:trPr>
          <w:trHeight w:val="567"/>
          <w:jc w:val="center"/>
        </w:trPr>
        <w:tc>
          <w:tcPr>
            <w:tcW w:w="14218" w:type="dxa"/>
            <w:shd w:val="clear" w:color="auto" w:fill="F2F2F2"/>
            <w:vAlign w:val="center"/>
          </w:tcPr>
          <w:p w:rsidR="00775B4C" w:rsidRPr="001D587F" w:rsidRDefault="00775B4C" w:rsidP="006A0C47">
            <w:pPr>
              <w:spacing w:line="240" w:lineRule="auto"/>
              <w:jc w:val="left"/>
              <w:rPr>
                <w:rFonts w:cstheme="minorHAnsi"/>
                <w:color w:val="000000" w:themeColor="text1"/>
                <w:sz w:val="24"/>
                <w:szCs w:val="24"/>
              </w:rPr>
            </w:pPr>
            <w:r w:rsidRPr="001D587F">
              <w:rPr>
                <w:rFonts w:cstheme="minorHAnsi"/>
                <w:bCs/>
                <w:color w:val="000000" w:themeColor="text1"/>
                <w:sz w:val="24"/>
                <w:szCs w:val="24"/>
              </w:rPr>
              <w:t>Wiązka projektów 3: Rozwój zrównoważonego systemu transportowego na terenie Wrocławskiego Obszaru Funkcjonalnego poprzez budowę, rozbudowę i przebudowę infrastruktury transportowej oraz rozwój zintegrowanego systemu zarządzania ruchem ITS</w:t>
            </w:r>
          </w:p>
        </w:tc>
      </w:tr>
      <w:tr w:rsidR="00775B4C" w:rsidRPr="001D587F" w:rsidTr="001D587F">
        <w:trPr>
          <w:jc w:val="center"/>
        </w:trPr>
        <w:tc>
          <w:tcPr>
            <w:tcW w:w="14218" w:type="dxa"/>
          </w:tcPr>
          <w:p w:rsidR="00775B4C" w:rsidRPr="001D587F" w:rsidRDefault="00775B4C" w:rsidP="001579AC">
            <w:pPr>
              <w:pStyle w:val="Akapitzlist"/>
              <w:numPr>
                <w:ilvl w:val="0"/>
                <w:numId w:val="41"/>
              </w:numPr>
              <w:tabs>
                <w:tab w:val="left" w:pos="1671"/>
              </w:tabs>
              <w:spacing w:line="240" w:lineRule="auto"/>
              <w:jc w:val="left"/>
              <w:rPr>
                <w:rFonts w:cstheme="minorHAnsi"/>
                <w:color w:val="000000" w:themeColor="text1"/>
                <w:sz w:val="24"/>
                <w:szCs w:val="24"/>
              </w:rPr>
            </w:pPr>
            <w:r w:rsidRPr="001D587F">
              <w:rPr>
                <w:rFonts w:cstheme="minorHAnsi"/>
                <w:color w:val="000000" w:themeColor="text1"/>
                <w:sz w:val="24"/>
                <w:szCs w:val="24"/>
              </w:rPr>
              <w:t xml:space="preserve">Budowa trasy tramwajowej na osiedle </w:t>
            </w:r>
            <w:proofErr w:type="spellStart"/>
            <w:r w:rsidRPr="001D587F">
              <w:rPr>
                <w:rFonts w:cstheme="minorHAnsi"/>
                <w:color w:val="000000" w:themeColor="text1"/>
                <w:sz w:val="24"/>
                <w:szCs w:val="24"/>
              </w:rPr>
              <w:t>Swojczyce</w:t>
            </w:r>
            <w:proofErr w:type="spellEnd"/>
            <w:r w:rsidRPr="001D587F">
              <w:rPr>
                <w:rFonts w:cstheme="minorHAnsi"/>
                <w:color w:val="000000" w:themeColor="text1"/>
                <w:sz w:val="24"/>
                <w:szCs w:val="24"/>
              </w:rPr>
              <w:t xml:space="preserve"> wraz z budową nowych mostów Chrobrego we Wrocławiu</w:t>
            </w:r>
          </w:p>
          <w:p w:rsidR="00775B4C" w:rsidRPr="001D587F" w:rsidRDefault="00775B4C" w:rsidP="001579AC">
            <w:pPr>
              <w:pStyle w:val="Akapitzlist"/>
              <w:numPr>
                <w:ilvl w:val="0"/>
                <w:numId w:val="41"/>
              </w:numPr>
              <w:tabs>
                <w:tab w:val="left" w:pos="1671"/>
              </w:tabs>
              <w:spacing w:line="240" w:lineRule="auto"/>
              <w:jc w:val="left"/>
              <w:rPr>
                <w:rFonts w:cstheme="minorHAnsi"/>
                <w:color w:val="000000" w:themeColor="text1"/>
                <w:sz w:val="24"/>
                <w:szCs w:val="24"/>
              </w:rPr>
            </w:pPr>
            <w:r w:rsidRPr="001D587F">
              <w:rPr>
                <w:rFonts w:cstheme="minorHAnsi"/>
                <w:color w:val="000000" w:themeColor="text1"/>
                <w:sz w:val="24"/>
                <w:szCs w:val="24"/>
              </w:rPr>
              <w:t>Rozwój zrównoważonego systemu transportowego we Wrocławiu – etap I</w:t>
            </w:r>
          </w:p>
        </w:tc>
      </w:tr>
    </w:tbl>
    <w:p w:rsidR="00605268" w:rsidRDefault="00605268" w:rsidP="00D40250">
      <w:pPr>
        <w:rPr>
          <w:rFonts w:cstheme="minorHAnsi"/>
          <w:sz w:val="20"/>
          <w:szCs w:val="20"/>
        </w:rPr>
        <w:sectPr w:rsidR="00605268" w:rsidSect="005A11FB">
          <w:footerReference w:type="default" r:id="rId84"/>
          <w:pgSz w:w="16838" w:h="11906" w:orient="landscape" w:code="9"/>
          <w:pgMar w:top="1418" w:right="1418" w:bottom="1418" w:left="1418" w:header="709" w:footer="709" w:gutter="0"/>
          <w:cols w:space="708"/>
          <w:docGrid w:linePitch="360"/>
        </w:sect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9D9D9" w:themeFill="background1" w:themeFillShade="D9"/>
        <w:tblCellMar>
          <w:left w:w="70" w:type="dxa"/>
          <w:right w:w="70" w:type="dxa"/>
        </w:tblCellMar>
        <w:tblLook w:val="04A0" w:firstRow="1" w:lastRow="0" w:firstColumn="1" w:lastColumn="0" w:noHBand="0" w:noVBand="1"/>
        <w:tblCaption w:val="Lista projektów podstawowych wybieranych w trybie niekonkurencyjnym finansowanych z FEnIKS 2021-2027"/>
        <w:tblDescription w:val="Lista projektów podstawowych wybieranych w trybie niekonkurencyjnym finansowanych z FEnIKS 2021-2027"/>
      </w:tblPr>
      <w:tblGrid>
        <w:gridCol w:w="20968"/>
      </w:tblGrid>
      <w:tr w:rsidR="00C542DB" w:rsidRPr="001D587F" w:rsidTr="001D587F">
        <w:trPr>
          <w:trHeight w:val="832"/>
        </w:trPr>
        <w:tc>
          <w:tcPr>
            <w:tcW w:w="20968" w:type="dxa"/>
            <w:shd w:val="clear" w:color="auto" w:fill="D9D9D9" w:themeFill="background1" w:themeFillShade="D9"/>
            <w:vAlign w:val="center"/>
          </w:tcPr>
          <w:p w:rsidR="00C542DB" w:rsidRPr="001D587F" w:rsidRDefault="00C542DB" w:rsidP="001D587F">
            <w:pPr>
              <w:spacing w:after="0" w:line="240" w:lineRule="auto"/>
              <w:jc w:val="left"/>
              <w:rPr>
                <w:rFonts w:eastAsia="Times New Roman" w:cstheme="minorHAnsi"/>
                <w:b/>
                <w:bCs/>
                <w:color w:val="000000"/>
                <w:lang w:eastAsia="pl-PL"/>
              </w:rPr>
            </w:pPr>
            <w:r w:rsidRPr="001D587F">
              <w:rPr>
                <w:rFonts w:eastAsia="Times New Roman" w:cstheme="minorHAnsi"/>
                <w:b/>
                <w:bCs/>
                <w:color w:val="000000"/>
                <w:lang w:eastAsia="pl-PL"/>
              </w:rPr>
              <w:t xml:space="preserve">Cel szczegółowy: 2.8 Wspieranie zrównoważonej multimodalnej mobilności miejskiej jako elementu transformacji w kierunku gospodarki </w:t>
            </w:r>
            <w:proofErr w:type="spellStart"/>
            <w:r w:rsidRPr="001D587F">
              <w:rPr>
                <w:rFonts w:eastAsia="Times New Roman" w:cstheme="minorHAnsi"/>
                <w:b/>
                <w:bCs/>
                <w:color w:val="000000"/>
                <w:lang w:eastAsia="pl-PL"/>
              </w:rPr>
              <w:t>zeroemisyjnej</w:t>
            </w:r>
            <w:proofErr w:type="spellEnd"/>
          </w:p>
        </w:tc>
      </w:tr>
    </w:tbl>
    <w:p w:rsidR="001D587F" w:rsidRPr="001D587F" w:rsidRDefault="001D587F">
      <w:pPr>
        <w:rPr>
          <w:sz w:val="2"/>
          <w:szCs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Lista projektów podstawowych wybieranych w trybie niekonkurencyjnym finansowanych z FEnIKS 2021-2027"/>
        <w:tblDescription w:val="Lista projektów podstawowych wybieranych w trybie niekonkurencyjnym finansowanych z FEnIKS 2021-2027"/>
      </w:tblPr>
      <w:tblGrid>
        <w:gridCol w:w="547"/>
        <w:gridCol w:w="1674"/>
        <w:gridCol w:w="2399"/>
        <w:gridCol w:w="1740"/>
        <w:gridCol w:w="3223"/>
        <w:gridCol w:w="1729"/>
        <w:gridCol w:w="1684"/>
        <w:gridCol w:w="1661"/>
        <w:gridCol w:w="1661"/>
        <w:gridCol w:w="2038"/>
        <w:gridCol w:w="2612"/>
      </w:tblGrid>
      <w:tr w:rsidR="001D587F" w:rsidRPr="001D587F" w:rsidTr="001D587F">
        <w:trPr>
          <w:trHeight w:val="1152"/>
          <w:tblHeader/>
        </w:trPr>
        <w:tc>
          <w:tcPr>
            <w:tcW w:w="547"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L.p.</w:t>
            </w:r>
          </w:p>
        </w:tc>
        <w:tc>
          <w:tcPr>
            <w:tcW w:w="1674"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 xml:space="preserve">Priorytet/ Działanie zgodnie z SZOP </w:t>
            </w:r>
            <w:proofErr w:type="spellStart"/>
            <w:r w:rsidRPr="001D587F">
              <w:rPr>
                <w:rFonts w:ascii="Calibri" w:eastAsia="Times New Roman" w:hAnsi="Calibri" w:cs="Calibri"/>
                <w:b/>
                <w:bCs/>
                <w:color w:val="000000"/>
                <w:lang w:eastAsia="pl-PL"/>
              </w:rPr>
              <w:t>FEnIKS</w:t>
            </w:r>
            <w:proofErr w:type="spellEnd"/>
            <w:r w:rsidRPr="001D587F">
              <w:rPr>
                <w:rFonts w:ascii="Calibri" w:eastAsia="Times New Roman" w:hAnsi="Calibri" w:cs="Calibri"/>
                <w:b/>
                <w:bCs/>
                <w:color w:val="000000"/>
                <w:lang w:eastAsia="pl-PL"/>
              </w:rPr>
              <w:t xml:space="preserve"> 2021-2027 </w:t>
            </w:r>
          </w:p>
        </w:tc>
        <w:tc>
          <w:tcPr>
            <w:tcW w:w="2399"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Tytuł projektu</w:t>
            </w:r>
          </w:p>
        </w:tc>
        <w:tc>
          <w:tcPr>
            <w:tcW w:w="1740"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 xml:space="preserve">Wnioskodawca </w:t>
            </w:r>
          </w:p>
        </w:tc>
        <w:tc>
          <w:tcPr>
            <w:tcW w:w="3223"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Cel projektu*</w:t>
            </w:r>
          </w:p>
        </w:tc>
        <w:tc>
          <w:tcPr>
            <w:tcW w:w="1729"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Szacunkowy koszt całkowity w mln PLN</w:t>
            </w:r>
          </w:p>
        </w:tc>
        <w:tc>
          <w:tcPr>
            <w:tcW w:w="1684"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Szacunkowy kwota dofinansowania w mln PLN**</w:t>
            </w:r>
          </w:p>
        </w:tc>
        <w:tc>
          <w:tcPr>
            <w:tcW w:w="1661"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Przewidywany termin rozpoczęcia projektu</w:t>
            </w:r>
          </w:p>
        </w:tc>
        <w:tc>
          <w:tcPr>
            <w:tcW w:w="1661"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Przewidywany termin zakończenia projektu</w:t>
            </w:r>
          </w:p>
        </w:tc>
        <w:tc>
          <w:tcPr>
            <w:tcW w:w="2038"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Przewidywany termin złożenia wniosku o dofinansowanie (kwartał/rok)</w:t>
            </w:r>
          </w:p>
        </w:tc>
        <w:tc>
          <w:tcPr>
            <w:tcW w:w="2612" w:type="dxa"/>
            <w:shd w:val="clear" w:color="000000" w:fill="F2F2F2"/>
            <w:vAlign w:val="center"/>
            <w:hideMark/>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Numer i nazwa wiązki, do której przyporządkowano projekt</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Budowa i rozbudowa parkingów P&amp;R na terenie Gminy Miasta Oleśnicy</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Miasto Oleśnica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poprawa dostępności komunikacyjnej, w tym dla osób 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3 690 000,00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2 073 170,73</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III kw. 2022</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2024</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Budowa Parkingu Parkuj </w:t>
            </w:r>
            <w:r w:rsidRPr="001D587F">
              <w:rPr>
                <w:rFonts w:ascii="Calibri" w:eastAsia="Times New Roman" w:hAnsi="Calibri" w:cs="Calibri"/>
                <w:color w:val="000000"/>
                <w:lang w:eastAsia="pl-PL"/>
              </w:rPr>
              <w:br/>
              <w:t>i Jedź w Pęgowie – etap 2</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Oborniki Śląskie</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poprawa dostępności komunikacyjnej, w tym dla osób 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1 915 000,00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1 323 373,98</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2024</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2025</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3</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Budowa Park&amp;Ride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i Bike&amp;Ride w Krynicznie wraz z ciągiem pieszo-rowerowym przy drodze powiatowej nr 1368D relacji Kryniczno-Malin, gm. Wisznia Mała</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Wisznia Mała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poprawa dostępności komunikacyjnej, w tym dla osób 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6 918 750,00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4 781 250,00</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 IV kw. 2023</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III kw. 2025</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4</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Budowa infrastruktury przesiadkowej P&amp;R oraz B&amp;R  przy Dworcu Kolejowym w Oławie</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Miasto Oława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7 380 000,00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5 100 000,00</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 kw. 2025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 I kw. 2026</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5</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Zakup elektrycznych autobusów oraz instalacji do dystrybucji nośników energii dla </w:t>
            </w:r>
            <w:proofErr w:type="spellStart"/>
            <w:r w:rsidRPr="001D587F">
              <w:rPr>
                <w:rFonts w:ascii="Calibri" w:eastAsia="Times New Roman" w:hAnsi="Calibri" w:cs="Calibri"/>
                <w:color w:val="000000"/>
                <w:lang w:eastAsia="pl-PL"/>
              </w:rPr>
              <w:t>zeroemisyjnego</w:t>
            </w:r>
            <w:proofErr w:type="spellEnd"/>
            <w:r w:rsidRPr="001D587F">
              <w:rPr>
                <w:rFonts w:ascii="Calibri" w:eastAsia="Times New Roman" w:hAnsi="Calibri" w:cs="Calibri"/>
                <w:color w:val="000000"/>
                <w:lang w:eastAsia="pl-PL"/>
              </w:rPr>
              <w:t xml:space="preserve"> transportu na potrzeby obsługi publicznego transportu zbiorowe</w:t>
            </w:r>
            <w:r w:rsidR="002A5957" w:rsidRPr="001D587F">
              <w:rPr>
                <w:rFonts w:ascii="Calibri" w:eastAsia="Times New Roman" w:hAnsi="Calibri" w:cs="Calibri"/>
                <w:color w:val="000000"/>
                <w:lang w:eastAsia="pl-PL"/>
              </w:rPr>
              <w:t>go Oławskich Przewozów Gminno-</w:t>
            </w:r>
            <w:r w:rsidRPr="001D587F">
              <w:rPr>
                <w:rFonts w:ascii="Calibri" w:eastAsia="Times New Roman" w:hAnsi="Calibri" w:cs="Calibri"/>
                <w:color w:val="000000"/>
                <w:lang w:eastAsia="pl-PL"/>
              </w:rPr>
              <w:t>Powiatowych</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Związek Powiatowo – Gminny „Oławskie Przewozy Gminno-Powiatowe”</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24 000 000,00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16 000 000,00</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2026</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6</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Zakup ekologicznych autobusów dla Gminy Miękinia</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Miękinia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15 094 553,80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10 431 195,72</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 kw. 2026</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2026</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7</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Budowa parkingów typu Park&amp;Ride oraz Bike&amp;Ride wraz z ciągami pieszo-rowerowymi i infrastrukturą towarzyszącą na terenie Gminy Kobierzyce</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Kobierzyce</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7 300 000,00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5 044 715,45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 I kw. 2025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 II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8</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Rozbudowa systemu przesiadkowego P&amp;R na terenie Gminy Żórawina</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Żórawina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6 500 000,00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4 491 869,92</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2024</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III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9</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Budowa P&amp;R na terenie gminy Sobótka - etap II</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Sobótka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3 000 000,00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2 073 170,73</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III kw. 2025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 III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10</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Budowa trasy tramwajowej na osiedle </w:t>
            </w:r>
            <w:proofErr w:type="spellStart"/>
            <w:r w:rsidRPr="001D587F">
              <w:rPr>
                <w:rFonts w:ascii="Calibri" w:eastAsia="Times New Roman" w:hAnsi="Calibri" w:cs="Calibri"/>
                <w:color w:val="000000"/>
                <w:lang w:eastAsia="pl-PL"/>
              </w:rPr>
              <w:t>Swojczyce</w:t>
            </w:r>
            <w:proofErr w:type="spellEnd"/>
            <w:r w:rsidRPr="001D587F">
              <w:rPr>
                <w:rFonts w:ascii="Calibri" w:eastAsia="Times New Roman" w:hAnsi="Calibri" w:cs="Calibri"/>
                <w:color w:val="000000"/>
                <w:lang w:eastAsia="pl-PL"/>
              </w:rPr>
              <w:t xml:space="preserve"> wraz z budową nowych mostów Chrobrego we Wrocławiu</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Wrocław</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221 700 000,00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153 207 317,07</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 kw.  2021</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Wiązka projektów 3: Rozwój zrównoważonego systemu transportowego na terenie Wrocławskiego Obszaru Funkcjonalnego poprzez budowę, rozbudowę </w:t>
            </w:r>
            <w:r w:rsidR="006A0C47"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i przebudowę infrastruktury transportowej oraz rozwój zintegrowanego systemu zarządzania ruchem ITS</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11</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Zakup taboru tramwajowego dla Wrocławia – etap I</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MPK Sp. z o.o.</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247 147 959,00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166 183 699,77</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2021</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Wiązka projektów 1: Poprawa jakości powietrza we Wrocławskim Obszarze Funkcjonalnym poprzez zakup taboru szynowego </w:t>
            </w:r>
            <w:r w:rsidR="006A0C47"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i autobusowego</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12</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Rozwój zrównoważonego systemu transportowego we Wrocławiu – etap I</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Wrocław</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87 900 000,00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60 743 902,44</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 kw. 2022</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Wiązka projektów 3: Rozwój zrównoważonego systemu transportowego na terenie Wrocławskiego Obszaru Funkcjonalnego poprzez budowę, rozbudowę </w:t>
            </w:r>
            <w:r w:rsidR="006A0C47"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i przebudowę infrastruktury transportowej oraz rozwój zintegrowanego systemu zarządzania ruchem ITS</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13</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xml:space="preserve">Budowa obiektów  Park&amp;Ride przy dworcach kolejowych na trasie Wrocław – Oleśnica </w:t>
            </w:r>
            <w:r w:rsidRPr="001D587F">
              <w:rPr>
                <w:rFonts w:ascii="Calibri" w:eastAsia="Times New Roman" w:hAnsi="Calibri" w:cs="Calibri"/>
                <w:color w:val="000000"/>
                <w:lang w:eastAsia="pl-PL"/>
              </w:rPr>
              <w:br/>
              <w:t xml:space="preserve">w miejscowościach Długołęka i Borowa - Integracja systemu parkingów z systemami transportu kolejowego, drogowego </w:t>
            </w:r>
            <w:r w:rsidRPr="001D587F">
              <w:rPr>
                <w:rFonts w:ascii="Calibri" w:eastAsia="Times New Roman" w:hAnsi="Calibri" w:cs="Calibri"/>
                <w:color w:val="000000"/>
                <w:lang w:eastAsia="pl-PL"/>
              </w:rPr>
              <w:br/>
              <w:t>i publicznego</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Długołęka</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6 150 000,00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4 250 000,00</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2025</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IV kw. 2027</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C542DB" w:rsidRPr="001D587F" w:rsidTr="001D587F">
        <w:trPr>
          <w:trHeight w:val="3456"/>
        </w:trPr>
        <w:tc>
          <w:tcPr>
            <w:tcW w:w="547"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14</w:t>
            </w:r>
          </w:p>
        </w:tc>
        <w:tc>
          <w:tcPr>
            <w:tcW w:w="167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FENX.03 Transport miejski / FENX.03.01 Transport miejski</w:t>
            </w:r>
          </w:p>
        </w:tc>
        <w:tc>
          <w:tcPr>
            <w:tcW w:w="239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etap rozbudowy multimodalnych centrów przesiadkowych oraz budowy systemu parkingów P&amp;R wraz z dostosowaniem infrastruktury na terenie gminy Siechnice</w:t>
            </w:r>
          </w:p>
        </w:tc>
        <w:tc>
          <w:tcPr>
            <w:tcW w:w="1740"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Gmina Siechnice</w:t>
            </w:r>
          </w:p>
        </w:tc>
        <w:tc>
          <w:tcPr>
            <w:tcW w:w="3223" w:type="dxa"/>
            <w:shd w:val="clear" w:color="auto" w:fill="auto"/>
            <w:vAlign w:val="center"/>
            <w:hideMark/>
          </w:tcPr>
          <w:p w:rsidR="00A1431D"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 ograniczenie szkodliwego wpływu transportu na środowisko naturalne</w:t>
            </w:r>
            <w:r w:rsidRPr="001D587F">
              <w:rPr>
                <w:rFonts w:ascii="Calibri" w:eastAsia="Times New Roman" w:hAnsi="Calibri" w:cs="Calibri"/>
                <w:color w:val="000000"/>
                <w:lang w:eastAsia="pl-PL"/>
              </w:rPr>
              <w:br/>
              <w:t xml:space="preserve">• poprawa dostępności komunikacyjnej, w tym dla osób </w:t>
            </w:r>
            <w:r w:rsidR="00CF1B43" w:rsidRPr="001D587F">
              <w:rPr>
                <w:rFonts w:ascii="Calibri" w:eastAsia="Times New Roman" w:hAnsi="Calibri" w:cs="Calibri"/>
                <w:color w:val="000000"/>
                <w:lang w:eastAsia="pl-PL"/>
              </w:rPr>
              <w:br/>
            </w:r>
            <w:r w:rsidRPr="001D587F">
              <w:rPr>
                <w:rFonts w:ascii="Calibri" w:eastAsia="Times New Roman" w:hAnsi="Calibri" w:cs="Calibri"/>
                <w:color w:val="000000"/>
                <w:lang w:eastAsia="pl-PL"/>
              </w:rPr>
              <w:t>ze szczególnymi potrzebami</w:t>
            </w:r>
          </w:p>
          <w:p w:rsidR="00C542DB" w:rsidRPr="001D587F" w:rsidRDefault="00C542DB" w:rsidP="00A1431D">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na zasadzie równości z innymi użytkownikami</w:t>
            </w:r>
            <w:r w:rsidRPr="001D587F">
              <w:rPr>
                <w:rFonts w:ascii="Calibri" w:eastAsia="Times New Roman" w:hAnsi="Calibri" w:cs="Calibri"/>
                <w:color w:val="000000"/>
                <w:lang w:eastAsia="pl-PL"/>
              </w:rPr>
              <w:br/>
              <w:t>• podniesienie jakości życia mieszkańców, poprzez podejście zorientowane na możliwości</w:t>
            </w:r>
            <w:r w:rsidRPr="001D587F">
              <w:rPr>
                <w:rFonts w:ascii="Calibri" w:eastAsia="Times New Roman" w:hAnsi="Calibri" w:cs="Calibri"/>
                <w:color w:val="000000"/>
                <w:lang w:eastAsia="pl-PL"/>
              </w:rPr>
              <w:br/>
              <w:t>• podnoszenie świadomości środowiskowej społeczeństwa</w:t>
            </w:r>
          </w:p>
        </w:tc>
        <w:tc>
          <w:tcPr>
            <w:tcW w:w="1729"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20 800 000,00</w:t>
            </w:r>
          </w:p>
        </w:tc>
        <w:tc>
          <w:tcPr>
            <w:tcW w:w="1684"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14 296 334,19</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II kw. 2024</w:t>
            </w:r>
          </w:p>
        </w:tc>
        <w:tc>
          <w:tcPr>
            <w:tcW w:w="1661"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I kw. 2029</w:t>
            </w:r>
          </w:p>
        </w:tc>
        <w:tc>
          <w:tcPr>
            <w:tcW w:w="2038"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do 30.06.2024 r.</w:t>
            </w:r>
          </w:p>
        </w:tc>
        <w:tc>
          <w:tcPr>
            <w:tcW w:w="2612" w:type="dxa"/>
            <w:shd w:val="clear" w:color="auto" w:fill="auto"/>
            <w:vAlign w:val="center"/>
            <w:hideMark/>
          </w:tcPr>
          <w:p w:rsidR="00C542DB" w:rsidRPr="001D587F" w:rsidRDefault="00C542DB"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1D587F" w:rsidRPr="001D587F" w:rsidTr="001D587F">
        <w:trPr>
          <w:trHeight w:val="1191"/>
        </w:trPr>
        <w:tc>
          <w:tcPr>
            <w:tcW w:w="547"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1674"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2399"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1740"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3223"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r w:rsidRPr="001D587F">
              <w:rPr>
                <w:rFonts w:ascii="Calibri" w:eastAsia="Times New Roman" w:hAnsi="Calibri" w:cs="Calibri"/>
                <w:b/>
                <w:bCs/>
                <w:color w:val="000000"/>
                <w:lang w:eastAsia="pl-PL"/>
              </w:rPr>
              <w:t>SUMA PROJEKTÓW W CELU SZCZEGÓŁOWYM 2.8:</w:t>
            </w:r>
          </w:p>
        </w:tc>
        <w:tc>
          <w:tcPr>
            <w:tcW w:w="1729" w:type="dxa"/>
            <w:shd w:val="clear" w:color="auto" w:fill="auto"/>
            <w:vAlign w:val="center"/>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659 496 262,80</w:t>
            </w:r>
          </w:p>
        </w:tc>
        <w:tc>
          <w:tcPr>
            <w:tcW w:w="1684" w:type="dxa"/>
            <w:shd w:val="clear" w:color="auto" w:fill="auto"/>
            <w:vAlign w:val="center"/>
          </w:tcPr>
          <w:p w:rsidR="001D587F" w:rsidRPr="001D587F" w:rsidRDefault="001D587F" w:rsidP="001D587F">
            <w:pPr>
              <w:spacing w:after="0" w:line="240" w:lineRule="auto"/>
              <w:jc w:val="left"/>
              <w:rPr>
                <w:rFonts w:ascii="Calibri" w:eastAsia="Times New Roman" w:hAnsi="Calibri" w:cs="Calibri"/>
                <w:b/>
                <w:bCs/>
                <w:color w:val="000000"/>
                <w:lang w:eastAsia="pl-PL"/>
              </w:rPr>
            </w:pPr>
            <w:r w:rsidRPr="001D587F">
              <w:rPr>
                <w:rFonts w:ascii="Calibri" w:eastAsia="Times New Roman" w:hAnsi="Calibri" w:cs="Calibri"/>
                <w:b/>
                <w:bCs/>
                <w:color w:val="000000"/>
                <w:lang w:eastAsia="pl-PL"/>
              </w:rPr>
              <w:t>450 000 000,00</w:t>
            </w:r>
          </w:p>
        </w:tc>
        <w:tc>
          <w:tcPr>
            <w:tcW w:w="1661"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1661"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2038"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c>
          <w:tcPr>
            <w:tcW w:w="2612" w:type="dxa"/>
            <w:shd w:val="clear" w:color="auto" w:fill="auto"/>
            <w:vAlign w:val="center"/>
          </w:tcPr>
          <w:p w:rsidR="001D587F" w:rsidRPr="001D587F" w:rsidRDefault="001D587F" w:rsidP="001D587F">
            <w:pPr>
              <w:spacing w:after="0" w:line="240" w:lineRule="auto"/>
              <w:jc w:val="left"/>
              <w:rPr>
                <w:rFonts w:ascii="Calibri" w:eastAsia="Times New Roman" w:hAnsi="Calibri" w:cs="Calibri"/>
                <w:color w:val="000000"/>
                <w:lang w:eastAsia="pl-PL"/>
              </w:rPr>
            </w:pPr>
          </w:p>
        </w:tc>
      </w:tr>
    </w:tbl>
    <w:p w:rsidR="002925E5" w:rsidRPr="001D587F" w:rsidRDefault="002925E5" w:rsidP="006A0C47">
      <w:pPr>
        <w:spacing w:after="0" w:line="240" w:lineRule="auto"/>
        <w:rPr>
          <w:color w:val="000000" w:themeColor="text1"/>
        </w:rPr>
      </w:pPr>
      <w:r w:rsidRPr="001D587F">
        <w:rPr>
          <w:color w:val="000000" w:themeColor="text1"/>
        </w:rPr>
        <w:t>*Projekt realizuje jeden lub więcej z wymienionych celów</w:t>
      </w:r>
    </w:p>
    <w:p w:rsidR="002925E5" w:rsidRPr="001D587F" w:rsidRDefault="002925E5" w:rsidP="006A0C47">
      <w:pPr>
        <w:spacing w:after="0" w:line="240" w:lineRule="auto"/>
        <w:rPr>
          <w:rFonts w:ascii="Calibri" w:eastAsia="Times New Roman" w:hAnsi="Calibri" w:cs="Calibri"/>
          <w:color w:val="000000" w:themeColor="text1"/>
          <w:lang w:eastAsia="pl-PL"/>
        </w:rPr>
      </w:pPr>
      <w:r w:rsidRPr="001D587F">
        <w:rPr>
          <w:color w:val="000000" w:themeColor="text1"/>
        </w:rPr>
        <w:t>**</w:t>
      </w:r>
      <w:r w:rsidRPr="001D587F">
        <w:rPr>
          <w:rFonts w:ascii="Calibri" w:eastAsia="Times New Roman" w:hAnsi="Calibri" w:cs="Calibri"/>
          <w:color w:val="000000" w:themeColor="text1"/>
          <w:lang w:eastAsia="pl-PL"/>
        </w:rPr>
        <w:t>Istnieje możliwość zwiększenia Szacunkowej kwoty dofinansowania w mln PLN do 85% wartości kosztów kwalifikowalnych projektu</w:t>
      </w:r>
    </w:p>
    <w:p w:rsidR="00605268" w:rsidRDefault="00605268" w:rsidP="00D40250">
      <w:pPr>
        <w:rPr>
          <w:rFonts w:cstheme="minorHAnsi"/>
          <w:sz w:val="20"/>
          <w:szCs w:val="20"/>
        </w:rPr>
        <w:sectPr w:rsidR="00605268" w:rsidSect="00605268">
          <w:pgSz w:w="23814" w:h="16840" w:orient="landscape" w:code="8"/>
          <w:pgMar w:top="1418" w:right="1418" w:bottom="1418" w:left="1418" w:header="709" w:footer="709" w:gutter="0"/>
          <w:cols w:space="708"/>
          <w:docGrid w:linePitch="360"/>
        </w:sectPr>
      </w:pPr>
    </w:p>
    <w:p w:rsidR="00DA1F68" w:rsidRPr="002F3FDC" w:rsidRDefault="00292BDA" w:rsidP="001D587F">
      <w:pPr>
        <w:pStyle w:val="Nagwek3"/>
      </w:pPr>
      <w:bookmarkStart w:id="172" w:name="_Toc143673231"/>
      <w:r w:rsidRPr="002F3FDC">
        <w:t>IV.3.</w:t>
      </w:r>
      <w:r w:rsidR="00E36EE1" w:rsidRPr="002F3FDC">
        <w:t xml:space="preserve">4 Lista projektów rezerwowych wybieranych w </w:t>
      </w:r>
      <w:r w:rsidR="00DE7417" w:rsidRPr="002F3FDC">
        <w:t>trybie</w:t>
      </w:r>
      <w:r w:rsidR="00E36EE1" w:rsidRPr="002F3FDC">
        <w:t xml:space="preserve"> niekonkurencyjny</w:t>
      </w:r>
      <w:r w:rsidR="00DE7417" w:rsidRPr="002F3FDC">
        <w:t>m</w:t>
      </w:r>
      <w:r w:rsidR="00E36EE1" w:rsidRPr="002F3FDC">
        <w:t xml:space="preserve"> finansowanych z </w:t>
      </w:r>
      <w:proofErr w:type="spellStart"/>
      <w:r w:rsidR="00E36EE1" w:rsidRPr="002F3FDC">
        <w:t>FEnIKS</w:t>
      </w:r>
      <w:proofErr w:type="spellEnd"/>
      <w:r w:rsidR="00E36EE1" w:rsidRPr="002F3FDC">
        <w:t xml:space="preserve"> 2021-2027</w:t>
      </w:r>
      <w:bookmarkEnd w:id="172"/>
    </w:p>
    <w:tbl>
      <w:tblPr>
        <w:tblStyle w:val="Tabela-Siatka"/>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Lista projektów rezerwowych wybieranych w trybie niekonkurencyjnym finansowanych z FEnIKS 2021-2027"/>
        <w:tblDescription w:val="Lista projektów rezerwowych wybieranych w trybie niekonkurencyjnym finansowanych z FEnIKS 2021-2027"/>
      </w:tblPr>
      <w:tblGrid>
        <w:gridCol w:w="13992"/>
      </w:tblGrid>
      <w:tr w:rsidR="001D587F" w:rsidRPr="001D587F" w:rsidTr="001D587F">
        <w:trPr>
          <w:trHeight w:val="567"/>
          <w:tblHeader/>
        </w:trPr>
        <w:tc>
          <w:tcPr>
            <w:tcW w:w="14218" w:type="dxa"/>
            <w:shd w:val="clear" w:color="auto" w:fill="F2F2F2"/>
            <w:vAlign w:val="center"/>
          </w:tcPr>
          <w:p w:rsidR="001D587F" w:rsidRPr="001D587F" w:rsidRDefault="001D587F" w:rsidP="00414CBB">
            <w:pPr>
              <w:spacing w:line="240" w:lineRule="auto"/>
              <w:jc w:val="left"/>
              <w:rPr>
                <w:rFonts w:cstheme="minorHAnsi"/>
                <w:b/>
              </w:rPr>
            </w:pPr>
            <w:r w:rsidRPr="001D587F">
              <w:rPr>
                <w:b/>
              </w:rPr>
              <w:t xml:space="preserve">Lista projektów rezerwowych wybieranych w trybie niekonkurencyjnym finansowanych z </w:t>
            </w:r>
            <w:proofErr w:type="spellStart"/>
            <w:r w:rsidRPr="001D587F">
              <w:rPr>
                <w:b/>
              </w:rPr>
              <w:t>FEnIKS</w:t>
            </w:r>
            <w:proofErr w:type="spellEnd"/>
            <w:r w:rsidRPr="001D587F">
              <w:rPr>
                <w:b/>
              </w:rPr>
              <w:t xml:space="preserve"> 2021-2027</w:t>
            </w:r>
          </w:p>
        </w:tc>
      </w:tr>
      <w:tr w:rsidR="00290E53" w:rsidRPr="001D587F" w:rsidTr="001D587F">
        <w:trPr>
          <w:trHeight w:val="567"/>
        </w:trPr>
        <w:tc>
          <w:tcPr>
            <w:tcW w:w="14218" w:type="dxa"/>
            <w:shd w:val="clear" w:color="auto" w:fill="F2F2F2"/>
            <w:vAlign w:val="center"/>
          </w:tcPr>
          <w:p w:rsidR="00290E53" w:rsidRPr="001D587F" w:rsidRDefault="00290E53" w:rsidP="00414CBB">
            <w:pPr>
              <w:spacing w:line="240" w:lineRule="auto"/>
              <w:jc w:val="left"/>
              <w:rPr>
                <w:rFonts w:cstheme="minorHAnsi"/>
              </w:rPr>
            </w:pPr>
            <w:r w:rsidRPr="001D587F">
              <w:rPr>
                <w:rFonts w:cstheme="minorHAnsi"/>
              </w:rPr>
              <w:t>Wiązka projektów 1: Poprawa jakości powietrza we Wrocławskim Obszarze Funkcjonalnym poprzez zakup taboru szynowego i autobusowego</w:t>
            </w:r>
          </w:p>
        </w:tc>
      </w:tr>
      <w:tr w:rsidR="00290E53" w:rsidRPr="001D587F" w:rsidTr="001D587F">
        <w:trPr>
          <w:trHeight w:val="567"/>
        </w:trPr>
        <w:tc>
          <w:tcPr>
            <w:tcW w:w="14218" w:type="dxa"/>
            <w:vAlign w:val="center"/>
          </w:tcPr>
          <w:p w:rsidR="00290E53" w:rsidRPr="001D587F" w:rsidRDefault="00290E53" w:rsidP="001579AC">
            <w:pPr>
              <w:pStyle w:val="Akapitzlist"/>
              <w:numPr>
                <w:ilvl w:val="0"/>
                <w:numId w:val="42"/>
              </w:numPr>
              <w:spacing w:line="240" w:lineRule="auto"/>
              <w:jc w:val="left"/>
              <w:rPr>
                <w:rFonts w:cstheme="minorHAnsi"/>
              </w:rPr>
            </w:pPr>
            <w:r w:rsidRPr="001D587F">
              <w:rPr>
                <w:rFonts w:cstheme="minorHAnsi"/>
              </w:rPr>
              <w:t>Zakup autobusów niskoemisyjnych w ramach rozbudowy sieci połączeń komunikacyjnych w Gminie Kobierzyce</w:t>
            </w:r>
          </w:p>
          <w:p w:rsidR="00290E53" w:rsidRPr="001D587F" w:rsidRDefault="00290E53" w:rsidP="001579AC">
            <w:pPr>
              <w:pStyle w:val="Akapitzlist"/>
              <w:numPr>
                <w:ilvl w:val="0"/>
                <w:numId w:val="42"/>
              </w:numPr>
              <w:spacing w:line="240" w:lineRule="auto"/>
              <w:jc w:val="left"/>
              <w:rPr>
                <w:rFonts w:cstheme="minorHAnsi"/>
              </w:rPr>
            </w:pPr>
            <w:r w:rsidRPr="001D587F">
              <w:rPr>
                <w:rFonts w:cstheme="minorHAnsi"/>
              </w:rPr>
              <w:t>Zakup taboru tramwajowego dla Wrocławia – etap II</w:t>
            </w:r>
          </w:p>
          <w:p w:rsidR="00290E53" w:rsidRPr="001D587F" w:rsidRDefault="00290E53" w:rsidP="001579AC">
            <w:pPr>
              <w:pStyle w:val="Akapitzlist"/>
              <w:numPr>
                <w:ilvl w:val="0"/>
                <w:numId w:val="42"/>
              </w:numPr>
              <w:spacing w:line="240" w:lineRule="auto"/>
              <w:jc w:val="left"/>
              <w:rPr>
                <w:rFonts w:cstheme="minorHAnsi"/>
              </w:rPr>
            </w:pPr>
            <w:r w:rsidRPr="001D587F">
              <w:rPr>
                <w:rFonts w:cstheme="minorHAnsi"/>
              </w:rPr>
              <w:t xml:space="preserve">Zakup taboru </w:t>
            </w:r>
            <w:proofErr w:type="spellStart"/>
            <w:r w:rsidRPr="001D587F">
              <w:rPr>
                <w:rFonts w:cstheme="minorHAnsi"/>
              </w:rPr>
              <w:t>zeroemisyjnego</w:t>
            </w:r>
            <w:proofErr w:type="spellEnd"/>
            <w:r w:rsidRPr="001D587F">
              <w:rPr>
                <w:rFonts w:cstheme="minorHAnsi"/>
              </w:rPr>
              <w:t xml:space="preserve"> – wodorowego wraz z budową infrastruktury do obsługi taboru</w:t>
            </w:r>
          </w:p>
          <w:p w:rsidR="00290E53" w:rsidRPr="001D587F" w:rsidRDefault="00290E53" w:rsidP="001579AC">
            <w:pPr>
              <w:pStyle w:val="Akapitzlist"/>
              <w:numPr>
                <w:ilvl w:val="0"/>
                <w:numId w:val="42"/>
              </w:numPr>
              <w:spacing w:line="240" w:lineRule="auto"/>
              <w:jc w:val="left"/>
              <w:rPr>
                <w:rFonts w:cstheme="minorHAnsi"/>
              </w:rPr>
            </w:pPr>
            <w:proofErr w:type="spellStart"/>
            <w:r w:rsidRPr="001D587F">
              <w:rPr>
                <w:rFonts w:cstheme="minorHAnsi"/>
              </w:rPr>
              <w:t>EKOlinia</w:t>
            </w:r>
            <w:proofErr w:type="spellEnd"/>
            <w:r w:rsidRPr="001D587F">
              <w:rPr>
                <w:rFonts w:cstheme="minorHAnsi"/>
              </w:rPr>
              <w:t xml:space="preserve"> z Portu Lotniczego do Dworca Głównego PKP we Wrocławiu</w:t>
            </w:r>
          </w:p>
        </w:tc>
      </w:tr>
      <w:tr w:rsidR="00290E53" w:rsidRPr="001D587F" w:rsidTr="001D587F">
        <w:trPr>
          <w:trHeight w:val="567"/>
        </w:trPr>
        <w:tc>
          <w:tcPr>
            <w:tcW w:w="14218" w:type="dxa"/>
            <w:shd w:val="clear" w:color="auto" w:fill="F2F2F2"/>
            <w:vAlign w:val="center"/>
          </w:tcPr>
          <w:p w:rsidR="00290E53" w:rsidRPr="001D587F" w:rsidRDefault="00290E53" w:rsidP="00414CBB">
            <w:pPr>
              <w:spacing w:line="240" w:lineRule="auto"/>
              <w:jc w:val="left"/>
              <w:rPr>
                <w:rFonts w:cstheme="minorHAnsi"/>
              </w:rPr>
            </w:pPr>
            <w:r w:rsidRPr="001D587F">
              <w:rPr>
                <w:rFonts w:cstheme="minorHAnsi"/>
              </w:rPr>
              <w:t>Wiązka projektów 2: Rozwój zrównoważonego systemu transportowego na terenie Wrocławskiego Obszaru Funkcjonalnego poprzez budowę węzłów przesiadkowych</w:t>
            </w:r>
          </w:p>
        </w:tc>
      </w:tr>
      <w:tr w:rsidR="00290E53" w:rsidRPr="001D587F" w:rsidTr="001D587F">
        <w:trPr>
          <w:trHeight w:val="567"/>
        </w:trPr>
        <w:tc>
          <w:tcPr>
            <w:tcW w:w="14218" w:type="dxa"/>
            <w:vAlign w:val="center"/>
          </w:tcPr>
          <w:p w:rsidR="00290E53" w:rsidRPr="001D587F" w:rsidRDefault="00290E53" w:rsidP="001579AC">
            <w:pPr>
              <w:pStyle w:val="Akapitzlist"/>
              <w:numPr>
                <w:ilvl w:val="0"/>
                <w:numId w:val="43"/>
              </w:numPr>
              <w:spacing w:line="240" w:lineRule="auto"/>
              <w:jc w:val="left"/>
              <w:rPr>
                <w:rFonts w:cstheme="minorHAnsi"/>
              </w:rPr>
            </w:pPr>
            <w:r w:rsidRPr="001D587F">
              <w:rPr>
                <w:rFonts w:cstheme="minorHAnsi"/>
              </w:rPr>
              <w:t>Budowa punktu Park&amp;Ride przy dworcu kolejowym w Dobroszycach</w:t>
            </w:r>
          </w:p>
        </w:tc>
      </w:tr>
      <w:tr w:rsidR="00290E53" w:rsidRPr="001D587F" w:rsidTr="001D587F">
        <w:trPr>
          <w:trHeight w:val="567"/>
        </w:trPr>
        <w:tc>
          <w:tcPr>
            <w:tcW w:w="14218" w:type="dxa"/>
            <w:shd w:val="clear" w:color="auto" w:fill="F2F2F2"/>
            <w:vAlign w:val="center"/>
          </w:tcPr>
          <w:p w:rsidR="00290E53" w:rsidRPr="001D587F" w:rsidRDefault="00290E53" w:rsidP="00414CBB">
            <w:pPr>
              <w:spacing w:line="240" w:lineRule="auto"/>
              <w:jc w:val="left"/>
              <w:rPr>
                <w:rFonts w:cstheme="minorHAnsi"/>
                <w:color w:val="000000" w:themeColor="text1"/>
              </w:rPr>
            </w:pPr>
            <w:r w:rsidRPr="001D587F">
              <w:rPr>
                <w:rFonts w:cstheme="minorHAnsi"/>
                <w:bCs/>
                <w:color w:val="000000" w:themeColor="text1"/>
              </w:rPr>
              <w:t>Wiązka projektów 3: Rozwój zrównoważonego systemu transportowego na terenie Wrocławskiego Obszaru Funkcjonalnego poprzez budowę, rozbudowę i przebudowę infrastruktury transportowej oraz rozwój zintegrowanego systemu zarządzania ruchem ITS</w:t>
            </w:r>
          </w:p>
        </w:tc>
      </w:tr>
      <w:tr w:rsidR="00290E53" w:rsidRPr="001D587F" w:rsidTr="001D587F">
        <w:trPr>
          <w:trHeight w:val="567"/>
        </w:trPr>
        <w:tc>
          <w:tcPr>
            <w:tcW w:w="14218" w:type="dxa"/>
            <w:vAlign w:val="center"/>
          </w:tcPr>
          <w:p w:rsidR="00290E53" w:rsidRPr="001D587F" w:rsidRDefault="00290E53" w:rsidP="001579AC">
            <w:pPr>
              <w:pStyle w:val="Akapitzlist"/>
              <w:numPr>
                <w:ilvl w:val="0"/>
                <w:numId w:val="43"/>
              </w:numPr>
              <w:spacing w:line="240" w:lineRule="auto"/>
              <w:jc w:val="left"/>
              <w:rPr>
                <w:rFonts w:cstheme="minorHAnsi"/>
              </w:rPr>
            </w:pPr>
            <w:r w:rsidRPr="001D587F">
              <w:rPr>
                <w:rFonts w:cstheme="minorHAnsi"/>
              </w:rPr>
              <w:t xml:space="preserve">Budowa wydzielonej trasy komunikacji zbiorowej we Wrocławiu prowadzącej na osiedle </w:t>
            </w:r>
            <w:proofErr w:type="spellStart"/>
            <w:r w:rsidRPr="001D587F">
              <w:rPr>
                <w:rFonts w:cstheme="minorHAnsi"/>
              </w:rPr>
              <w:t>Maślice</w:t>
            </w:r>
            <w:proofErr w:type="spellEnd"/>
          </w:p>
          <w:p w:rsidR="00290E53" w:rsidRPr="001D587F" w:rsidRDefault="00290E53" w:rsidP="001579AC">
            <w:pPr>
              <w:pStyle w:val="Akapitzlist"/>
              <w:numPr>
                <w:ilvl w:val="0"/>
                <w:numId w:val="43"/>
              </w:numPr>
              <w:spacing w:line="240" w:lineRule="auto"/>
              <w:jc w:val="left"/>
              <w:rPr>
                <w:rFonts w:cstheme="minorHAnsi"/>
              </w:rPr>
            </w:pPr>
            <w:r w:rsidRPr="001D587F">
              <w:rPr>
                <w:rFonts w:cstheme="minorHAnsi"/>
              </w:rPr>
              <w:t>Rozwój zrównoważonego systemu transportowego we Wrocławiu – etap II</w:t>
            </w:r>
          </w:p>
          <w:p w:rsidR="00290E53" w:rsidRPr="001D587F" w:rsidRDefault="00290E53" w:rsidP="001579AC">
            <w:pPr>
              <w:pStyle w:val="Akapitzlist"/>
              <w:numPr>
                <w:ilvl w:val="0"/>
                <w:numId w:val="43"/>
              </w:numPr>
              <w:spacing w:line="240" w:lineRule="auto"/>
              <w:jc w:val="left"/>
              <w:rPr>
                <w:rFonts w:cstheme="minorHAnsi"/>
              </w:rPr>
            </w:pPr>
            <w:r w:rsidRPr="001D587F">
              <w:rPr>
                <w:rFonts w:cstheme="minorHAnsi"/>
              </w:rPr>
              <w:t>Rozwój zintegrowanego systemu zarządzania ruchem ITS</w:t>
            </w:r>
          </w:p>
        </w:tc>
      </w:tr>
    </w:tbl>
    <w:p w:rsidR="004210DC" w:rsidRDefault="004210DC" w:rsidP="00584280">
      <w:pPr>
        <w:spacing w:line="259" w:lineRule="auto"/>
      </w:pPr>
    </w:p>
    <w:p w:rsidR="004210DC" w:rsidRDefault="004210DC" w:rsidP="00584280">
      <w:pPr>
        <w:spacing w:line="259" w:lineRule="auto"/>
      </w:pPr>
    </w:p>
    <w:p w:rsidR="004210DC" w:rsidRDefault="004210DC" w:rsidP="00584280">
      <w:pPr>
        <w:spacing w:line="259" w:lineRule="auto"/>
        <w:sectPr w:rsidR="004210DC" w:rsidSect="005A11FB">
          <w:pgSz w:w="16838" w:h="11906" w:orient="landscape" w:code="9"/>
          <w:pgMar w:top="1418" w:right="1418" w:bottom="1418" w:left="1418" w:header="709" w:footer="709" w:gutter="0"/>
          <w:cols w:space="708"/>
          <w:docGrid w:linePitch="360"/>
        </w:sect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Lista projektów rezerwowych wybieranych w trybie niekonkurencyjnym finansowanych z FEnIKS 2021-2027"/>
        <w:tblDescription w:val="Lista projektów rezerwowych wybieranych w trybie niekonkurencyjnym finansowanych z FEnIKS 2021-2027"/>
      </w:tblPr>
      <w:tblGrid>
        <w:gridCol w:w="20968"/>
      </w:tblGrid>
      <w:tr w:rsidR="001D587F" w:rsidRPr="001D587F" w:rsidTr="00DA2761">
        <w:trPr>
          <w:trHeight w:val="680"/>
          <w:tblHeader/>
          <w:jc w:val="center"/>
        </w:trPr>
        <w:tc>
          <w:tcPr>
            <w:tcW w:w="20968" w:type="dxa"/>
            <w:shd w:val="clear" w:color="auto" w:fill="D9D9D9" w:themeFill="background1" w:themeFillShade="D9"/>
            <w:vAlign w:val="center"/>
          </w:tcPr>
          <w:p w:rsidR="001D587F" w:rsidRPr="001D587F" w:rsidRDefault="001D587F" w:rsidP="001D587F">
            <w:pPr>
              <w:spacing w:after="0" w:line="240" w:lineRule="auto"/>
              <w:jc w:val="center"/>
              <w:rPr>
                <w:rFonts w:ascii="Calibri" w:eastAsia="Times New Roman" w:hAnsi="Calibri" w:cs="Calibri"/>
                <w:color w:val="000000"/>
                <w:lang w:eastAsia="pl-PL"/>
              </w:rPr>
            </w:pPr>
            <w:r w:rsidRPr="001D587F">
              <w:rPr>
                <w:rFonts w:eastAsia="Times New Roman" w:cstheme="minorHAnsi"/>
                <w:b/>
                <w:bCs/>
                <w:color w:val="000000"/>
                <w:lang w:eastAsia="pl-PL"/>
              </w:rPr>
              <w:t xml:space="preserve">Cel szczegółowy: 2.8 Wspieranie zrównoważonej multimodalnej mobilności miejskiej jako elementu transformacji w kierunku gospodarki </w:t>
            </w:r>
            <w:proofErr w:type="spellStart"/>
            <w:r w:rsidRPr="001D587F">
              <w:rPr>
                <w:rFonts w:eastAsia="Times New Roman" w:cstheme="minorHAnsi"/>
                <w:b/>
                <w:bCs/>
                <w:color w:val="000000"/>
                <w:lang w:eastAsia="pl-PL"/>
              </w:rPr>
              <w:t>zeroemisyjnej</w:t>
            </w:r>
            <w:proofErr w:type="spellEnd"/>
          </w:p>
        </w:tc>
      </w:tr>
    </w:tbl>
    <w:p w:rsidR="00DA2761" w:rsidRPr="00DA2761" w:rsidRDefault="00DA2761">
      <w:pPr>
        <w:rPr>
          <w:sz w:val="2"/>
          <w:szCs w:val="2"/>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Lista projektów rezerwowych wybieranych w trybie niekonkurencyjnym finansowanych z FEnIKS 2021-2027"/>
        <w:tblDescription w:val="Lista projektów rezerwowych wybieranych w trybie niekonkurencyjnym finansowanych z FEnIKS 2021-2027"/>
      </w:tblPr>
      <w:tblGrid>
        <w:gridCol w:w="549"/>
        <w:gridCol w:w="1673"/>
        <w:gridCol w:w="2928"/>
        <w:gridCol w:w="1616"/>
        <w:gridCol w:w="3103"/>
        <w:gridCol w:w="1610"/>
        <w:gridCol w:w="1684"/>
        <w:gridCol w:w="1661"/>
        <w:gridCol w:w="1661"/>
        <w:gridCol w:w="4483"/>
      </w:tblGrid>
      <w:tr w:rsidR="00DA2761" w:rsidRPr="001D587F" w:rsidTr="00DA2761">
        <w:trPr>
          <w:trHeight w:val="1152"/>
          <w:tblHeader/>
          <w:jc w:val="center"/>
        </w:trPr>
        <w:tc>
          <w:tcPr>
            <w:tcW w:w="549"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L.p.</w:t>
            </w:r>
          </w:p>
        </w:tc>
        <w:tc>
          <w:tcPr>
            <w:tcW w:w="1673"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 xml:space="preserve">Priorytet/ Działanie zgodnie z SZOP </w:t>
            </w:r>
            <w:proofErr w:type="spellStart"/>
            <w:r w:rsidRPr="00DA2761">
              <w:rPr>
                <w:rFonts w:ascii="Calibri" w:eastAsia="Times New Roman" w:hAnsi="Calibri" w:cs="Calibri"/>
                <w:b/>
                <w:bCs/>
                <w:color w:val="000000"/>
                <w:lang w:eastAsia="pl-PL"/>
              </w:rPr>
              <w:t>FEnIKS</w:t>
            </w:r>
            <w:proofErr w:type="spellEnd"/>
            <w:r w:rsidRPr="00DA2761">
              <w:rPr>
                <w:rFonts w:ascii="Calibri" w:eastAsia="Times New Roman" w:hAnsi="Calibri" w:cs="Calibri"/>
                <w:b/>
                <w:bCs/>
                <w:color w:val="000000"/>
                <w:lang w:eastAsia="pl-PL"/>
              </w:rPr>
              <w:t xml:space="preserve"> 2021-2027 </w:t>
            </w:r>
          </w:p>
        </w:tc>
        <w:tc>
          <w:tcPr>
            <w:tcW w:w="2928"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 xml:space="preserve">Tytuł projektu </w:t>
            </w:r>
          </w:p>
        </w:tc>
        <w:tc>
          <w:tcPr>
            <w:tcW w:w="1616"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Wnioskodawca</w:t>
            </w:r>
          </w:p>
        </w:tc>
        <w:tc>
          <w:tcPr>
            <w:tcW w:w="3103"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Cel projektu*</w:t>
            </w:r>
          </w:p>
        </w:tc>
        <w:tc>
          <w:tcPr>
            <w:tcW w:w="1610"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Szacunkowy koszt całkowity w mln PLN</w:t>
            </w:r>
          </w:p>
        </w:tc>
        <w:tc>
          <w:tcPr>
            <w:tcW w:w="1684"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 xml:space="preserve">Szacunkowy kwota dofinansowania </w:t>
            </w:r>
            <w:r w:rsidRPr="00DA2761">
              <w:rPr>
                <w:rFonts w:ascii="Calibri" w:eastAsia="Times New Roman" w:hAnsi="Calibri" w:cs="Calibri"/>
                <w:b/>
                <w:bCs/>
                <w:color w:val="000000"/>
                <w:lang w:eastAsia="pl-PL"/>
              </w:rPr>
              <w:br/>
              <w:t>w mln PLN**</w:t>
            </w:r>
          </w:p>
        </w:tc>
        <w:tc>
          <w:tcPr>
            <w:tcW w:w="1661"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Przewidywany termin rozpoczęcia projektu</w:t>
            </w:r>
          </w:p>
        </w:tc>
        <w:tc>
          <w:tcPr>
            <w:tcW w:w="1661"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Przewidywany termin zakończenia projektu</w:t>
            </w:r>
          </w:p>
        </w:tc>
        <w:tc>
          <w:tcPr>
            <w:tcW w:w="4483" w:type="dxa"/>
            <w:shd w:val="clear" w:color="000000" w:fill="F2F2F2"/>
            <w:vAlign w:val="center"/>
            <w:hideMark/>
          </w:tcPr>
          <w:p w:rsidR="00DA2761" w:rsidRPr="00DA2761" w:rsidRDefault="00DA2761"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Numer i nazwa wiązki, do której przyporządkowano projekt</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1</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Zakup autobusów niskoemisyjnych w ramach rozbudowy sieci połączeń komunikacyjnych w Gminie Kobierzyce</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Gmina Kobierzyce</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7 820 000,00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5 404 065,04</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 kw. 2025</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II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2</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xml:space="preserve">Budowa wydzielonej trasy komunikacji zbiorowej we Wrocławiu prowadzącej na osiedle </w:t>
            </w:r>
            <w:proofErr w:type="spellStart"/>
            <w:r w:rsidRPr="00DA2761">
              <w:rPr>
                <w:rFonts w:ascii="Calibri" w:eastAsia="Times New Roman" w:hAnsi="Calibri" w:cs="Calibri"/>
                <w:color w:val="000000"/>
                <w:lang w:eastAsia="pl-PL"/>
              </w:rPr>
              <w:t>Maślice</w:t>
            </w:r>
            <w:proofErr w:type="spellEnd"/>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Gmina Wrocław</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202 950 000,00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140 250 000,00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III kw. 2023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3: Rozwój zrównoważonego systemu transportowego na terenie Wrocławskiego Obszaru Funkcjonalnego poprzez budowę, rozbudowę i przebudowę infrastruktury transportowej oraz rozwój zintegrowanego systemu zarządzania ruchem ITS</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3</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Zakup taboru tramwajowego dla Wrocławia – etap II</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MPK Sp. z o. o.</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90 577 200,00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62 594 000,00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4</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xml:space="preserve">Zakup taboru </w:t>
            </w:r>
            <w:proofErr w:type="spellStart"/>
            <w:r w:rsidRPr="00DA2761">
              <w:rPr>
                <w:rFonts w:ascii="Calibri" w:eastAsia="Times New Roman" w:hAnsi="Calibri" w:cs="Calibri"/>
                <w:color w:val="000000"/>
                <w:lang w:eastAsia="pl-PL"/>
              </w:rPr>
              <w:t>zeroemisyjnego</w:t>
            </w:r>
            <w:proofErr w:type="spellEnd"/>
            <w:r w:rsidRPr="00DA2761">
              <w:rPr>
                <w:rFonts w:ascii="Calibri" w:eastAsia="Times New Roman" w:hAnsi="Calibri" w:cs="Calibri"/>
                <w:color w:val="000000"/>
                <w:lang w:eastAsia="pl-PL"/>
              </w:rPr>
              <w:t xml:space="preserve"> – wodorowego wraz z budową infrastruktury do obsługi taboru</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MPK Sp. z o. o.</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123 000 000,00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85 000 000,00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5</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Rozwój zrównoważonego systemu transportowego we Wrocławiu – etap II</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Gmina Wrocław</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50 000 000,00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34 552 845,53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3: Rozwój zrównoważonego systemu transportowego na terenie Wrocławskiego Obszaru Funkcjonalnego poprzez budowę, rozbudowę i przebudowę infrastruktury transportowej oraz rozwój zintegrowanego systemu zarządzania ruchem ITS</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6</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Rozwój zintegrowanego systemu zarządzania ruchem ITS</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Gmina Wrocław</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10 600 000,00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7 325 203,10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2023</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3: Rozwój zrównoważonego systemu transportowego na terenie Wrocławskiego Obszaru Funkcjonalnego poprzez budowę, rozbudowę i przebudowę infrastruktury transportowej oraz rozwój zintegrowanego systemu zarządzania ruchem ITS</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7</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proofErr w:type="spellStart"/>
            <w:r w:rsidRPr="00DA2761">
              <w:rPr>
                <w:rFonts w:ascii="Calibri" w:eastAsia="Times New Roman" w:hAnsi="Calibri" w:cs="Calibri"/>
                <w:color w:val="000000"/>
                <w:lang w:eastAsia="pl-PL"/>
              </w:rPr>
              <w:t>EKOlinia</w:t>
            </w:r>
            <w:proofErr w:type="spellEnd"/>
            <w:r w:rsidRPr="00DA2761">
              <w:rPr>
                <w:rFonts w:ascii="Calibri" w:eastAsia="Times New Roman" w:hAnsi="Calibri" w:cs="Calibri"/>
                <w:color w:val="000000"/>
                <w:lang w:eastAsia="pl-PL"/>
              </w:rPr>
              <w:t xml:space="preserve"> z Portu Lotniczego do Dworca Głównego PKP we Wrocławiu</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MPK Sp. z o. o.</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44 895 000,00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31 025 000,00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I/II kw.2024</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1: Poprawa jakości powietrza we Wrocławskim Obszarze Funkcjonalnym poprzez zakup taboru szynowego i autobusowego</w:t>
            </w:r>
          </w:p>
        </w:tc>
      </w:tr>
      <w:tr w:rsidR="001D587F" w:rsidRPr="001D587F" w:rsidTr="00DA2761">
        <w:trPr>
          <w:trHeight w:val="3456"/>
          <w:jc w:val="center"/>
        </w:trPr>
        <w:tc>
          <w:tcPr>
            <w:tcW w:w="549"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8</w:t>
            </w:r>
          </w:p>
        </w:tc>
        <w:tc>
          <w:tcPr>
            <w:tcW w:w="167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FENX.03 Transport miejski / FENX.03.01 Transport miejski</w:t>
            </w:r>
          </w:p>
        </w:tc>
        <w:tc>
          <w:tcPr>
            <w:tcW w:w="2928"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Budowa punktu Park&amp;Ride przy dworcu kolejowym w Dobroszycach</w:t>
            </w:r>
          </w:p>
        </w:tc>
        <w:tc>
          <w:tcPr>
            <w:tcW w:w="1616"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Gmina Dobroszyce</w:t>
            </w:r>
          </w:p>
        </w:tc>
        <w:tc>
          <w:tcPr>
            <w:tcW w:w="3103" w:type="dxa"/>
            <w:shd w:val="clear" w:color="auto" w:fill="auto"/>
            <w:vAlign w:val="center"/>
            <w:hideMark/>
          </w:tcPr>
          <w:p w:rsidR="00A1431D"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 ograniczenie szkodliwego wpływu transportu na środowisko naturalne</w:t>
            </w:r>
            <w:r w:rsidRPr="00DA2761">
              <w:rPr>
                <w:rFonts w:ascii="Calibri" w:eastAsia="Times New Roman" w:hAnsi="Calibri" w:cs="Calibri"/>
                <w:color w:val="000000"/>
                <w:lang w:eastAsia="pl-PL"/>
              </w:rPr>
              <w:br/>
              <w:t>• poprawa dostępności komunikacyjnej, w tym dla osób ze szczególnymi potrzebami</w:t>
            </w:r>
          </w:p>
          <w:p w:rsidR="001D587F" w:rsidRPr="00DA2761" w:rsidRDefault="001D587F" w:rsidP="00A1431D">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na zasadzie równości z innymi użytkownikami</w:t>
            </w:r>
            <w:r w:rsidRPr="00DA2761">
              <w:rPr>
                <w:rFonts w:ascii="Calibri" w:eastAsia="Times New Roman" w:hAnsi="Calibri" w:cs="Calibri"/>
                <w:color w:val="000000"/>
                <w:lang w:eastAsia="pl-PL"/>
              </w:rPr>
              <w:br/>
              <w:t>• podniesienie jakości życia mieszkańców, poprzez podejście zorientowane na możliwości</w:t>
            </w:r>
            <w:r w:rsidRPr="00DA2761">
              <w:rPr>
                <w:rFonts w:ascii="Calibri" w:eastAsia="Times New Roman" w:hAnsi="Calibri" w:cs="Calibri"/>
                <w:color w:val="000000"/>
                <w:lang w:eastAsia="pl-PL"/>
              </w:rPr>
              <w:br/>
              <w:t>• podnoszenie świadomości środowiskowej społeczeństwa</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9 840 000,00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6 000 000,00</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III kw. 2025</w:t>
            </w:r>
          </w:p>
        </w:tc>
        <w:tc>
          <w:tcPr>
            <w:tcW w:w="1661"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IV kw. 2027</w:t>
            </w:r>
          </w:p>
        </w:tc>
        <w:tc>
          <w:tcPr>
            <w:tcW w:w="4483"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color w:val="000000"/>
                <w:lang w:eastAsia="pl-PL"/>
              </w:rPr>
              <w:t>Wiązka projektów 2: Rozwój zrównoważonego systemu transportowego na terenie Wrocławskiego Obszaru Funkcjonalnego poprzez budowę węzłów przesiadkowych</w:t>
            </w:r>
          </w:p>
        </w:tc>
      </w:tr>
      <w:tr w:rsidR="001D587F" w:rsidRPr="001D587F" w:rsidTr="00DA2761">
        <w:trPr>
          <w:trHeight w:val="288"/>
          <w:jc w:val="center"/>
        </w:trPr>
        <w:tc>
          <w:tcPr>
            <w:tcW w:w="9869" w:type="dxa"/>
            <w:gridSpan w:val="5"/>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color w:val="000000"/>
                <w:lang w:eastAsia="pl-PL"/>
              </w:rPr>
            </w:pPr>
            <w:r w:rsidRPr="00DA2761">
              <w:rPr>
                <w:rFonts w:ascii="Calibri" w:eastAsia="Times New Roman" w:hAnsi="Calibri" w:cs="Calibri"/>
                <w:b/>
                <w:bCs/>
                <w:color w:val="000000"/>
                <w:lang w:eastAsia="pl-PL"/>
              </w:rPr>
              <w:t>SUMA PROJEKTÓW W CELU SZCZEGÓŁOWYM 2.8:</w:t>
            </w:r>
          </w:p>
        </w:tc>
        <w:tc>
          <w:tcPr>
            <w:tcW w:w="1610"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539 682 200,00</w:t>
            </w:r>
          </w:p>
        </w:tc>
        <w:tc>
          <w:tcPr>
            <w:tcW w:w="1684" w:type="dxa"/>
            <w:shd w:val="clear" w:color="auto" w:fill="auto"/>
            <w:vAlign w:val="center"/>
            <w:hideMark/>
          </w:tcPr>
          <w:p w:rsidR="001D587F" w:rsidRPr="00DA2761" w:rsidRDefault="001D587F" w:rsidP="00DA2761">
            <w:pPr>
              <w:spacing w:after="0" w:line="240" w:lineRule="auto"/>
              <w:jc w:val="left"/>
              <w:rPr>
                <w:rFonts w:ascii="Calibri" w:eastAsia="Times New Roman" w:hAnsi="Calibri" w:cs="Calibri"/>
                <w:b/>
                <w:bCs/>
                <w:color w:val="000000"/>
                <w:lang w:eastAsia="pl-PL"/>
              </w:rPr>
            </w:pPr>
            <w:r w:rsidRPr="00DA2761">
              <w:rPr>
                <w:rFonts w:ascii="Calibri" w:eastAsia="Times New Roman" w:hAnsi="Calibri" w:cs="Calibri"/>
                <w:b/>
                <w:bCs/>
                <w:color w:val="000000"/>
                <w:lang w:eastAsia="pl-PL"/>
              </w:rPr>
              <w:t>372 151 113,67</w:t>
            </w:r>
          </w:p>
        </w:tc>
        <w:tc>
          <w:tcPr>
            <w:tcW w:w="7805" w:type="dxa"/>
            <w:gridSpan w:val="3"/>
            <w:shd w:val="clear" w:color="auto" w:fill="auto"/>
            <w:vAlign w:val="bottom"/>
            <w:hideMark/>
          </w:tcPr>
          <w:p w:rsidR="001D587F" w:rsidRPr="00DA2761" w:rsidRDefault="001D587F" w:rsidP="00DA2761">
            <w:pPr>
              <w:spacing w:after="0" w:line="240" w:lineRule="auto"/>
              <w:jc w:val="left"/>
              <w:rPr>
                <w:rFonts w:ascii="Calibri" w:eastAsia="Times New Roman" w:hAnsi="Calibri" w:cs="Calibri"/>
                <w:color w:val="000000"/>
                <w:lang w:eastAsia="pl-PL"/>
              </w:rPr>
            </w:pPr>
          </w:p>
        </w:tc>
      </w:tr>
    </w:tbl>
    <w:p w:rsidR="00680162" w:rsidRPr="00DA2761" w:rsidRDefault="00680162" w:rsidP="006A0C47">
      <w:pPr>
        <w:spacing w:after="0" w:line="240" w:lineRule="auto"/>
        <w:rPr>
          <w:color w:val="000000" w:themeColor="text1"/>
        </w:rPr>
      </w:pPr>
      <w:r w:rsidRPr="00DA2761">
        <w:rPr>
          <w:color w:val="000000" w:themeColor="text1"/>
        </w:rPr>
        <w:t>*Projekt realizuje jeden lub więcej z wymienionych celów</w:t>
      </w:r>
    </w:p>
    <w:p w:rsidR="00680162" w:rsidRPr="00DA2761" w:rsidRDefault="00680162" w:rsidP="006A0C47">
      <w:pPr>
        <w:spacing w:after="0" w:line="240" w:lineRule="auto"/>
        <w:rPr>
          <w:rFonts w:ascii="Calibri" w:eastAsia="Times New Roman" w:hAnsi="Calibri" w:cs="Calibri"/>
          <w:color w:val="000000" w:themeColor="text1"/>
          <w:lang w:eastAsia="pl-PL"/>
        </w:rPr>
      </w:pPr>
      <w:r w:rsidRPr="00DA2761">
        <w:rPr>
          <w:color w:val="000000" w:themeColor="text1"/>
        </w:rPr>
        <w:t>**</w:t>
      </w:r>
      <w:r w:rsidRPr="00DA2761">
        <w:rPr>
          <w:rFonts w:ascii="Calibri" w:eastAsia="Times New Roman" w:hAnsi="Calibri" w:cs="Calibri"/>
          <w:color w:val="000000" w:themeColor="text1"/>
          <w:lang w:eastAsia="pl-PL"/>
        </w:rPr>
        <w:t>Istnieje możliwość zwiększenia Szacunkowej kwoty dofinansowania w mln PLN do 85% wartości kosztów kwalifikowalnych projektu</w:t>
      </w:r>
    </w:p>
    <w:p w:rsidR="004210DC" w:rsidRDefault="004210DC" w:rsidP="00584280">
      <w:pPr>
        <w:spacing w:line="259" w:lineRule="auto"/>
      </w:pPr>
    </w:p>
    <w:p w:rsidR="004210DC" w:rsidRDefault="004210DC" w:rsidP="00584280">
      <w:pPr>
        <w:spacing w:line="259" w:lineRule="auto"/>
      </w:pPr>
    </w:p>
    <w:p w:rsidR="004210DC" w:rsidRDefault="004210DC" w:rsidP="00584280">
      <w:pPr>
        <w:spacing w:line="259" w:lineRule="auto"/>
        <w:sectPr w:rsidR="004210DC" w:rsidSect="004210DC">
          <w:pgSz w:w="23814" w:h="16840" w:orient="landscape" w:code="8"/>
          <w:pgMar w:top="1418" w:right="1418" w:bottom="1418" w:left="1418" w:header="709" w:footer="709" w:gutter="0"/>
          <w:cols w:space="708"/>
          <w:docGrid w:linePitch="360"/>
        </w:sectPr>
      </w:pPr>
    </w:p>
    <w:p w:rsidR="00917D57" w:rsidRPr="0025738B" w:rsidRDefault="00E04558" w:rsidP="0025738B">
      <w:pPr>
        <w:pStyle w:val="Nagwek2"/>
      </w:pPr>
      <w:bookmarkStart w:id="173" w:name="_Toc143673232"/>
      <w:r w:rsidRPr="0025738B">
        <w:t>IV.4</w:t>
      </w:r>
      <w:r w:rsidR="00F50E28" w:rsidRPr="0025738B">
        <w:t xml:space="preserve"> Plan finansowy ZIT</w:t>
      </w:r>
      <w:bookmarkEnd w:id="173"/>
    </w:p>
    <w:p w:rsidR="00E7118C" w:rsidRPr="00DA2761" w:rsidRDefault="003C187F" w:rsidP="00DA2761">
      <w:pPr>
        <w:rPr>
          <w:sz w:val="24"/>
          <w:szCs w:val="24"/>
        </w:rPr>
      </w:pPr>
      <w:r w:rsidRPr="00DA2761">
        <w:rPr>
          <w:sz w:val="24"/>
          <w:szCs w:val="24"/>
        </w:rPr>
        <w:t>W niniejszym rozdziale przedstawiono plan finansowy ZIT wskazujący wartość przedsięwzięć wpisujących się we wskazany pri</w:t>
      </w:r>
      <w:r w:rsidR="00A804BE" w:rsidRPr="00DA2761">
        <w:rPr>
          <w:sz w:val="24"/>
          <w:szCs w:val="24"/>
        </w:rPr>
        <w:t>orytet oraz cel szczegółowy FEDS</w:t>
      </w:r>
      <w:r w:rsidRPr="00DA2761">
        <w:rPr>
          <w:sz w:val="24"/>
          <w:szCs w:val="24"/>
        </w:rPr>
        <w:t xml:space="preserve"> 2021-2027</w:t>
      </w:r>
      <w:r w:rsidR="002B06AD" w:rsidRPr="00DA2761">
        <w:rPr>
          <w:sz w:val="24"/>
          <w:szCs w:val="24"/>
        </w:rPr>
        <w:t xml:space="preserve"> oraz </w:t>
      </w:r>
      <w:proofErr w:type="spellStart"/>
      <w:r w:rsidR="002B06AD" w:rsidRPr="00DA2761">
        <w:rPr>
          <w:sz w:val="24"/>
          <w:szCs w:val="24"/>
        </w:rPr>
        <w:t>FEnIKS</w:t>
      </w:r>
      <w:proofErr w:type="spellEnd"/>
      <w:r w:rsidR="002B06AD" w:rsidRPr="00DA2761">
        <w:rPr>
          <w:sz w:val="24"/>
          <w:szCs w:val="24"/>
        </w:rPr>
        <w:t xml:space="preserve"> 2021-2027</w:t>
      </w:r>
    </w:p>
    <w:p w:rsidR="00553093" w:rsidRPr="00DA2761" w:rsidRDefault="00063259" w:rsidP="00DA2761">
      <w:pPr>
        <w:spacing w:after="0"/>
        <w:rPr>
          <w:b/>
          <w:color w:val="000000" w:themeColor="text1"/>
          <w:sz w:val="24"/>
          <w:szCs w:val="24"/>
        </w:rPr>
      </w:pPr>
      <w:r w:rsidRPr="00DA2761">
        <w:rPr>
          <w:b/>
          <w:color w:val="000000" w:themeColor="text1"/>
          <w:sz w:val="24"/>
          <w:szCs w:val="24"/>
        </w:rPr>
        <w:t xml:space="preserve">ALOKACJA </w:t>
      </w:r>
      <w:r w:rsidR="00DA2761" w:rsidRPr="00DA2761">
        <w:rPr>
          <w:b/>
          <w:color w:val="000000" w:themeColor="text1"/>
          <w:sz w:val="24"/>
          <w:szCs w:val="24"/>
        </w:rPr>
        <w:t xml:space="preserve">ZIT WROF </w:t>
      </w:r>
      <w:r w:rsidR="00553093" w:rsidRPr="00DA2761">
        <w:rPr>
          <w:b/>
          <w:color w:val="000000" w:themeColor="text1"/>
          <w:sz w:val="24"/>
          <w:szCs w:val="24"/>
        </w:rPr>
        <w:t>Z PROGRAMU FU</w:t>
      </w:r>
      <w:r w:rsidR="00805954" w:rsidRPr="00DA2761">
        <w:rPr>
          <w:b/>
          <w:color w:val="000000" w:themeColor="text1"/>
          <w:sz w:val="24"/>
          <w:szCs w:val="24"/>
        </w:rPr>
        <w:t xml:space="preserve">NDUSZE EUROPEJSKIE DLA DOLNEGO ŚLĄSKA </w:t>
      </w:r>
      <w:r w:rsidR="00553093" w:rsidRPr="00DA2761">
        <w:rPr>
          <w:b/>
          <w:color w:val="000000" w:themeColor="text1"/>
          <w:sz w:val="24"/>
          <w:szCs w:val="24"/>
        </w:rPr>
        <w:t xml:space="preserve">2021-2027 </w:t>
      </w:r>
    </w:p>
    <w:tbl>
      <w:tblPr>
        <w:tblW w:w="501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1014"/>
      </w:tblGrid>
      <w:tr w:rsidR="002045CC" w:rsidRPr="00DA2761" w:rsidTr="00DA2761">
        <w:trPr>
          <w:trHeight w:val="1251"/>
          <w:tblHeader/>
        </w:trPr>
        <w:tc>
          <w:tcPr>
            <w:tcW w:w="5000" w:type="pct"/>
            <w:shd w:val="clear" w:color="auto" w:fill="D4EAF3"/>
            <w:vAlign w:val="center"/>
            <w:hideMark/>
          </w:tcPr>
          <w:p w:rsidR="002045CC" w:rsidRPr="00DA2761" w:rsidRDefault="002045CC" w:rsidP="00DA2761">
            <w:pPr>
              <w:spacing w:after="0" w:line="240" w:lineRule="auto"/>
              <w:jc w:val="left"/>
              <w:rPr>
                <w:rFonts w:ascii="Calibri" w:eastAsia="Times New Roman" w:hAnsi="Calibri" w:cs="Times New Roman"/>
                <w:b/>
                <w:bCs/>
                <w:color w:val="000000" w:themeColor="text1"/>
                <w:lang w:eastAsia="pl-PL"/>
              </w:rPr>
            </w:pPr>
            <w:r w:rsidRPr="00DA2761">
              <w:rPr>
                <w:rFonts w:ascii="Calibri" w:eastAsia="Times New Roman" w:hAnsi="Calibri" w:cs="Times New Roman"/>
                <w:b/>
                <w:bCs/>
                <w:color w:val="000000" w:themeColor="text1"/>
                <w:lang w:eastAsia="pl-PL"/>
              </w:rPr>
              <w:t xml:space="preserve">CP2 </w:t>
            </w:r>
            <w:r w:rsidRPr="00DA2761">
              <w:rPr>
                <w:rFonts w:ascii="Calibri" w:eastAsia="Times New Roman" w:hAnsi="Calibri" w:cs="Times New Roman"/>
                <w:b/>
                <w:bCs/>
                <w:color w:val="000000" w:themeColor="text1"/>
                <w:lang w:eastAsia="pl-PL"/>
              </w:rPr>
              <w:br/>
              <w:t xml:space="preserve">Bardziej przyjazna dla środowiska, niskoemisyjna i przechodząca ku gospodarce </w:t>
            </w:r>
            <w:proofErr w:type="spellStart"/>
            <w:r w:rsidRPr="00DA2761">
              <w:rPr>
                <w:rFonts w:ascii="Calibri" w:eastAsia="Times New Roman" w:hAnsi="Calibri" w:cs="Times New Roman"/>
                <w:b/>
                <w:bCs/>
                <w:color w:val="000000" w:themeColor="text1"/>
                <w:lang w:eastAsia="pl-PL"/>
              </w:rPr>
              <w:t>zeroemisyjnej</w:t>
            </w:r>
            <w:proofErr w:type="spellEnd"/>
            <w:r w:rsidRPr="00DA2761">
              <w:rPr>
                <w:rFonts w:ascii="Calibri" w:eastAsia="Times New Roman" w:hAnsi="Calibri" w:cs="Times New Roman"/>
                <w:b/>
                <w:bCs/>
                <w:color w:val="000000" w:themeColor="text1"/>
                <w:lang w:eastAsia="pl-PL"/>
              </w:rPr>
              <w:t xml:space="preserve">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r w:rsidRPr="00DA2761">
              <w:rPr>
                <w:rFonts w:ascii="Calibri" w:eastAsia="Times New Roman" w:hAnsi="Calibri" w:cs="Times New Roman"/>
                <w:color w:val="000000" w:themeColor="text1"/>
                <w:lang w:eastAsia="pl-PL"/>
              </w:rPr>
              <w:br/>
            </w:r>
            <w:r w:rsidRPr="00DA2761">
              <w:rPr>
                <w:rFonts w:ascii="Calibri" w:eastAsia="Times New Roman" w:hAnsi="Calibri" w:cs="Times New Roman"/>
                <w:b/>
                <w:bCs/>
                <w:color w:val="000000" w:themeColor="text1"/>
                <w:lang w:eastAsia="pl-PL"/>
              </w:rPr>
              <w:t xml:space="preserve">KWOTA ALOKACJI ZIT WrOF:  28 769 093,00 EUR </w:t>
            </w:r>
          </w:p>
          <w:p w:rsidR="00185428" w:rsidRPr="00DA2761" w:rsidRDefault="00185428"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b/>
                <w:bCs/>
                <w:color w:val="000000" w:themeColor="text1"/>
                <w:lang w:eastAsia="pl-PL"/>
              </w:rPr>
              <w:t>KWOTA ALOKACJI ZIT WROF : 128 126 032,84 PLN (kurs 4,4536)</w:t>
            </w:r>
          </w:p>
        </w:tc>
      </w:tr>
    </w:tbl>
    <w:p w:rsidR="00DA2761" w:rsidRDefault="00DA2761"/>
    <w:tbl>
      <w:tblPr>
        <w:tblW w:w="501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1891"/>
        <w:gridCol w:w="1799"/>
        <w:gridCol w:w="1870"/>
        <w:gridCol w:w="3804"/>
        <w:gridCol w:w="4001"/>
        <w:gridCol w:w="2261"/>
        <w:gridCol w:w="3387"/>
        <w:gridCol w:w="2001"/>
      </w:tblGrid>
      <w:tr w:rsidR="0025738B" w:rsidRPr="00DA2761" w:rsidTr="00DA2761">
        <w:trPr>
          <w:trHeight w:val="1524"/>
          <w:tblHeader/>
        </w:trPr>
        <w:tc>
          <w:tcPr>
            <w:tcW w:w="450"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Nazwa obszaru</w:t>
            </w:r>
          </w:p>
        </w:tc>
        <w:tc>
          <w:tcPr>
            <w:tcW w:w="428"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EUR</w:t>
            </w:r>
          </w:p>
        </w:tc>
        <w:tc>
          <w:tcPr>
            <w:tcW w:w="445"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PLN </w:t>
            </w:r>
            <w:r w:rsidRPr="00DA2761">
              <w:rPr>
                <w:rFonts w:ascii="Calibri" w:eastAsia="Times New Roman" w:hAnsi="Calibri" w:cs="Times New Roman"/>
                <w:b/>
                <w:bCs/>
                <w:lang w:eastAsia="pl-PL"/>
              </w:rPr>
              <w:br/>
              <w:t>(kurs 4,4536)</w:t>
            </w:r>
          </w:p>
        </w:tc>
        <w:tc>
          <w:tcPr>
            <w:tcW w:w="905"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Cel szczegółowy z</w:t>
            </w:r>
            <w:r w:rsidR="00E748FC" w:rsidRPr="00DA2761">
              <w:rPr>
                <w:rFonts w:ascii="Calibri" w:eastAsia="Times New Roman" w:hAnsi="Calibri" w:cs="Times New Roman"/>
                <w:b/>
                <w:bCs/>
                <w:color w:val="000000"/>
                <w:lang w:eastAsia="pl-PL"/>
              </w:rPr>
              <w:t xml:space="preserve"> alokacji którego finansowane</w:t>
            </w:r>
            <w:r w:rsidRPr="00DA2761">
              <w:rPr>
                <w:rFonts w:ascii="Calibri" w:eastAsia="Times New Roman" w:hAnsi="Calibri" w:cs="Times New Roman"/>
                <w:b/>
                <w:bCs/>
                <w:color w:val="000000"/>
                <w:lang w:eastAsia="pl-PL"/>
              </w:rPr>
              <w:t xml:space="preserve"> będą zidentyfikowano projekty zintegrowane planowane do </w:t>
            </w:r>
            <w:r w:rsidR="00185428" w:rsidRPr="00DA2761">
              <w:rPr>
                <w:rFonts w:ascii="Calibri" w:eastAsia="Times New Roman" w:hAnsi="Calibri" w:cs="Times New Roman"/>
                <w:b/>
                <w:bCs/>
                <w:color w:val="000000"/>
                <w:lang w:eastAsia="pl-PL"/>
              </w:rPr>
              <w:t>realizacji</w:t>
            </w:r>
            <w:r w:rsidRPr="00DA2761">
              <w:rPr>
                <w:rFonts w:ascii="Calibri" w:eastAsia="Times New Roman" w:hAnsi="Calibri" w:cs="Times New Roman"/>
                <w:b/>
                <w:bCs/>
                <w:color w:val="000000"/>
                <w:lang w:eastAsia="pl-PL"/>
              </w:rPr>
              <w:t xml:space="preserve"> w trybie pozakonkursowym w ramach strategii ZIT WrOF</w:t>
            </w:r>
          </w:p>
        </w:tc>
        <w:tc>
          <w:tcPr>
            <w:tcW w:w="952"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 xml:space="preserve">Cel szczegółowy w </w:t>
            </w:r>
            <w:r w:rsidR="00E748FC" w:rsidRPr="00DA2761">
              <w:rPr>
                <w:rFonts w:ascii="Calibri" w:eastAsia="Times New Roman" w:hAnsi="Calibri" w:cs="Times New Roman"/>
                <w:b/>
                <w:bCs/>
                <w:color w:val="000000"/>
                <w:lang w:eastAsia="pl-PL"/>
              </w:rPr>
              <w:t xml:space="preserve">którym zidentyfikowano </w:t>
            </w:r>
            <w:r w:rsidRPr="00DA2761">
              <w:rPr>
                <w:rFonts w:ascii="Calibri" w:eastAsia="Times New Roman" w:hAnsi="Calibri" w:cs="Times New Roman"/>
                <w:b/>
                <w:bCs/>
                <w:color w:val="000000"/>
                <w:lang w:eastAsia="pl-PL"/>
              </w:rPr>
              <w:t xml:space="preserve">projekty zintegrowane planowane do </w:t>
            </w:r>
            <w:r w:rsidR="00185428" w:rsidRPr="00DA2761">
              <w:rPr>
                <w:rFonts w:ascii="Calibri" w:eastAsia="Times New Roman" w:hAnsi="Calibri" w:cs="Times New Roman"/>
                <w:b/>
                <w:bCs/>
                <w:color w:val="000000"/>
                <w:lang w:eastAsia="pl-PL"/>
              </w:rPr>
              <w:t>realizacji</w:t>
            </w:r>
            <w:r w:rsidRPr="00DA2761">
              <w:rPr>
                <w:rFonts w:ascii="Calibri" w:eastAsia="Times New Roman" w:hAnsi="Calibri" w:cs="Times New Roman"/>
                <w:b/>
                <w:bCs/>
                <w:color w:val="000000"/>
                <w:lang w:eastAsia="pl-PL"/>
              </w:rPr>
              <w:t xml:space="preserve"> w trybie pozakonkursowym w ramach strategii ZIT WrOF</w:t>
            </w:r>
          </w:p>
        </w:tc>
        <w:tc>
          <w:tcPr>
            <w:tcW w:w="538" w:type="pct"/>
            <w:shd w:val="clear" w:color="auto" w:fill="F2F2F2" w:themeFill="background1" w:themeFillShade="F2"/>
            <w:vAlign w:val="center"/>
            <w:hideMark/>
          </w:tcPr>
          <w:p w:rsidR="002045CC" w:rsidRPr="00DA2761" w:rsidRDefault="000870FD"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Planowany p</w:t>
            </w:r>
            <w:r w:rsidR="002045CC" w:rsidRPr="00DA2761">
              <w:rPr>
                <w:rFonts w:ascii="Calibri" w:eastAsia="Times New Roman" w:hAnsi="Calibri" w:cs="Times New Roman"/>
                <w:b/>
                <w:bCs/>
                <w:color w:val="000000"/>
                <w:lang w:eastAsia="pl-PL"/>
              </w:rPr>
              <w:t>oziom wykorzystania alokacji</w:t>
            </w:r>
            <w:r w:rsidR="002045CC" w:rsidRPr="00DA2761">
              <w:rPr>
                <w:rFonts w:ascii="Calibri" w:eastAsia="Times New Roman" w:hAnsi="Calibri" w:cs="Times New Roman"/>
                <w:b/>
                <w:bCs/>
                <w:color w:val="000000"/>
                <w:lang w:eastAsia="pl-PL"/>
              </w:rPr>
              <w:br/>
              <w:t xml:space="preserve"> w PLN   </w:t>
            </w:r>
          </w:p>
        </w:tc>
        <w:tc>
          <w:tcPr>
            <w:tcW w:w="806"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 xml:space="preserve">Nazwy wiązek projektowych </w:t>
            </w:r>
          </w:p>
        </w:tc>
        <w:tc>
          <w:tcPr>
            <w:tcW w:w="476" w:type="pct"/>
            <w:shd w:val="clear" w:color="auto" w:fill="F2F2F2" w:themeFill="background1" w:themeFillShade="F2"/>
            <w:vAlign w:val="center"/>
            <w:hideMark/>
          </w:tcPr>
          <w:p w:rsidR="00185428" w:rsidRPr="00DA2761" w:rsidRDefault="000870FD"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Szacowane w</w:t>
            </w:r>
            <w:r w:rsidR="002045CC" w:rsidRPr="00DA2761">
              <w:rPr>
                <w:rFonts w:ascii="Calibri" w:eastAsia="Times New Roman" w:hAnsi="Calibri" w:cs="Times New Roman"/>
                <w:b/>
                <w:bCs/>
                <w:color w:val="000000"/>
                <w:lang w:eastAsia="pl-PL"/>
              </w:rPr>
              <w:t xml:space="preserve">artości dofinansowania UE </w:t>
            </w:r>
            <w:r w:rsidR="00CF1B43" w:rsidRPr="00DA2761">
              <w:rPr>
                <w:rFonts w:ascii="Calibri" w:eastAsia="Times New Roman" w:hAnsi="Calibri" w:cs="Times New Roman"/>
                <w:b/>
                <w:bCs/>
                <w:color w:val="000000"/>
                <w:lang w:eastAsia="pl-PL"/>
              </w:rPr>
              <w:br/>
            </w:r>
            <w:r w:rsidR="002045CC" w:rsidRPr="00DA2761">
              <w:rPr>
                <w:rFonts w:ascii="Calibri" w:eastAsia="Times New Roman" w:hAnsi="Calibri" w:cs="Times New Roman"/>
                <w:b/>
                <w:bCs/>
                <w:color w:val="000000"/>
                <w:lang w:eastAsia="pl-PL"/>
              </w:rPr>
              <w:t>w  planowanych wiązkach projektowych</w:t>
            </w:r>
            <w:r w:rsidR="002045CC" w:rsidRPr="00DA2761">
              <w:rPr>
                <w:rFonts w:ascii="Calibri" w:eastAsia="Times New Roman" w:hAnsi="Calibri" w:cs="Times New Roman"/>
                <w:b/>
                <w:bCs/>
                <w:color w:val="000000"/>
                <w:lang w:eastAsia="pl-PL"/>
              </w:rPr>
              <w:br/>
              <w:t>w PLN</w:t>
            </w:r>
          </w:p>
          <w:p w:rsidR="002045CC" w:rsidRPr="00DA2761" w:rsidRDefault="00185428"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(kurs: 4,4536)</w:t>
            </w:r>
          </w:p>
        </w:tc>
      </w:tr>
      <w:tr w:rsidR="00691F9A" w:rsidRPr="00DA2761" w:rsidTr="00DA2761">
        <w:trPr>
          <w:trHeight w:val="1304"/>
        </w:trPr>
        <w:tc>
          <w:tcPr>
            <w:tcW w:w="450"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Efektywność energetyczna</w:t>
            </w:r>
          </w:p>
        </w:tc>
        <w:tc>
          <w:tcPr>
            <w:tcW w:w="428"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2 590 000,00</w:t>
            </w:r>
          </w:p>
        </w:tc>
        <w:tc>
          <w:tcPr>
            <w:tcW w:w="445"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11 534 824,00</w:t>
            </w:r>
          </w:p>
        </w:tc>
        <w:tc>
          <w:tcPr>
            <w:tcW w:w="905"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RSO2.1. Wspieranie efektywności energetycznej i redukcji emisji gazów cieplarnianych</w:t>
            </w:r>
          </w:p>
        </w:tc>
        <w:tc>
          <w:tcPr>
            <w:tcW w:w="952"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RSO2.1. Wspieranie efektywności energetycznej i redukcji emisji gazów cieplarnianych</w:t>
            </w:r>
          </w:p>
        </w:tc>
        <w:tc>
          <w:tcPr>
            <w:tcW w:w="538" w:type="pct"/>
            <w:shd w:val="clear" w:color="auto" w:fill="FFFFFF" w:themeFill="background1"/>
            <w:vAlign w:val="center"/>
            <w:hideMark/>
          </w:tcPr>
          <w:p w:rsidR="002045CC" w:rsidRPr="00DA2761" w:rsidRDefault="00D10349"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11 533 968,17</w:t>
            </w: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3: Termomodernizacja budynków użyteczności publicznej we Wrocławskim Obszarze Funkcjonalnym</w:t>
            </w:r>
          </w:p>
        </w:tc>
        <w:tc>
          <w:tcPr>
            <w:tcW w:w="476" w:type="pct"/>
            <w:shd w:val="clear" w:color="auto" w:fill="FFFFFF" w:themeFill="background1"/>
            <w:vAlign w:val="center"/>
            <w:hideMark/>
          </w:tcPr>
          <w:p w:rsidR="002045CC" w:rsidRPr="00DA2761" w:rsidRDefault="00EA0B77"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11 533 968,17</w:t>
            </w:r>
          </w:p>
        </w:tc>
      </w:tr>
      <w:tr w:rsidR="00691F9A" w:rsidRPr="00DA2761" w:rsidTr="00DA2761">
        <w:trPr>
          <w:trHeight w:val="1304"/>
        </w:trPr>
        <w:tc>
          <w:tcPr>
            <w:tcW w:w="450"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Gospodarka wodno-ściekowa</w:t>
            </w:r>
          </w:p>
        </w:tc>
        <w:tc>
          <w:tcPr>
            <w:tcW w:w="428"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13 557 254,00</w:t>
            </w:r>
          </w:p>
        </w:tc>
        <w:tc>
          <w:tcPr>
            <w:tcW w:w="445"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60 378 586,41</w:t>
            </w:r>
          </w:p>
        </w:tc>
        <w:tc>
          <w:tcPr>
            <w:tcW w:w="905"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RSO2.5. Wspieranie dostępu do wody oraz zrównoważonej gospodarki wodnej</w:t>
            </w:r>
          </w:p>
        </w:tc>
        <w:tc>
          <w:tcPr>
            <w:tcW w:w="952"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RSO2.5. Wspieranie dostępu do wody oraz zrównoważonej gospodarki wodnej</w:t>
            </w:r>
          </w:p>
        </w:tc>
        <w:tc>
          <w:tcPr>
            <w:tcW w:w="538" w:type="pct"/>
            <w:vMerge w:val="restart"/>
            <w:shd w:val="clear" w:color="auto" w:fill="FFFFFF" w:themeFill="background1"/>
            <w:vAlign w:val="center"/>
            <w:hideMark/>
          </w:tcPr>
          <w:p w:rsidR="002045CC" w:rsidRPr="00DA2761" w:rsidRDefault="00256C30"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60 336 336,01</w:t>
            </w: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4: Poprawa sytuacji gospodarki wodno-ściekowej w aglomeracjach od 10 tys. do 15 tys. RLM znajdujących się we Wrocławskim Obszarze Funkcjonalnym</w:t>
            </w:r>
          </w:p>
        </w:tc>
        <w:tc>
          <w:tcPr>
            <w:tcW w:w="47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26 627 634,15</w:t>
            </w:r>
          </w:p>
        </w:tc>
      </w:tr>
      <w:tr w:rsidR="00691F9A" w:rsidRPr="00DA2761" w:rsidTr="00DA2761">
        <w:trPr>
          <w:trHeight w:val="1304"/>
        </w:trPr>
        <w:tc>
          <w:tcPr>
            <w:tcW w:w="450"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428"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445"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905"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952"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538"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5: Poprawa sytuacji gospodarki wodno-ściekowej w aglomeracjach od 2 do poniżej 10 tys. RLM znajdujących się we Wrocławskim Obszarze Funkcjonalnym</w:t>
            </w:r>
          </w:p>
        </w:tc>
        <w:tc>
          <w:tcPr>
            <w:tcW w:w="476" w:type="pct"/>
            <w:shd w:val="clear" w:color="auto" w:fill="FFFFFF" w:themeFill="background1"/>
            <w:vAlign w:val="center"/>
            <w:hideMark/>
          </w:tcPr>
          <w:p w:rsidR="002045CC" w:rsidRPr="00DA2761" w:rsidRDefault="00256C30"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33 708 701,86</w:t>
            </w:r>
          </w:p>
        </w:tc>
      </w:tr>
      <w:tr w:rsidR="00691F9A" w:rsidRPr="00DA2761" w:rsidTr="00DA2761">
        <w:trPr>
          <w:trHeight w:val="1304"/>
        </w:trPr>
        <w:tc>
          <w:tcPr>
            <w:tcW w:w="450"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Ochrona przyrody i klimatu</w:t>
            </w:r>
          </w:p>
        </w:tc>
        <w:tc>
          <w:tcPr>
            <w:tcW w:w="428"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2 966 747,00</w:t>
            </w:r>
          </w:p>
        </w:tc>
        <w:tc>
          <w:tcPr>
            <w:tcW w:w="445"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13 212 704,44</w:t>
            </w:r>
          </w:p>
        </w:tc>
        <w:tc>
          <w:tcPr>
            <w:tcW w:w="905"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RSO2.7. Wzmacnianie ochrony i zachowania przyrody, różnorodności biologicznej oraz zielonej infrastruktury, w tym na obszarach miejskich, oraz ograniczanie wszelkich rodzajów zanieczyszczenia</w:t>
            </w:r>
          </w:p>
        </w:tc>
        <w:tc>
          <w:tcPr>
            <w:tcW w:w="952"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RSO2.7. Wzmacnianie ochrony i zachowania przyrody, różnorodności biologicznej oraz zielonej infrastruktury, w tym na obszarach miejskich, oraz ograniczanie wszelkich rodzajów zanieczyszczenia</w:t>
            </w:r>
          </w:p>
        </w:tc>
        <w:tc>
          <w:tcPr>
            <w:tcW w:w="538"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13 212 703,24</w:t>
            </w: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6: Rozwój terenów zielonych i adaptacja do zmian klimatu we Wrocławskim Obszarze Funkcjonalnym</w:t>
            </w:r>
          </w:p>
        </w:tc>
        <w:tc>
          <w:tcPr>
            <w:tcW w:w="47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13 212 703,24</w:t>
            </w:r>
          </w:p>
        </w:tc>
      </w:tr>
      <w:tr w:rsidR="00691F9A" w:rsidRPr="00DA2761" w:rsidTr="00DA2761">
        <w:trPr>
          <w:trHeight w:val="1304"/>
        </w:trPr>
        <w:tc>
          <w:tcPr>
            <w:tcW w:w="450"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Mobilność miejska i aglomeracyjna</w:t>
            </w:r>
          </w:p>
        </w:tc>
        <w:tc>
          <w:tcPr>
            <w:tcW w:w="428"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9 655 092,00</w:t>
            </w:r>
          </w:p>
        </w:tc>
        <w:tc>
          <w:tcPr>
            <w:tcW w:w="445"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42 999 917,73</w:t>
            </w:r>
          </w:p>
        </w:tc>
        <w:tc>
          <w:tcPr>
            <w:tcW w:w="905"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 xml:space="preserve">RSO2.8. Wspieranie zrównoważonej multimodalnej mobilności miejskiej jako elementu transformacji w kierunku gospodarki </w:t>
            </w:r>
            <w:proofErr w:type="spellStart"/>
            <w:r w:rsidRPr="00DA2761">
              <w:rPr>
                <w:rFonts w:ascii="Calibri" w:eastAsia="Times New Roman" w:hAnsi="Calibri" w:cs="Times New Roman"/>
                <w:color w:val="000000"/>
                <w:lang w:eastAsia="pl-PL"/>
              </w:rPr>
              <w:t>zeroemisyjnej</w:t>
            </w:r>
            <w:proofErr w:type="spellEnd"/>
          </w:p>
        </w:tc>
        <w:tc>
          <w:tcPr>
            <w:tcW w:w="952" w:type="pct"/>
            <w:vMerge w:val="restar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 xml:space="preserve">RSO2.8. Wspieranie zrównoważonej multimodalnej mobilności miejskiej jako elementu transformacji w kierunku gospodarki </w:t>
            </w:r>
            <w:proofErr w:type="spellStart"/>
            <w:r w:rsidRPr="00DA2761">
              <w:rPr>
                <w:rFonts w:ascii="Calibri" w:eastAsia="Times New Roman" w:hAnsi="Calibri" w:cs="Times New Roman"/>
                <w:color w:val="000000"/>
                <w:lang w:eastAsia="pl-PL"/>
              </w:rPr>
              <w:t>zeroemisyjnej</w:t>
            </w:r>
            <w:proofErr w:type="spellEnd"/>
          </w:p>
        </w:tc>
        <w:tc>
          <w:tcPr>
            <w:tcW w:w="538" w:type="pct"/>
            <w:vMerge w:val="restart"/>
            <w:shd w:val="clear" w:color="auto" w:fill="FFFFFF" w:themeFill="background1"/>
            <w:vAlign w:val="center"/>
            <w:hideMark/>
          </w:tcPr>
          <w:p w:rsidR="002045CC" w:rsidRPr="00DA2761" w:rsidRDefault="00F8460C"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42 999 899,21</w:t>
            </w: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9: Budowa lub rozbudowa centrów, węzłów przesiadkowych, P&amp;R oraz B&amp;R na terenie Wrocławskiego Obszaru Funkcjonalnego</w:t>
            </w:r>
          </w:p>
        </w:tc>
        <w:tc>
          <w:tcPr>
            <w:tcW w:w="476" w:type="pct"/>
            <w:shd w:val="clear" w:color="auto" w:fill="FFFFFF" w:themeFill="background1"/>
            <w:vAlign w:val="center"/>
            <w:hideMark/>
          </w:tcPr>
          <w:p w:rsidR="002045CC" w:rsidRPr="00DA2761" w:rsidRDefault="00BA43EF" w:rsidP="00DA2761">
            <w:pPr>
              <w:spacing w:after="0" w:line="240" w:lineRule="auto"/>
              <w:jc w:val="left"/>
              <w:rPr>
                <w:rFonts w:ascii="Calibri" w:eastAsia="Times New Roman" w:hAnsi="Calibri" w:cs="Times New Roman"/>
                <w:lang w:eastAsia="pl-PL"/>
              </w:rPr>
            </w:pPr>
            <w:r w:rsidRPr="00DA2761">
              <w:t xml:space="preserve"> </w:t>
            </w:r>
            <w:r w:rsidRPr="00DA2761">
              <w:rPr>
                <w:rFonts w:ascii="Calibri" w:eastAsia="Times New Roman" w:hAnsi="Calibri" w:cs="Times New Roman"/>
                <w:lang w:eastAsia="pl-PL"/>
              </w:rPr>
              <w:t>21 702 408,67</w:t>
            </w:r>
          </w:p>
        </w:tc>
      </w:tr>
      <w:tr w:rsidR="0025738B" w:rsidRPr="00DA2761" w:rsidTr="00DA2761">
        <w:trPr>
          <w:trHeight w:val="1304"/>
        </w:trPr>
        <w:tc>
          <w:tcPr>
            <w:tcW w:w="450"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428"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445"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p>
        </w:tc>
        <w:tc>
          <w:tcPr>
            <w:tcW w:w="905"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952"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538" w:type="pct"/>
            <w:vMerge/>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color w:val="000000"/>
                <w:lang w:eastAsia="pl-PL"/>
              </w:rPr>
            </w:pPr>
          </w:p>
        </w:tc>
        <w:tc>
          <w:tcPr>
            <w:tcW w:w="806" w:type="pct"/>
            <w:shd w:val="clear" w:color="auto" w:fill="FFFFFF" w:themeFill="background1"/>
            <w:vAlign w:val="center"/>
            <w:hideMark/>
          </w:tcPr>
          <w:p w:rsidR="002045CC" w:rsidRPr="00DA2761" w:rsidRDefault="002045CC"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Wiązka projektów 7: Budowa lub rozbudowa dróg, ścieżek, tras rowerowych oraz ciągów pieszo-rowerowych na terenie Wrocławskiego Obszaru Funkcjonalnego</w:t>
            </w:r>
          </w:p>
        </w:tc>
        <w:tc>
          <w:tcPr>
            <w:tcW w:w="476" w:type="pct"/>
            <w:shd w:val="clear" w:color="auto" w:fill="FFFFFF" w:themeFill="background1"/>
            <w:vAlign w:val="center"/>
            <w:hideMark/>
          </w:tcPr>
          <w:p w:rsidR="002045CC" w:rsidRPr="00DA2761" w:rsidRDefault="00BA43EF"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21 297 409,54</w:t>
            </w:r>
          </w:p>
        </w:tc>
      </w:tr>
    </w:tbl>
    <w:p w:rsidR="00E7118C" w:rsidRDefault="00E7118C" w:rsidP="00286689">
      <w:pPr>
        <w:jc w:val="center"/>
        <w:rPr>
          <w:b/>
          <w:color w:val="0070C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0968"/>
      </w:tblGrid>
      <w:tr w:rsidR="0025738B" w:rsidRPr="00DA2761" w:rsidTr="00DA2761">
        <w:trPr>
          <w:trHeight w:val="1305"/>
          <w:tblHeader/>
        </w:trPr>
        <w:tc>
          <w:tcPr>
            <w:tcW w:w="5000" w:type="pct"/>
            <w:shd w:val="clear" w:color="auto" w:fill="D4EAF3"/>
            <w:vAlign w:val="center"/>
            <w:hideMark/>
          </w:tcPr>
          <w:p w:rsidR="0025738B" w:rsidRPr="00DA2761" w:rsidRDefault="0025738B" w:rsidP="00DA2761">
            <w:pPr>
              <w:spacing w:after="0" w:line="240" w:lineRule="auto"/>
              <w:jc w:val="left"/>
              <w:rPr>
                <w:rFonts w:ascii="Calibri" w:eastAsia="Times New Roman" w:hAnsi="Calibri" w:cs="Times New Roman"/>
                <w:b/>
                <w:bCs/>
                <w:color w:val="000000" w:themeColor="text1"/>
                <w:lang w:eastAsia="pl-PL"/>
              </w:rPr>
            </w:pPr>
            <w:r w:rsidRPr="00DA2761">
              <w:rPr>
                <w:rFonts w:ascii="Calibri" w:eastAsia="Times New Roman" w:hAnsi="Calibri" w:cs="Times New Roman"/>
                <w:b/>
                <w:bCs/>
                <w:color w:val="000000" w:themeColor="text1"/>
                <w:lang w:eastAsia="pl-PL"/>
              </w:rPr>
              <w:t>CP4 EFS +</w:t>
            </w:r>
            <w:r w:rsidRPr="00DA2761">
              <w:rPr>
                <w:rFonts w:ascii="Calibri" w:eastAsia="Times New Roman" w:hAnsi="Calibri" w:cs="Times New Roman"/>
                <w:b/>
                <w:bCs/>
                <w:color w:val="000000" w:themeColor="text1"/>
                <w:lang w:eastAsia="pl-PL"/>
              </w:rPr>
              <w:br/>
              <w:t>Europa o silniejszym wymiarze społecznym, bardziej sprzyjająca włączeniu społecznemu i wdrażająca Europejski filar praw socjalnych</w:t>
            </w:r>
            <w:r w:rsidRPr="00DA2761">
              <w:rPr>
                <w:rFonts w:ascii="Calibri" w:eastAsia="Times New Roman" w:hAnsi="Calibri" w:cs="Times New Roman"/>
                <w:color w:val="000000" w:themeColor="text1"/>
                <w:lang w:eastAsia="pl-PL"/>
              </w:rPr>
              <w:br/>
            </w:r>
            <w:r w:rsidRPr="00DA2761">
              <w:rPr>
                <w:rFonts w:ascii="Calibri" w:eastAsia="Times New Roman" w:hAnsi="Calibri" w:cs="Times New Roman"/>
                <w:b/>
                <w:bCs/>
                <w:color w:val="000000" w:themeColor="text1"/>
                <w:lang w:eastAsia="pl-PL"/>
              </w:rPr>
              <w:t>KWOTA ALOKACJI ZIT WrOF: 8 000 000,00 EUR</w:t>
            </w:r>
          </w:p>
          <w:p w:rsidR="0025738B" w:rsidRPr="00DA2761" w:rsidRDefault="0025738B"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b/>
                <w:bCs/>
                <w:color w:val="000000" w:themeColor="text1"/>
                <w:lang w:eastAsia="pl-PL"/>
              </w:rPr>
              <w:t>KWOTA ALOKACJI ZIT WROF : 35 628 800 PLN (kurs 4,4536)</w:t>
            </w:r>
          </w:p>
        </w:tc>
      </w:tr>
    </w:tbl>
    <w:p w:rsidR="00DA2761" w:rsidRPr="00DA2761" w:rsidRDefault="00DA2761">
      <w:pPr>
        <w:rPr>
          <w:sz w:val="2"/>
          <w:szCs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139"/>
        <w:gridCol w:w="1795"/>
        <w:gridCol w:w="1841"/>
        <w:gridCol w:w="3107"/>
        <w:gridCol w:w="4852"/>
        <w:gridCol w:w="1954"/>
        <w:gridCol w:w="3338"/>
        <w:gridCol w:w="1942"/>
      </w:tblGrid>
      <w:tr w:rsidR="00691F9A" w:rsidRPr="00DA2761" w:rsidTr="00DA2761">
        <w:trPr>
          <w:trHeight w:val="1305"/>
          <w:tblHeader/>
        </w:trPr>
        <w:tc>
          <w:tcPr>
            <w:tcW w:w="510"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Nazwa obszaru</w:t>
            </w:r>
          </w:p>
        </w:tc>
        <w:tc>
          <w:tcPr>
            <w:tcW w:w="428"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EUR</w:t>
            </w:r>
          </w:p>
        </w:tc>
        <w:tc>
          <w:tcPr>
            <w:tcW w:w="439"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PLN </w:t>
            </w:r>
            <w:r w:rsidRPr="00DA2761">
              <w:rPr>
                <w:rFonts w:ascii="Calibri" w:eastAsia="Times New Roman" w:hAnsi="Calibri" w:cs="Times New Roman"/>
                <w:b/>
                <w:bCs/>
                <w:lang w:eastAsia="pl-PL"/>
              </w:rPr>
              <w:br/>
              <w:t>(kurs 4,4536)</w:t>
            </w:r>
          </w:p>
        </w:tc>
        <w:tc>
          <w:tcPr>
            <w:tcW w:w="741"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 xml:space="preserve">Cel szczegółowy z </w:t>
            </w:r>
            <w:r w:rsidR="002C495B" w:rsidRPr="00DA2761">
              <w:rPr>
                <w:rFonts w:ascii="Calibri" w:eastAsia="Times New Roman" w:hAnsi="Calibri" w:cs="Times New Roman"/>
                <w:b/>
                <w:bCs/>
                <w:color w:val="000000"/>
                <w:lang w:eastAsia="pl-PL"/>
              </w:rPr>
              <w:t>alokacji którego finansowane</w:t>
            </w:r>
            <w:r w:rsidR="00E60C99" w:rsidRPr="00DA2761">
              <w:rPr>
                <w:rFonts w:ascii="Calibri" w:eastAsia="Times New Roman" w:hAnsi="Calibri" w:cs="Times New Roman"/>
                <w:b/>
                <w:bCs/>
                <w:color w:val="000000"/>
                <w:lang w:eastAsia="pl-PL"/>
              </w:rPr>
              <w:t xml:space="preserve"> </w:t>
            </w:r>
            <w:r w:rsidRPr="00DA2761">
              <w:rPr>
                <w:rFonts w:ascii="Calibri" w:eastAsia="Times New Roman" w:hAnsi="Calibri" w:cs="Times New Roman"/>
                <w:b/>
                <w:bCs/>
                <w:color w:val="000000"/>
                <w:lang w:eastAsia="pl-PL"/>
              </w:rPr>
              <w:t>będą zidentyfikowano projekty zintegrowane planowane do re</w:t>
            </w:r>
            <w:r w:rsidR="002C495B" w:rsidRPr="00DA2761">
              <w:rPr>
                <w:rFonts w:ascii="Calibri" w:eastAsia="Times New Roman" w:hAnsi="Calibri" w:cs="Times New Roman"/>
                <w:b/>
                <w:bCs/>
                <w:color w:val="000000"/>
                <w:lang w:eastAsia="pl-PL"/>
              </w:rPr>
              <w:t>a</w:t>
            </w:r>
            <w:r w:rsidRPr="00DA2761">
              <w:rPr>
                <w:rFonts w:ascii="Calibri" w:eastAsia="Times New Roman" w:hAnsi="Calibri" w:cs="Times New Roman"/>
                <w:b/>
                <w:bCs/>
                <w:color w:val="000000"/>
                <w:lang w:eastAsia="pl-PL"/>
              </w:rPr>
              <w:t>lizacji w trybie pozakonkursowym w ramach strategii ZIT WrOF</w:t>
            </w:r>
          </w:p>
        </w:tc>
        <w:tc>
          <w:tcPr>
            <w:tcW w:w="1157"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Cel szczegółowy w</w:t>
            </w:r>
            <w:r w:rsidR="00E60C99" w:rsidRPr="00DA2761">
              <w:rPr>
                <w:rFonts w:ascii="Calibri" w:eastAsia="Times New Roman" w:hAnsi="Calibri" w:cs="Times New Roman"/>
                <w:b/>
                <w:bCs/>
                <w:color w:val="000000"/>
                <w:lang w:eastAsia="pl-PL"/>
              </w:rPr>
              <w:t xml:space="preserve"> </w:t>
            </w:r>
            <w:r w:rsidR="00D71896" w:rsidRPr="00DA2761">
              <w:rPr>
                <w:rFonts w:ascii="Calibri" w:eastAsia="Times New Roman" w:hAnsi="Calibri" w:cs="Times New Roman"/>
                <w:b/>
                <w:bCs/>
                <w:color w:val="000000"/>
                <w:lang w:eastAsia="pl-PL"/>
              </w:rPr>
              <w:t>którym</w:t>
            </w:r>
            <w:r w:rsidR="00E60C99" w:rsidRPr="00DA2761">
              <w:rPr>
                <w:rFonts w:ascii="Calibri" w:eastAsia="Times New Roman" w:hAnsi="Calibri" w:cs="Times New Roman"/>
                <w:b/>
                <w:bCs/>
                <w:color w:val="000000"/>
                <w:lang w:eastAsia="pl-PL"/>
              </w:rPr>
              <w:t xml:space="preserve"> </w:t>
            </w:r>
            <w:r w:rsidR="00D71896" w:rsidRPr="00DA2761">
              <w:rPr>
                <w:rFonts w:ascii="Calibri" w:eastAsia="Times New Roman" w:hAnsi="Calibri" w:cs="Times New Roman"/>
                <w:b/>
                <w:bCs/>
                <w:color w:val="000000"/>
                <w:lang w:eastAsia="pl-PL"/>
              </w:rPr>
              <w:t>zidentyfikowano</w:t>
            </w:r>
            <w:r w:rsidR="00E60C99" w:rsidRPr="00DA2761">
              <w:rPr>
                <w:rFonts w:ascii="Calibri" w:eastAsia="Times New Roman" w:hAnsi="Calibri" w:cs="Times New Roman"/>
                <w:b/>
                <w:bCs/>
                <w:color w:val="000000"/>
                <w:lang w:eastAsia="pl-PL"/>
              </w:rPr>
              <w:t xml:space="preserve"> </w:t>
            </w:r>
            <w:r w:rsidRPr="00DA2761">
              <w:rPr>
                <w:rFonts w:ascii="Calibri" w:eastAsia="Times New Roman" w:hAnsi="Calibri" w:cs="Times New Roman"/>
                <w:b/>
                <w:bCs/>
                <w:color w:val="000000"/>
                <w:lang w:eastAsia="pl-PL"/>
              </w:rPr>
              <w:t>projekty zintegrowane planowane do re</w:t>
            </w:r>
            <w:r w:rsidR="00D71896" w:rsidRPr="00DA2761">
              <w:rPr>
                <w:rFonts w:ascii="Calibri" w:eastAsia="Times New Roman" w:hAnsi="Calibri" w:cs="Times New Roman"/>
                <w:b/>
                <w:bCs/>
                <w:color w:val="000000"/>
                <w:lang w:eastAsia="pl-PL"/>
              </w:rPr>
              <w:t>a</w:t>
            </w:r>
            <w:r w:rsidRPr="00DA2761">
              <w:rPr>
                <w:rFonts w:ascii="Calibri" w:eastAsia="Times New Roman" w:hAnsi="Calibri" w:cs="Times New Roman"/>
                <w:b/>
                <w:bCs/>
                <w:color w:val="000000"/>
                <w:lang w:eastAsia="pl-PL"/>
              </w:rPr>
              <w:t>lizacji w trybie pozakonkursowym w ramach strategii ZIT WrOF</w:t>
            </w:r>
          </w:p>
        </w:tc>
        <w:tc>
          <w:tcPr>
            <w:tcW w:w="466" w:type="pct"/>
            <w:shd w:val="clear" w:color="auto" w:fill="F2F2F2" w:themeFill="background1" w:themeFillShade="F2"/>
            <w:vAlign w:val="center"/>
            <w:hideMark/>
          </w:tcPr>
          <w:p w:rsidR="002045CC" w:rsidRPr="00DA2761" w:rsidRDefault="00166C4E"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Planowany p</w:t>
            </w:r>
            <w:r w:rsidR="002045CC" w:rsidRPr="00DA2761">
              <w:rPr>
                <w:rFonts w:ascii="Calibri" w:eastAsia="Times New Roman" w:hAnsi="Calibri" w:cs="Times New Roman"/>
                <w:b/>
                <w:bCs/>
                <w:color w:val="000000"/>
                <w:lang w:eastAsia="pl-PL"/>
              </w:rPr>
              <w:t>oziom wykorzystania alokacji</w:t>
            </w:r>
            <w:r w:rsidR="002045CC" w:rsidRPr="00DA2761">
              <w:rPr>
                <w:rFonts w:ascii="Calibri" w:eastAsia="Times New Roman" w:hAnsi="Calibri" w:cs="Times New Roman"/>
                <w:b/>
                <w:bCs/>
                <w:color w:val="000000"/>
                <w:lang w:eastAsia="pl-PL"/>
              </w:rPr>
              <w:br/>
              <w:t xml:space="preserve"> w PLN   </w:t>
            </w:r>
          </w:p>
        </w:tc>
        <w:tc>
          <w:tcPr>
            <w:tcW w:w="796" w:type="pct"/>
            <w:shd w:val="clear" w:color="auto" w:fill="F2F2F2" w:themeFill="background1" w:themeFillShade="F2"/>
            <w:vAlign w:val="center"/>
            <w:hideMark/>
          </w:tcPr>
          <w:p w:rsidR="002045CC" w:rsidRPr="00DA2761" w:rsidRDefault="002045CC" w:rsidP="00DA2761">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 xml:space="preserve">Nazwy wiązek projektowych </w:t>
            </w:r>
          </w:p>
        </w:tc>
        <w:tc>
          <w:tcPr>
            <w:tcW w:w="463" w:type="pct"/>
            <w:shd w:val="clear" w:color="auto" w:fill="F2F2F2" w:themeFill="background1" w:themeFillShade="F2"/>
            <w:vAlign w:val="center"/>
            <w:hideMark/>
          </w:tcPr>
          <w:p w:rsidR="00185428" w:rsidRPr="00DA2761" w:rsidRDefault="00166C4E"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Szacowane w</w:t>
            </w:r>
            <w:r w:rsidR="002045CC" w:rsidRPr="00DA2761">
              <w:rPr>
                <w:rFonts w:ascii="Calibri" w:eastAsia="Times New Roman" w:hAnsi="Calibri" w:cs="Times New Roman"/>
                <w:b/>
                <w:bCs/>
                <w:color w:val="000000"/>
                <w:lang w:eastAsia="pl-PL"/>
              </w:rPr>
              <w:t xml:space="preserve">artości dofinansowania UE </w:t>
            </w:r>
            <w:r w:rsidR="00CF1B43" w:rsidRPr="00DA2761">
              <w:rPr>
                <w:rFonts w:ascii="Calibri" w:eastAsia="Times New Roman" w:hAnsi="Calibri" w:cs="Times New Roman"/>
                <w:b/>
                <w:bCs/>
                <w:color w:val="000000"/>
                <w:lang w:eastAsia="pl-PL"/>
              </w:rPr>
              <w:br/>
            </w:r>
            <w:r w:rsidR="002045CC" w:rsidRPr="00DA2761">
              <w:rPr>
                <w:rFonts w:ascii="Calibri" w:eastAsia="Times New Roman" w:hAnsi="Calibri" w:cs="Times New Roman"/>
                <w:b/>
                <w:bCs/>
                <w:color w:val="000000"/>
                <w:lang w:eastAsia="pl-PL"/>
              </w:rPr>
              <w:t>w  planowanych wiązkach projektowych</w:t>
            </w:r>
            <w:r w:rsidR="002045CC" w:rsidRPr="00DA2761">
              <w:rPr>
                <w:rFonts w:ascii="Calibri" w:eastAsia="Times New Roman" w:hAnsi="Calibri" w:cs="Times New Roman"/>
                <w:b/>
                <w:bCs/>
                <w:color w:val="000000"/>
                <w:lang w:eastAsia="pl-PL"/>
              </w:rPr>
              <w:br/>
              <w:t>w PLN</w:t>
            </w:r>
          </w:p>
          <w:p w:rsidR="002045CC" w:rsidRPr="00DA2761" w:rsidRDefault="00185428" w:rsidP="00DA2761">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(kurs 4,4536)</w:t>
            </w:r>
          </w:p>
        </w:tc>
      </w:tr>
      <w:tr w:rsidR="00AA6CB7" w:rsidRPr="00DA2761" w:rsidTr="00DA2761">
        <w:trPr>
          <w:trHeight w:val="1575"/>
        </w:trPr>
        <w:tc>
          <w:tcPr>
            <w:tcW w:w="510"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 xml:space="preserve">Usługi społeczne </w:t>
            </w:r>
          </w:p>
        </w:tc>
        <w:tc>
          <w:tcPr>
            <w:tcW w:w="428"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4 800 000,00</w:t>
            </w:r>
          </w:p>
        </w:tc>
        <w:tc>
          <w:tcPr>
            <w:tcW w:w="439"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21 377 280,00</w:t>
            </w:r>
          </w:p>
        </w:tc>
        <w:tc>
          <w:tcPr>
            <w:tcW w:w="741" w:type="pct"/>
            <w:shd w:val="clear" w:color="auto" w:fill="FFFFFF" w:themeFill="background1"/>
            <w:vAlign w:val="center"/>
            <w:hideMark/>
          </w:tcPr>
          <w:p w:rsidR="00AA6CB7" w:rsidRPr="00DA2761" w:rsidRDefault="005F4EFA"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lang w:eastAsia="pl-PL"/>
              </w:rPr>
              <w:t>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c>
          <w:tcPr>
            <w:tcW w:w="1157" w:type="pct"/>
            <w:shd w:val="clear" w:color="auto" w:fill="FFFFFF" w:themeFill="background1"/>
            <w:vAlign w:val="center"/>
            <w:hideMark/>
          </w:tcPr>
          <w:p w:rsidR="00AA6CB7" w:rsidRPr="00DA2761" w:rsidRDefault="005F4EFA"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lang w:eastAsia="pl-PL"/>
              </w:rPr>
              <w:t>ESO4.11.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tc>
        <w:tc>
          <w:tcPr>
            <w:tcW w:w="466"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21 308 364,00</w:t>
            </w:r>
          </w:p>
        </w:tc>
        <w:tc>
          <w:tcPr>
            <w:tcW w:w="796"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Wiązka projektów 1: Rozwój usług społecznych na terenie ZIT Wrocławskiego Obszaru Funkcjonalnego</w:t>
            </w:r>
          </w:p>
        </w:tc>
        <w:tc>
          <w:tcPr>
            <w:tcW w:w="463" w:type="pct"/>
            <w:shd w:val="clear" w:color="auto" w:fill="FFFFFF" w:themeFill="background1"/>
            <w:vAlign w:val="center"/>
            <w:hideMark/>
          </w:tcPr>
          <w:p w:rsidR="00AA6CB7" w:rsidRPr="00DA2761" w:rsidRDefault="00AA6CB7"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21 308 364,00</w:t>
            </w:r>
          </w:p>
        </w:tc>
      </w:tr>
      <w:tr w:rsidR="00453861" w:rsidRPr="00DA2761" w:rsidTr="00DA2761">
        <w:trPr>
          <w:trHeight w:val="1575"/>
        </w:trPr>
        <w:tc>
          <w:tcPr>
            <w:tcW w:w="510"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Dostęp do edukacji w zakresie przedszkoli</w:t>
            </w:r>
          </w:p>
        </w:tc>
        <w:tc>
          <w:tcPr>
            <w:tcW w:w="428"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1 700 000,00</w:t>
            </w:r>
          </w:p>
        </w:tc>
        <w:tc>
          <w:tcPr>
            <w:tcW w:w="439"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7 571 120,00</w:t>
            </w:r>
          </w:p>
        </w:tc>
        <w:tc>
          <w:tcPr>
            <w:tcW w:w="741" w:type="pct"/>
            <w:vMerge w:val="restar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 sprawnościami</w:t>
            </w:r>
          </w:p>
        </w:tc>
        <w:tc>
          <w:tcPr>
            <w:tcW w:w="1157" w:type="pct"/>
            <w:vMerge w:val="restar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color w:val="000000"/>
                <w:lang w:eastAsia="pl-PL"/>
              </w:rPr>
              <w:t>ESO4.6.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tc>
        <w:tc>
          <w:tcPr>
            <w:tcW w:w="466"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7 571 120,00</w:t>
            </w:r>
          </w:p>
        </w:tc>
        <w:tc>
          <w:tcPr>
            <w:tcW w:w="796" w:type="pct"/>
            <w:vMerge w:val="restar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color w:val="000000"/>
                <w:lang w:eastAsia="pl-PL"/>
              </w:rPr>
            </w:pPr>
            <w:r w:rsidRPr="00DA2761">
              <w:rPr>
                <w:rFonts w:ascii="Calibri" w:eastAsia="Times New Roman" w:hAnsi="Calibri" w:cs="Times New Roman"/>
                <w:color w:val="000000"/>
                <w:lang w:eastAsia="pl-PL"/>
              </w:rPr>
              <w:t>Wiązka projektów 2: Upowszechnienie dostępu do edukacji przedszkolnej oraz wsparcie kształcenia zawodowego na terenie Wrocławskiego Obszaru Funkcjonalnego</w:t>
            </w:r>
          </w:p>
        </w:tc>
        <w:tc>
          <w:tcPr>
            <w:tcW w:w="463" w:type="pct"/>
            <w:vMerge w:val="restar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14 241 638,14</w:t>
            </w:r>
          </w:p>
        </w:tc>
      </w:tr>
      <w:tr w:rsidR="00453861" w:rsidRPr="00DA2761" w:rsidTr="00DA2761">
        <w:trPr>
          <w:trHeight w:val="2100"/>
        </w:trPr>
        <w:tc>
          <w:tcPr>
            <w:tcW w:w="510"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Dostęp do edukacji w zakresie szkół zawodowych</w:t>
            </w:r>
          </w:p>
        </w:tc>
        <w:tc>
          <w:tcPr>
            <w:tcW w:w="428"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1 500 000,00</w:t>
            </w:r>
          </w:p>
        </w:tc>
        <w:tc>
          <w:tcPr>
            <w:tcW w:w="439" w:type="pct"/>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6 680 400,00</w:t>
            </w:r>
          </w:p>
        </w:tc>
        <w:tc>
          <w:tcPr>
            <w:tcW w:w="741" w:type="pct"/>
            <w:vMerge/>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p>
        </w:tc>
        <w:tc>
          <w:tcPr>
            <w:tcW w:w="1157" w:type="pct"/>
            <w:vMerge/>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p>
        </w:tc>
        <w:tc>
          <w:tcPr>
            <w:tcW w:w="466" w:type="pct"/>
            <w:shd w:val="clear" w:color="auto" w:fill="FFFFFF" w:themeFill="background1"/>
            <w:vAlign w:val="center"/>
            <w:hideMark/>
          </w:tcPr>
          <w:p w:rsidR="00453861" w:rsidRPr="00DA2761" w:rsidRDefault="00F660A6" w:rsidP="00DA2761">
            <w:pPr>
              <w:spacing w:after="0" w:line="240" w:lineRule="auto"/>
              <w:jc w:val="left"/>
              <w:rPr>
                <w:rFonts w:ascii="Calibri" w:eastAsia="Times New Roman" w:hAnsi="Calibri" w:cs="Times New Roman"/>
                <w:lang w:eastAsia="pl-PL"/>
              </w:rPr>
            </w:pPr>
            <w:r w:rsidRPr="00DA2761">
              <w:rPr>
                <w:rFonts w:ascii="Calibri" w:eastAsia="Times New Roman" w:hAnsi="Calibri" w:cs="Times New Roman"/>
                <w:lang w:eastAsia="pl-PL"/>
              </w:rPr>
              <w:t>6 670 518,14</w:t>
            </w:r>
          </w:p>
        </w:tc>
        <w:tc>
          <w:tcPr>
            <w:tcW w:w="796" w:type="pct"/>
            <w:vMerge/>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color w:val="000000"/>
                <w:lang w:eastAsia="pl-PL"/>
              </w:rPr>
            </w:pPr>
          </w:p>
        </w:tc>
        <w:tc>
          <w:tcPr>
            <w:tcW w:w="463" w:type="pct"/>
            <w:vMerge/>
            <w:shd w:val="clear" w:color="auto" w:fill="FFFFFF" w:themeFill="background1"/>
            <w:vAlign w:val="center"/>
            <w:hideMark/>
          </w:tcPr>
          <w:p w:rsidR="00453861" w:rsidRPr="00DA2761" w:rsidRDefault="00453861" w:rsidP="00DA2761">
            <w:pPr>
              <w:spacing w:after="0" w:line="240" w:lineRule="auto"/>
              <w:jc w:val="left"/>
              <w:rPr>
                <w:rFonts w:ascii="Calibri" w:eastAsia="Times New Roman" w:hAnsi="Calibri" w:cs="Times New Roman"/>
                <w:lang w:eastAsia="pl-PL"/>
              </w:rPr>
            </w:pPr>
          </w:p>
        </w:tc>
      </w:tr>
    </w:tbl>
    <w:p w:rsidR="00DA2761" w:rsidRDefault="00DA2761"/>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0968"/>
      </w:tblGrid>
      <w:tr w:rsidR="00DA2761" w:rsidRPr="00DA2761" w:rsidTr="00DA2761">
        <w:trPr>
          <w:trHeight w:val="1065"/>
          <w:tblHeader/>
        </w:trPr>
        <w:tc>
          <w:tcPr>
            <w:tcW w:w="5000" w:type="pct"/>
            <w:shd w:val="clear" w:color="auto" w:fill="D4EAF3"/>
            <w:vAlign w:val="center"/>
            <w:hideMark/>
          </w:tcPr>
          <w:p w:rsidR="00B46720" w:rsidRPr="00DA2761" w:rsidRDefault="00B46720"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Pomoc techniczna EFS +</w:t>
            </w:r>
            <w:r w:rsidRPr="00DA2761">
              <w:rPr>
                <w:rFonts w:ascii="Calibri" w:eastAsia="Times New Roman" w:hAnsi="Calibri" w:cs="Arial"/>
                <w:b/>
                <w:bCs/>
                <w:color w:val="000000" w:themeColor="text1"/>
                <w:lang w:eastAsia="pl-PL"/>
              </w:rPr>
              <w:br/>
              <w:t>KWOTA ALOKACJI  ZIT WrOF: 427 714,00 EUR</w:t>
            </w:r>
          </w:p>
          <w:p w:rsidR="00B46720" w:rsidRPr="00DA2761" w:rsidRDefault="00B46720"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Times New Roman"/>
                <w:b/>
                <w:bCs/>
                <w:color w:val="000000" w:themeColor="text1"/>
                <w:lang w:eastAsia="pl-PL"/>
              </w:rPr>
              <w:t>KWOTA ALOKACJI ZIT WROF : 1 904 867,07 PLN (kurs 4,4536)</w:t>
            </w:r>
          </w:p>
        </w:tc>
      </w:tr>
    </w:tbl>
    <w:p w:rsidR="00DA2761" w:rsidRPr="00DA2761" w:rsidRDefault="00DA2761">
      <w:pPr>
        <w:rPr>
          <w:sz w:val="2"/>
          <w:szCs w:val="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139"/>
        <w:gridCol w:w="1795"/>
        <w:gridCol w:w="1841"/>
        <w:gridCol w:w="3107"/>
        <w:gridCol w:w="4852"/>
        <w:gridCol w:w="1954"/>
        <w:gridCol w:w="3338"/>
        <w:gridCol w:w="1942"/>
      </w:tblGrid>
      <w:tr w:rsidR="00DA2761" w:rsidRPr="00DA2761" w:rsidTr="00D835B9">
        <w:trPr>
          <w:trHeight w:val="1305"/>
          <w:tblHeader/>
        </w:trPr>
        <w:tc>
          <w:tcPr>
            <w:tcW w:w="510"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Nazwa obszaru</w:t>
            </w:r>
          </w:p>
        </w:tc>
        <w:tc>
          <w:tcPr>
            <w:tcW w:w="428"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EUR</w:t>
            </w:r>
          </w:p>
        </w:tc>
        <w:tc>
          <w:tcPr>
            <w:tcW w:w="439"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Podział alokacji na cele szczegółowe</w:t>
            </w:r>
            <w:r w:rsidRPr="00DA2761">
              <w:rPr>
                <w:rFonts w:ascii="Calibri" w:eastAsia="Times New Roman" w:hAnsi="Calibri" w:cs="Times New Roman"/>
                <w:b/>
                <w:bCs/>
                <w:lang w:eastAsia="pl-PL"/>
              </w:rPr>
              <w:br/>
              <w:t xml:space="preserve"> w PLN </w:t>
            </w:r>
            <w:r w:rsidRPr="00DA2761">
              <w:rPr>
                <w:rFonts w:ascii="Calibri" w:eastAsia="Times New Roman" w:hAnsi="Calibri" w:cs="Times New Roman"/>
                <w:b/>
                <w:bCs/>
                <w:lang w:eastAsia="pl-PL"/>
              </w:rPr>
              <w:br/>
              <w:t>(kurs 4,4536)</w:t>
            </w:r>
          </w:p>
        </w:tc>
        <w:tc>
          <w:tcPr>
            <w:tcW w:w="741"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Cel szczegółowy z alokacji którego finansowane będą zidentyfikowano projekty zintegrowane planowane do realizacji w trybie pozakonkursowym w ramach strategii ZIT WrOF</w:t>
            </w:r>
          </w:p>
        </w:tc>
        <w:tc>
          <w:tcPr>
            <w:tcW w:w="1157"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Cel szczegółowy w którym zidentyfikowano projekty zintegrowane planowane do realizacji w trybie pozakonkursowym w ramach strategii ZIT WrOF</w:t>
            </w:r>
          </w:p>
        </w:tc>
        <w:tc>
          <w:tcPr>
            <w:tcW w:w="466"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Planowany poziom wykorzystania alokacji</w:t>
            </w:r>
            <w:r w:rsidRPr="00DA2761">
              <w:rPr>
                <w:rFonts w:ascii="Calibri" w:eastAsia="Times New Roman" w:hAnsi="Calibri" w:cs="Times New Roman"/>
                <w:b/>
                <w:bCs/>
                <w:color w:val="000000"/>
                <w:lang w:eastAsia="pl-PL"/>
              </w:rPr>
              <w:br/>
              <w:t xml:space="preserve"> w PLN   </w:t>
            </w:r>
          </w:p>
        </w:tc>
        <w:tc>
          <w:tcPr>
            <w:tcW w:w="796"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lang w:eastAsia="pl-PL"/>
              </w:rPr>
            </w:pPr>
            <w:r w:rsidRPr="00DA2761">
              <w:rPr>
                <w:rFonts w:ascii="Calibri" w:eastAsia="Times New Roman" w:hAnsi="Calibri" w:cs="Times New Roman"/>
                <w:b/>
                <w:bCs/>
                <w:lang w:eastAsia="pl-PL"/>
              </w:rPr>
              <w:t xml:space="preserve">Nazwy wiązek projektowych </w:t>
            </w:r>
          </w:p>
        </w:tc>
        <w:tc>
          <w:tcPr>
            <w:tcW w:w="463" w:type="pct"/>
            <w:shd w:val="clear" w:color="auto" w:fill="F2F2F2" w:themeFill="background1" w:themeFillShade="F2"/>
            <w:vAlign w:val="center"/>
            <w:hideMark/>
          </w:tcPr>
          <w:p w:rsidR="00DA2761" w:rsidRPr="00DA2761" w:rsidRDefault="00DA2761" w:rsidP="00D835B9">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 xml:space="preserve">Szacowane wartości dofinansowania UE </w:t>
            </w:r>
            <w:r w:rsidRPr="00DA2761">
              <w:rPr>
                <w:rFonts w:ascii="Calibri" w:eastAsia="Times New Roman" w:hAnsi="Calibri" w:cs="Times New Roman"/>
                <w:b/>
                <w:bCs/>
                <w:color w:val="000000"/>
                <w:lang w:eastAsia="pl-PL"/>
              </w:rPr>
              <w:br/>
              <w:t>w  planowanych wiązkach projektowych</w:t>
            </w:r>
            <w:r w:rsidRPr="00DA2761">
              <w:rPr>
                <w:rFonts w:ascii="Calibri" w:eastAsia="Times New Roman" w:hAnsi="Calibri" w:cs="Times New Roman"/>
                <w:b/>
                <w:bCs/>
                <w:color w:val="000000"/>
                <w:lang w:eastAsia="pl-PL"/>
              </w:rPr>
              <w:br/>
              <w:t>w PLN</w:t>
            </w:r>
          </w:p>
          <w:p w:rsidR="00DA2761" w:rsidRPr="00DA2761" w:rsidRDefault="00DA2761" w:rsidP="00D835B9">
            <w:pPr>
              <w:spacing w:after="0" w:line="240" w:lineRule="auto"/>
              <w:jc w:val="left"/>
              <w:rPr>
                <w:rFonts w:ascii="Calibri" w:eastAsia="Times New Roman" w:hAnsi="Calibri" w:cs="Times New Roman"/>
                <w:b/>
                <w:bCs/>
                <w:color w:val="000000"/>
                <w:lang w:eastAsia="pl-PL"/>
              </w:rPr>
            </w:pPr>
            <w:r w:rsidRPr="00DA2761">
              <w:rPr>
                <w:rFonts w:ascii="Calibri" w:eastAsia="Times New Roman" w:hAnsi="Calibri" w:cs="Times New Roman"/>
                <w:b/>
                <w:bCs/>
                <w:color w:val="000000"/>
                <w:lang w:eastAsia="pl-PL"/>
              </w:rPr>
              <w:t>(kurs 4,4536)</w:t>
            </w:r>
          </w:p>
        </w:tc>
      </w:tr>
      <w:tr w:rsidR="00DA2761" w:rsidRPr="00DA2761" w:rsidTr="00DA2761">
        <w:trPr>
          <w:trHeight w:val="1305"/>
          <w:tblHeader/>
        </w:trPr>
        <w:tc>
          <w:tcPr>
            <w:tcW w:w="510"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color w:val="000000"/>
                <w:lang w:eastAsia="pl-PL"/>
              </w:rPr>
            </w:pPr>
            <w:r w:rsidRPr="00DA2761">
              <w:rPr>
                <w:rFonts w:ascii="Calibri" w:eastAsia="Times New Roman" w:hAnsi="Calibri" w:cs="Arial"/>
                <w:color w:val="000000"/>
                <w:lang w:eastAsia="pl-PL"/>
              </w:rPr>
              <w:t>Pomoc Techniczna EFS+</w:t>
            </w:r>
          </w:p>
        </w:tc>
        <w:tc>
          <w:tcPr>
            <w:tcW w:w="428"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lang w:eastAsia="pl-PL"/>
              </w:rPr>
            </w:pPr>
            <w:r w:rsidRPr="00DA2761">
              <w:rPr>
                <w:rFonts w:ascii="Calibri" w:eastAsia="Times New Roman" w:hAnsi="Calibri" w:cs="Arial"/>
                <w:lang w:eastAsia="pl-PL"/>
              </w:rPr>
              <w:t>427 714,00</w:t>
            </w:r>
          </w:p>
        </w:tc>
        <w:tc>
          <w:tcPr>
            <w:tcW w:w="439"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lang w:eastAsia="pl-PL"/>
              </w:rPr>
            </w:pPr>
            <w:r w:rsidRPr="00DA2761">
              <w:rPr>
                <w:rFonts w:ascii="Calibri" w:eastAsia="Times New Roman" w:hAnsi="Calibri" w:cs="Arial"/>
                <w:lang w:eastAsia="pl-PL"/>
              </w:rPr>
              <w:t>1 904 867,07</w:t>
            </w:r>
          </w:p>
        </w:tc>
        <w:tc>
          <w:tcPr>
            <w:tcW w:w="741"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color w:val="000000"/>
                <w:lang w:eastAsia="pl-PL"/>
              </w:rPr>
            </w:pPr>
            <w:r w:rsidRPr="00DA2761">
              <w:rPr>
                <w:rFonts w:ascii="Calibri" w:eastAsia="Times New Roman" w:hAnsi="Calibri" w:cs="Arial"/>
                <w:color w:val="000000"/>
                <w:lang w:eastAsia="pl-PL"/>
              </w:rPr>
              <w:t>2.2.1. Priorytet pomocy technicznej na podstawie art. 36 ust. 4 rozporządzenia w sprawie wspólnych przepisów: 11. Pomoc Techniczna EFS+</w:t>
            </w:r>
          </w:p>
        </w:tc>
        <w:tc>
          <w:tcPr>
            <w:tcW w:w="1157"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color w:val="000000"/>
                <w:lang w:eastAsia="pl-PL"/>
              </w:rPr>
            </w:pPr>
            <w:r w:rsidRPr="00DA2761">
              <w:rPr>
                <w:rFonts w:ascii="Calibri" w:eastAsia="Times New Roman" w:hAnsi="Calibri" w:cs="Arial"/>
                <w:color w:val="000000"/>
                <w:lang w:eastAsia="pl-PL"/>
              </w:rPr>
              <w:t>2.2.1. Priorytet pomocy technicznej na podstawie art. 36 ust. 4 rozporządzenia w sprawie wspólnych przepisów: 11. Pomoc Techniczna EFS+</w:t>
            </w:r>
          </w:p>
        </w:tc>
        <w:tc>
          <w:tcPr>
            <w:tcW w:w="466"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lang w:eastAsia="pl-PL"/>
              </w:rPr>
            </w:pPr>
            <w:r w:rsidRPr="00DA2761">
              <w:rPr>
                <w:rFonts w:ascii="Calibri" w:eastAsia="Times New Roman" w:hAnsi="Calibri" w:cs="Arial"/>
                <w:lang w:eastAsia="pl-PL"/>
              </w:rPr>
              <w:t>1 904 867,07</w:t>
            </w:r>
          </w:p>
        </w:tc>
        <w:tc>
          <w:tcPr>
            <w:tcW w:w="796" w:type="pct"/>
            <w:shd w:val="clear" w:color="auto" w:fill="FFFFFF" w:themeFill="background1"/>
            <w:vAlign w:val="center"/>
          </w:tcPr>
          <w:p w:rsidR="00DA2761" w:rsidRPr="00DA2761" w:rsidRDefault="00DA2761" w:rsidP="00DA2761">
            <w:pPr>
              <w:spacing w:after="0" w:line="240" w:lineRule="auto"/>
              <w:jc w:val="left"/>
              <w:rPr>
                <w:rFonts w:eastAsia="Calibri" w:cstheme="minorHAnsi"/>
                <w:bCs/>
                <w:color w:val="000000" w:themeColor="text1"/>
              </w:rPr>
            </w:pPr>
            <w:r w:rsidRPr="00DA2761">
              <w:rPr>
                <w:rFonts w:eastAsia="Calibri" w:cstheme="minorHAnsi"/>
                <w:bCs/>
                <w:color w:val="000000" w:themeColor="text1"/>
              </w:rPr>
              <w:t xml:space="preserve">Wiązka projektów 13 : Przygotowanie </w:t>
            </w:r>
          </w:p>
          <w:p w:rsidR="00DA2761" w:rsidRPr="00DA2761" w:rsidRDefault="00DA2761" w:rsidP="00DA2761">
            <w:pPr>
              <w:spacing w:after="0" w:line="240" w:lineRule="auto"/>
              <w:jc w:val="left"/>
              <w:rPr>
                <w:rFonts w:ascii="Calibri" w:eastAsia="Times New Roman" w:hAnsi="Calibri" w:cs="Arial"/>
                <w:lang w:eastAsia="pl-PL"/>
              </w:rPr>
            </w:pPr>
            <w:r w:rsidRPr="00DA2761">
              <w:rPr>
                <w:rFonts w:eastAsia="Calibri" w:cstheme="minorHAnsi"/>
                <w:bCs/>
                <w:color w:val="000000" w:themeColor="text1"/>
              </w:rPr>
              <w:t xml:space="preserve">i monitorowanie strategii ZIT, kreowanie polityki rozwoju obszaru  </w:t>
            </w:r>
          </w:p>
        </w:tc>
        <w:tc>
          <w:tcPr>
            <w:tcW w:w="463" w:type="pct"/>
            <w:shd w:val="clear" w:color="auto" w:fill="FFFFFF" w:themeFill="background1"/>
            <w:vAlign w:val="center"/>
          </w:tcPr>
          <w:p w:rsidR="00DA2761" w:rsidRPr="00DA2761" w:rsidRDefault="00DA2761" w:rsidP="00DA2761">
            <w:pPr>
              <w:spacing w:after="0" w:line="240" w:lineRule="auto"/>
              <w:jc w:val="left"/>
              <w:rPr>
                <w:rFonts w:ascii="Calibri" w:eastAsia="Times New Roman" w:hAnsi="Calibri" w:cs="Arial"/>
                <w:lang w:eastAsia="pl-PL"/>
              </w:rPr>
            </w:pPr>
            <w:r w:rsidRPr="00DA2761">
              <w:rPr>
                <w:rFonts w:ascii="Calibri" w:eastAsia="Times New Roman" w:hAnsi="Calibri" w:cs="Arial"/>
                <w:lang w:eastAsia="pl-PL"/>
              </w:rPr>
              <w:t>1 904 867,07</w:t>
            </w:r>
          </w:p>
        </w:tc>
      </w:tr>
    </w:tbl>
    <w:p w:rsidR="002045CC" w:rsidRDefault="002045CC" w:rsidP="00286689">
      <w:pPr>
        <w:jc w:val="center"/>
        <w:rPr>
          <w:b/>
          <w:color w:val="0070C0"/>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20968"/>
      </w:tblGrid>
      <w:tr w:rsidR="00DA2761" w:rsidRPr="00DA2761" w:rsidTr="00DA2761">
        <w:trPr>
          <w:trHeight w:val="1440"/>
          <w:tblHeader/>
        </w:trPr>
        <w:tc>
          <w:tcPr>
            <w:tcW w:w="5000" w:type="pct"/>
            <w:shd w:val="clear" w:color="auto" w:fill="D4EAF3"/>
            <w:vAlign w:val="center"/>
            <w:hideMark/>
          </w:tcPr>
          <w:p w:rsidR="00DE5899" w:rsidRPr="00DA2761" w:rsidRDefault="00DE5899" w:rsidP="00DA2761">
            <w:pPr>
              <w:spacing w:after="0" w:line="240" w:lineRule="auto"/>
              <w:jc w:val="left"/>
              <w:rPr>
                <w:rFonts w:ascii="Calibri" w:eastAsia="Times New Roman" w:hAnsi="Calibri" w:cs="Arial"/>
                <w:b/>
                <w:bCs/>
                <w:color w:val="000000" w:themeColor="text1"/>
                <w:lang w:eastAsia="pl-PL"/>
              </w:rPr>
            </w:pPr>
            <w:r w:rsidRPr="00DA2761">
              <w:rPr>
                <w:b/>
                <w:color w:val="000000" w:themeColor="text1"/>
              </w:rPr>
              <w:t>CP5</w:t>
            </w:r>
          </w:p>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RSO5.1. Wspieranie zintegrowanego i sprzyjającego włączeniu społecznemu rozwoju społecznego, gospodarczego i środowiskowego, kultury, dziedzictwa naturalnego, zrównoważonej turystyki i bezpieczeństwa na obszarach miejskich</w:t>
            </w:r>
            <w:r w:rsidRPr="00DA2761">
              <w:rPr>
                <w:rFonts w:ascii="Calibri" w:eastAsia="Times New Roman" w:hAnsi="Calibri" w:cs="Arial"/>
                <w:b/>
                <w:bCs/>
                <w:color w:val="000000" w:themeColor="text1"/>
                <w:lang w:eastAsia="pl-PL"/>
              </w:rPr>
              <w:br/>
              <w:t>KWOTA ALOKACJI ZIT WrOF: 17 140 829 EUR</w:t>
            </w:r>
          </w:p>
          <w:p w:rsidR="00185428" w:rsidRPr="00DA2761" w:rsidRDefault="00185428"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Times New Roman"/>
                <w:b/>
                <w:bCs/>
                <w:color w:val="000000" w:themeColor="text1"/>
                <w:lang w:eastAsia="pl-PL"/>
              </w:rPr>
              <w:t>KWOTA ALOKACJI ZIT WROF : 76 338 396,03 PLN (kurs 4,4536)</w:t>
            </w:r>
          </w:p>
        </w:tc>
      </w:tr>
    </w:tbl>
    <w:p w:rsidR="00DA2761" w:rsidRDefault="00DA2761"/>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left w:w="70" w:type="dxa"/>
          <w:right w:w="70" w:type="dxa"/>
        </w:tblCellMar>
        <w:tblLook w:val="04A0" w:firstRow="1" w:lastRow="0" w:firstColumn="1" w:lastColumn="0" w:noHBand="0" w:noVBand="1"/>
        <w:tblCaption w:val="ALOKACJA ZIT WROF  Z PROGRAMU FUNDUSZE EUROPEJSKIE DLA DOLNEGO ŚLĄSKA 2021-2027 "/>
        <w:tblDescription w:val="ALOKACJA ZIT WROF  Z PROGRAMU FUNDUSZE EUROPEJSKIE DLA DOLNEGO ŚLĄSKA 2021-2027 "/>
      </w:tblPr>
      <w:tblGrid>
        <w:gridCol w:w="1975"/>
        <w:gridCol w:w="1879"/>
        <w:gridCol w:w="1929"/>
        <w:gridCol w:w="3565"/>
        <w:gridCol w:w="4064"/>
        <w:gridCol w:w="2059"/>
        <w:gridCol w:w="3518"/>
        <w:gridCol w:w="1979"/>
      </w:tblGrid>
      <w:tr w:rsidR="00DA2761" w:rsidRPr="00DA2761" w:rsidTr="00DA2761">
        <w:trPr>
          <w:trHeight w:val="1440"/>
          <w:tblHeader/>
        </w:trPr>
        <w:tc>
          <w:tcPr>
            <w:tcW w:w="471"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Nazwa obszaru</w:t>
            </w:r>
          </w:p>
        </w:tc>
        <w:tc>
          <w:tcPr>
            <w:tcW w:w="448"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Podział alokacji na cele szczegółowe</w:t>
            </w:r>
            <w:r w:rsidRPr="00DA2761">
              <w:rPr>
                <w:rFonts w:ascii="Calibri" w:eastAsia="Times New Roman" w:hAnsi="Calibri" w:cs="Arial"/>
                <w:b/>
                <w:bCs/>
                <w:color w:val="000000" w:themeColor="text1"/>
                <w:lang w:eastAsia="pl-PL"/>
              </w:rPr>
              <w:br/>
              <w:t xml:space="preserve"> w EUR</w:t>
            </w:r>
          </w:p>
        </w:tc>
        <w:tc>
          <w:tcPr>
            <w:tcW w:w="460"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Podział alokacji na cele szczegółowe</w:t>
            </w:r>
            <w:r w:rsidRPr="00DA2761">
              <w:rPr>
                <w:rFonts w:ascii="Calibri" w:eastAsia="Times New Roman" w:hAnsi="Calibri" w:cs="Arial"/>
                <w:b/>
                <w:bCs/>
                <w:color w:val="000000" w:themeColor="text1"/>
                <w:lang w:eastAsia="pl-PL"/>
              </w:rPr>
              <w:br/>
              <w:t xml:space="preserve"> w PLN </w:t>
            </w:r>
            <w:r w:rsidRPr="00DA2761">
              <w:rPr>
                <w:rFonts w:ascii="Calibri" w:eastAsia="Times New Roman" w:hAnsi="Calibri" w:cs="Arial"/>
                <w:b/>
                <w:bCs/>
                <w:color w:val="000000" w:themeColor="text1"/>
                <w:lang w:eastAsia="pl-PL"/>
              </w:rPr>
              <w:br/>
              <w:t>(kurs 4,4536)</w:t>
            </w:r>
          </w:p>
        </w:tc>
        <w:tc>
          <w:tcPr>
            <w:tcW w:w="850"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Cel szczegółowy z</w:t>
            </w:r>
            <w:r w:rsidR="00E60C99" w:rsidRPr="00DA2761">
              <w:rPr>
                <w:rFonts w:ascii="Calibri" w:eastAsia="Times New Roman" w:hAnsi="Calibri" w:cs="Arial"/>
                <w:b/>
                <w:bCs/>
                <w:color w:val="000000" w:themeColor="text1"/>
                <w:lang w:eastAsia="pl-PL"/>
              </w:rPr>
              <w:t xml:space="preserve"> </w:t>
            </w:r>
            <w:r w:rsidR="00D71896" w:rsidRPr="00DA2761">
              <w:rPr>
                <w:rFonts w:ascii="Calibri" w:eastAsia="Times New Roman" w:hAnsi="Calibri" w:cs="Times New Roman"/>
                <w:b/>
                <w:bCs/>
                <w:color w:val="000000" w:themeColor="text1"/>
                <w:lang w:eastAsia="pl-PL"/>
              </w:rPr>
              <w:t>alokacji którego finansowane</w:t>
            </w:r>
            <w:r w:rsidRPr="00DA2761">
              <w:rPr>
                <w:rFonts w:ascii="Calibri" w:eastAsia="Times New Roman" w:hAnsi="Calibri" w:cs="Arial"/>
                <w:b/>
                <w:bCs/>
                <w:color w:val="000000" w:themeColor="text1"/>
                <w:lang w:eastAsia="pl-PL"/>
              </w:rPr>
              <w:t xml:space="preserve"> będą zidentyfikowano projekty zintegrowane planowane do re</w:t>
            </w:r>
            <w:r w:rsidR="00D71896" w:rsidRPr="00DA2761">
              <w:rPr>
                <w:rFonts w:ascii="Calibri" w:eastAsia="Times New Roman" w:hAnsi="Calibri" w:cs="Arial"/>
                <w:b/>
                <w:bCs/>
                <w:color w:val="000000" w:themeColor="text1"/>
                <w:lang w:eastAsia="pl-PL"/>
              </w:rPr>
              <w:t>a</w:t>
            </w:r>
            <w:r w:rsidRPr="00DA2761">
              <w:rPr>
                <w:rFonts w:ascii="Calibri" w:eastAsia="Times New Roman" w:hAnsi="Calibri" w:cs="Arial"/>
                <w:b/>
                <w:bCs/>
                <w:color w:val="000000" w:themeColor="text1"/>
                <w:lang w:eastAsia="pl-PL"/>
              </w:rPr>
              <w:t xml:space="preserve">lizacji </w:t>
            </w:r>
            <w:r w:rsidR="00CF1B43" w:rsidRPr="00DA2761">
              <w:rPr>
                <w:rFonts w:ascii="Calibri" w:eastAsia="Times New Roman" w:hAnsi="Calibri" w:cs="Arial"/>
                <w:b/>
                <w:bCs/>
                <w:color w:val="000000" w:themeColor="text1"/>
                <w:lang w:eastAsia="pl-PL"/>
              </w:rPr>
              <w:br/>
            </w:r>
            <w:r w:rsidRPr="00DA2761">
              <w:rPr>
                <w:rFonts w:ascii="Calibri" w:eastAsia="Times New Roman" w:hAnsi="Calibri" w:cs="Arial"/>
                <w:b/>
                <w:bCs/>
                <w:color w:val="000000" w:themeColor="text1"/>
                <w:lang w:eastAsia="pl-PL"/>
              </w:rPr>
              <w:t>w trybie pozakonkursowym w ramach strategii ZIT WrOF</w:t>
            </w:r>
          </w:p>
        </w:tc>
        <w:tc>
          <w:tcPr>
            <w:tcW w:w="969"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 xml:space="preserve">Cel szczegółowy w </w:t>
            </w:r>
            <w:r w:rsidR="00D71896" w:rsidRPr="00DA2761">
              <w:rPr>
                <w:rFonts w:ascii="Calibri" w:eastAsia="Times New Roman" w:hAnsi="Calibri" w:cs="Times New Roman"/>
                <w:b/>
                <w:bCs/>
                <w:color w:val="000000" w:themeColor="text1"/>
                <w:lang w:eastAsia="pl-PL"/>
              </w:rPr>
              <w:t>którym zidentyfikowano</w:t>
            </w:r>
            <w:r w:rsidR="006D3080" w:rsidRPr="00DA2761">
              <w:rPr>
                <w:rFonts w:ascii="Calibri" w:eastAsia="Times New Roman" w:hAnsi="Calibri" w:cs="Times New Roman"/>
                <w:b/>
                <w:bCs/>
                <w:color w:val="000000" w:themeColor="text1"/>
                <w:lang w:eastAsia="pl-PL"/>
              </w:rPr>
              <w:t xml:space="preserve"> </w:t>
            </w:r>
            <w:r w:rsidRPr="00DA2761">
              <w:rPr>
                <w:rFonts w:ascii="Calibri" w:eastAsia="Times New Roman" w:hAnsi="Calibri" w:cs="Arial"/>
                <w:b/>
                <w:bCs/>
                <w:color w:val="000000" w:themeColor="text1"/>
                <w:lang w:eastAsia="pl-PL"/>
              </w:rPr>
              <w:t>projekty zintegrowane planowane do re</w:t>
            </w:r>
            <w:r w:rsidR="00D71896" w:rsidRPr="00DA2761">
              <w:rPr>
                <w:rFonts w:ascii="Calibri" w:eastAsia="Times New Roman" w:hAnsi="Calibri" w:cs="Arial"/>
                <w:b/>
                <w:bCs/>
                <w:color w:val="000000" w:themeColor="text1"/>
                <w:lang w:eastAsia="pl-PL"/>
              </w:rPr>
              <w:t>a</w:t>
            </w:r>
            <w:r w:rsidRPr="00DA2761">
              <w:rPr>
                <w:rFonts w:ascii="Calibri" w:eastAsia="Times New Roman" w:hAnsi="Calibri" w:cs="Arial"/>
                <w:b/>
                <w:bCs/>
                <w:color w:val="000000" w:themeColor="text1"/>
                <w:lang w:eastAsia="pl-PL"/>
              </w:rPr>
              <w:t>lizacji w trybie pozakonkursowym w ramach strategii ZIT WrOF</w:t>
            </w:r>
          </w:p>
        </w:tc>
        <w:tc>
          <w:tcPr>
            <w:tcW w:w="491" w:type="pct"/>
            <w:shd w:val="clear" w:color="auto" w:fill="F2F2F2" w:themeFill="background1" w:themeFillShade="F2"/>
            <w:vAlign w:val="center"/>
            <w:hideMark/>
          </w:tcPr>
          <w:p w:rsidR="00EE3291" w:rsidRPr="00DA2761" w:rsidRDefault="00166C4E"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Planowany p</w:t>
            </w:r>
            <w:r w:rsidR="00EE3291" w:rsidRPr="00DA2761">
              <w:rPr>
                <w:rFonts w:ascii="Calibri" w:eastAsia="Times New Roman" w:hAnsi="Calibri" w:cs="Arial"/>
                <w:b/>
                <w:bCs/>
                <w:color w:val="000000" w:themeColor="text1"/>
                <w:lang w:eastAsia="pl-PL"/>
              </w:rPr>
              <w:t>oziom wykorzystania alokacji</w:t>
            </w:r>
            <w:r w:rsidR="00EE3291" w:rsidRPr="00DA2761">
              <w:rPr>
                <w:rFonts w:ascii="Calibri" w:eastAsia="Times New Roman" w:hAnsi="Calibri" w:cs="Arial"/>
                <w:b/>
                <w:bCs/>
                <w:color w:val="000000" w:themeColor="text1"/>
                <w:lang w:eastAsia="pl-PL"/>
              </w:rPr>
              <w:br/>
              <w:t xml:space="preserve"> w PLN   </w:t>
            </w:r>
          </w:p>
        </w:tc>
        <w:tc>
          <w:tcPr>
            <w:tcW w:w="839" w:type="pct"/>
            <w:shd w:val="clear" w:color="auto" w:fill="F2F2F2" w:themeFill="background1" w:themeFillShade="F2"/>
            <w:vAlign w:val="center"/>
            <w:hideMark/>
          </w:tcPr>
          <w:p w:rsidR="00EE3291" w:rsidRPr="00DA2761" w:rsidRDefault="00EE3291"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 xml:space="preserve">Nazwy wiązek projektowych </w:t>
            </w:r>
          </w:p>
        </w:tc>
        <w:tc>
          <w:tcPr>
            <w:tcW w:w="472" w:type="pct"/>
            <w:shd w:val="clear" w:color="auto" w:fill="F2F2F2" w:themeFill="background1" w:themeFillShade="F2"/>
            <w:vAlign w:val="center"/>
            <w:hideMark/>
          </w:tcPr>
          <w:p w:rsidR="00185428" w:rsidRPr="00DA2761" w:rsidRDefault="00166C4E"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Arial"/>
                <w:b/>
                <w:bCs/>
                <w:color w:val="000000" w:themeColor="text1"/>
                <w:lang w:eastAsia="pl-PL"/>
              </w:rPr>
              <w:t>Szacowane w</w:t>
            </w:r>
            <w:r w:rsidR="00EE3291" w:rsidRPr="00DA2761">
              <w:rPr>
                <w:rFonts w:ascii="Calibri" w:eastAsia="Times New Roman" w:hAnsi="Calibri" w:cs="Arial"/>
                <w:b/>
                <w:bCs/>
                <w:color w:val="000000" w:themeColor="text1"/>
                <w:lang w:eastAsia="pl-PL"/>
              </w:rPr>
              <w:t>artości dofinansowania UE w  planowanych wiązkach projektowych</w:t>
            </w:r>
            <w:r w:rsidR="00EE3291" w:rsidRPr="00DA2761">
              <w:rPr>
                <w:rFonts w:ascii="Calibri" w:eastAsia="Times New Roman" w:hAnsi="Calibri" w:cs="Arial"/>
                <w:b/>
                <w:bCs/>
                <w:color w:val="000000" w:themeColor="text1"/>
                <w:lang w:eastAsia="pl-PL"/>
              </w:rPr>
              <w:br/>
              <w:t>w PLN</w:t>
            </w:r>
          </w:p>
          <w:p w:rsidR="00EE3291" w:rsidRPr="00DA2761" w:rsidRDefault="00185428" w:rsidP="00DA2761">
            <w:pPr>
              <w:spacing w:after="0" w:line="240" w:lineRule="auto"/>
              <w:jc w:val="left"/>
              <w:rPr>
                <w:rFonts w:ascii="Calibri" w:eastAsia="Times New Roman" w:hAnsi="Calibri" w:cs="Arial"/>
                <w:b/>
                <w:bCs/>
                <w:color w:val="000000" w:themeColor="text1"/>
                <w:lang w:eastAsia="pl-PL"/>
              </w:rPr>
            </w:pPr>
            <w:r w:rsidRPr="00DA2761">
              <w:rPr>
                <w:rFonts w:ascii="Calibri" w:eastAsia="Times New Roman" w:hAnsi="Calibri" w:cs="Times New Roman"/>
                <w:b/>
                <w:bCs/>
                <w:color w:val="000000" w:themeColor="text1"/>
                <w:lang w:eastAsia="pl-PL"/>
              </w:rPr>
              <w:t>(kurs 4,4536)</w:t>
            </w:r>
          </w:p>
        </w:tc>
      </w:tr>
      <w:tr w:rsidR="00DA2761" w:rsidRPr="00DA2761" w:rsidTr="00DA2761">
        <w:trPr>
          <w:trHeight w:val="1440"/>
        </w:trPr>
        <w:tc>
          <w:tcPr>
            <w:tcW w:w="471" w:type="pct"/>
            <w:vMerge w:val="restar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Zrównoważony rozwój terytorialny</w:t>
            </w:r>
          </w:p>
        </w:tc>
        <w:tc>
          <w:tcPr>
            <w:tcW w:w="448" w:type="pct"/>
            <w:vMerge w:val="restar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17 140 829,00</w:t>
            </w:r>
          </w:p>
        </w:tc>
        <w:tc>
          <w:tcPr>
            <w:tcW w:w="460" w:type="pct"/>
            <w:vMerge w:val="restar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76 338 396,03</w:t>
            </w:r>
          </w:p>
        </w:tc>
        <w:tc>
          <w:tcPr>
            <w:tcW w:w="850"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sprzyjającego włączeniu społecznemu rozwoju społecznego, gospodarczego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96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i sprzyjającego włączeniu społecznemu rozwoju społecznego, gospodarczego 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491" w:type="pct"/>
            <w:vMerge w:val="restar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76 338 396,03 </w:t>
            </w:r>
          </w:p>
        </w:tc>
        <w:tc>
          <w:tcPr>
            <w:tcW w:w="83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 Wiązka projektów 11: Rozwój infrastruktury aktywizacji i integracji społecznej mający na celu poprawę kondycji psychofizycznej mieszkańców we Wrocławskim Obszarze Funkcjonalnym, ze szczególnym uwzględnieniem kultury</w:t>
            </w:r>
          </w:p>
        </w:tc>
        <w:tc>
          <w:tcPr>
            <w:tcW w:w="472" w:type="pct"/>
            <w:shd w:val="clear" w:color="auto" w:fill="FFFFFF" w:themeFill="background1"/>
            <w:vAlign w:val="center"/>
            <w:hideMark/>
          </w:tcPr>
          <w:p w:rsidR="00710A37" w:rsidRPr="00DA2761" w:rsidRDefault="00F660A6"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8 300 102,28</w:t>
            </w:r>
          </w:p>
        </w:tc>
      </w:tr>
      <w:tr w:rsidR="00DA2761" w:rsidRPr="00DA2761" w:rsidTr="00DA2761">
        <w:trPr>
          <w:trHeight w:val="1755"/>
        </w:trPr>
        <w:tc>
          <w:tcPr>
            <w:tcW w:w="47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48"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60"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50"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sprzyjającego włączeniu społecznemu rozwoju społecznego, gospodarczego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96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i sprzyjającego włączeniu społecznemu rozwoju społecznego, gospodarczego 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49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3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Wiązka projektów 10: Fizyczna odnowa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bezpieczeństwo przestrzeni publicznej,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w tym zadania mające na celu poprawę kondycji psychofizycznej mieszkańców poprzez rozwój infrastruktury aktywizacji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integracji społecznej</w:t>
            </w:r>
          </w:p>
        </w:tc>
        <w:tc>
          <w:tcPr>
            <w:tcW w:w="472" w:type="pct"/>
            <w:shd w:val="clear" w:color="auto" w:fill="FFFFFF" w:themeFill="background1"/>
            <w:vAlign w:val="center"/>
            <w:hideMark/>
          </w:tcPr>
          <w:p w:rsidR="00710A37" w:rsidRPr="00DA2761" w:rsidRDefault="00F660A6"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38 232 306,89</w:t>
            </w:r>
          </w:p>
        </w:tc>
      </w:tr>
      <w:tr w:rsidR="00DA2761" w:rsidRPr="00DA2761" w:rsidTr="00DA2761">
        <w:trPr>
          <w:trHeight w:val="1590"/>
        </w:trPr>
        <w:tc>
          <w:tcPr>
            <w:tcW w:w="47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48"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60"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50"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sprzyjającego włączeniu społecznemu rozwoju społecznego, gospodarczego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96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i sprzyjającego włączeniu społecznemu rozwoju społecznego, gospodarczego 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49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3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Wiązka projektów 12: Poprawa dostępności usług publicznych, w szczególności poprzez budowę lub rozbudowę infrastruktury społecznej i edukacyjnej</w:t>
            </w:r>
          </w:p>
        </w:tc>
        <w:tc>
          <w:tcPr>
            <w:tcW w:w="472"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4 050 000</w:t>
            </w:r>
          </w:p>
        </w:tc>
      </w:tr>
      <w:tr w:rsidR="00DA2761" w:rsidRPr="00DA2761" w:rsidTr="00DA2761">
        <w:trPr>
          <w:trHeight w:val="1845"/>
        </w:trPr>
        <w:tc>
          <w:tcPr>
            <w:tcW w:w="47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48"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60"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50"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w:t>
            </w:r>
            <w:r w:rsidR="00CF1B43" w:rsidRPr="00DA2761">
              <w:rPr>
                <w:rFonts w:ascii="Calibri" w:eastAsia="Times New Roman" w:hAnsi="Calibri" w:cs="Arial"/>
                <w:color w:val="000000" w:themeColor="text1"/>
                <w:lang w:eastAsia="pl-PL"/>
              </w:rPr>
              <w:br/>
              <w:t>i</w:t>
            </w:r>
            <w:r w:rsidRPr="00DA2761">
              <w:rPr>
                <w:rFonts w:ascii="Calibri" w:eastAsia="Times New Roman" w:hAnsi="Calibri" w:cs="Arial"/>
                <w:color w:val="000000" w:themeColor="text1"/>
                <w:lang w:eastAsia="pl-PL"/>
              </w:rPr>
              <w:t xml:space="preserve"> sprzyjającego włączeniu społecznemu rozwoju społecznego, gospodarczego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969" w:type="pct"/>
            <w:shd w:val="clear" w:color="auto" w:fill="FFFFFF" w:themeFill="background1"/>
            <w:vAlign w:val="center"/>
            <w:hideMark/>
          </w:tcPr>
          <w:p w:rsidR="00710A37" w:rsidRPr="00DA2761" w:rsidRDefault="00DA74AC"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i sprzyjającego włączeniu społecznemu rozwoju społecznego, gospodarczego 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49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39" w:type="pct"/>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Wiązka projektów 8: Budowa infrastruktury rowerowej lub pieszo-rowerowej na terenie Wrocławskiego Obszaru Funkcjonalnego</w:t>
            </w:r>
          </w:p>
        </w:tc>
        <w:tc>
          <w:tcPr>
            <w:tcW w:w="472" w:type="pct"/>
            <w:shd w:val="clear" w:color="auto" w:fill="FFFFFF" w:themeFill="background1"/>
            <w:vAlign w:val="center"/>
            <w:hideMark/>
          </w:tcPr>
          <w:p w:rsidR="00710A37" w:rsidRPr="00DA2761" w:rsidRDefault="00F660A6"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25 177 019,01</w:t>
            </w:r>
          </w:p>
        </w:tc>
      </w:tr>
      <w:tr w:rsidR="00DA2761" w:rsidRPr="00DA2761" w:rsidTr="00DA2761">
        <w:trPr>
          <w:trHeight w:val="1845"/>
        </w:trPr>
        <w:tc>
          <w:tcPr>
            <w:tcW w:w="47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48"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460"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50" w:type="pct"/>
            <w:shd w:val="clear" w:color="auto" w:fill="FFFFFF" w:themeFill="background1"/>
            <w:vAlign w:val="center"/>
            <w:hideMark/>
          </w:tcPr>
          <w:p w:rsidR="00710A37" w:rsidRPr="00DA2761" w:rsidRDefault="00C87890"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sprzyjającego włączeniu społecznemu rozwoju społecznego, gospodarczego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 xml:space="preserve">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969" w:type="pct"/>
            <w:shd w:val="clear" w:color="auto" w:fill="FFFFFF" w:themeFill="background1"/>
            <w:vAlign w:val="center"/>
            <w:hideMark/>
          </w:tcPr>
          <w:p w:rsidR="00710A37" w:rsidRPr="00DA2761" w:rsidRDefault="00C87890"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 xml:space="preserve">RSO5.1. Wspieranie zintegrowanego i sprzyjającego włączeniu społecznemu rozwoju społecznego, gospodarczego i środowiskowego, kultury, dziedzictwa naturalnego, zrównoważonej turystyki </w:t>
            </w:r>
            <w:r w:rsidR="00CF1B43" w:rsidRPr="00DA2761">
              <w:rPr>
                <w:rFonts w:ascii="Calibri" w:eastAsia="Times New Roman" w:hAnsi="Calibri" w:cs="Arial"/>
                <w:color w:val="000000" w:themeColor="text1"/>
                <w:lang w:eastAsia="pl-PL"/>
              </w:rPr>
              <w:br/>
            </w:r>
            <w:r w:rsidRPr="00DA2761">
              <w:rPr>
                <w:rFonts w:ascii="Calibri" w:eastAsia="Times New Roman" w:hAnsi="Calibri" w:cs="Arial"/>
                <w:color w:val="000000" w:themeColor="text1"/>
                <w:lang w:eastAsia="pl-PL"/>
              </w:rPr>
              <w:t>i bezpieczeństwa na obszarach miejskich</w:t>
            </w:r>
          </w:p>
        </w:tc>
        <w:tc>
          <w:tcPr>
            <w:tcW w:w="491" w:type="pct"/>
            <w:vMerge/>
            <w:shd w:val="clear" w:color="auto" w:fill="FFFFFF" w:themeFill="background1"/>
            <w:vAlign w:val="center"/>
            <w:hideMark/>
          </w:tcPr>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c>
          <w:tcPr>
            <w:tcW w:w="839" w:type="pct"/>
            <w:shd w:val="clear" w:color="auto" w:fill="FFFFFF" w:themeFill="background1"/>
            <w:vAlign w:val="center"/>
            <w:hideMark/>
          </w:tcPr>
          <w:p w:rsidR="0016566F" w:rsidRPr="00DA2761" w:rsidRDefault="0071562D" w:rsidP="00DA2761">
            <w:pPr>
              <w:spacing w:after="0" w:line="240" w:lineRule="auto"/>
              <w:jc w:val="left"/>
              <w:rPr>
                <w:rFonts w:eastAsia="Calibri" w:cstheme="minorHAnsi"/>
                <w:bCs/>
                <w:color w:val="000000" w:themeColor="text1"/>
              </w:rPr>
            </w:pPr>
            <w:r w:rsidRPr="00DA2761">
              <w:rPr>
                <w:rFonts w:eastAsia="Calibri" w:cstheme="minorHAnsi"/>
                <w:bCs/>
                <w:color w:val="000000" w:themeColor="text1"/>
              </w:rPr>
              <w:t xml:space="preserve">Wiązka projektów </w:t>
            </w:r>
            <w:r w:rsidR="00CF1B43" w:rsidRPr="00DA2761">
              <w:rPr>
                <w:rFonts w:eastAsia="Calibri" w:cstheme="minorHAnsi"/>
                <w:bCs/>
                <w:color w:val="000000" w:themeColor="text1"/>
              </w:rPr>
              <w:t>13</w:t>
            </w:r>
            <w:r w:rsidR="00CF5EA2" w:rsidRPr="00DA2761">
              <w:rPr>
                <w:rFonts w:eastAsia="Calibri" w:cstheme="minorHAnsi"/>
                <w:bCs/>
                <w:color w:val="000000" w:themeColor="text1"/>
              </w:rPr>
              <w:t>: Przygotowanie</w:t>
            </w:r>
          </w:p>
          <w:p w:rsidR="00710A37" w:rsidRPr="00DA2761" w:rsidRDefault="00CF5EA2" w:rsidP="00DA2761">
            <w:pPr>
              <w:spacing w:after="0" w:line="240" w:lineRule="auto"/>
              <w:jc w:val="left"/>
              <w:rPr>
                <w:rFonts w:ascii="Calibri" w:eastAsia="Times New Roman" w:hAnsi="Calibri" w:cs="Arial"/>
                <w:color w:val="000000" w:themeColor="text1"/>
                <w:lang w:eastAsia="pl-PL"/>
              </w:rPr>
            </w:pPr>
            <w:r w:rsidRPr="00DA2761">
              <w:rPr>
                <w:rFonts w:eastAsia="Calibri" w:cstheme="minorHAnsi"/>
                <w:bCs/>
                <w:color w:val="000000" w:themeColor="text1"/>
              </w:rPr>
              <w:t xml:space="preserve"> i monitorowanie strategii ZIT</w:t>
            </w:r>
            <w:r w:rsidR="006B02A9" w:rsidRPr="00DA2761">
              <w:rPr>
                <w:rFonts w:eastAsia="Calibri" w:cstheme="minorHAnsi"/>
                <w:bCs/>
                <w:color w:val="000000" w:themeColor="text1"/>
              </w:rPr>
              <w:t>,</w:t>
            </w:r>
            <w:r w:rsidRPr="00DA2761">
              <w:rPr>
                <w:rFonts w:eastAsia="Calibri" w:cstheme="minorHAnsi"/>
                <w:bCs/>
                <w:color w:val="000000" w:themeColor="text1"/>
              </w:rPr>
              <w:t xml:space="preserve"> kreowanie polityki rozwoju obszaru  </w:t>
            </w:r>
          </w:p>
        </w:tc>
        <w:tc>
          <w:tcPr>
            <w:tcW w:w="472" w:type="pct"/>
            <w:shd w:val="clear" w:color="auto" w:fill="FFFFFF" w:themeFill="background1"/>
            <w:vAlign w:val="center"/>
            <w:hideMark/>
          </w:tcPr>
          <w:p w:rsidR="006262A9" w:rsidRPr="00DA2761" w:rsidRDefault="006262A9" w:rsidP="00DA2761">
            <w:pPr>
              <w:spacing w:after="0" w:line="240" w:lineRule="auto"/>
              <w:jc w:val="left"/>
              <w:rPr>
                <w:rFonts w:ascii="Calibri" w:eastAsia="Times New Roman" w:hAnsi="Calibri" w:cs="Arial"/>
                <w:color w:val="000000" w:themeColor="text1"/>
                <w:lang w:eastAsia="pl-PL"/>
              </w:rPr>
            </w:pPr>
          </w:p>
          <w:p w:rsidR="00710A37" w:rsidRPr="00DA2761" w:rsidRDefault="003709E1" w:rsidP="00DA2761">
            <w:pPr>
              <w:spacing w:after="0" w:line="240" w:lineRule="auto"/>
              <w:jc w:val="left"/>
              <w:rPr>
                <w:rFonts w:ascii="Calibri" w:eastAsia="Times New Roman" w:hAnsi="Calibri" w:cs="Arial"/>
                <w:color w:val="000000" w:themeColor="text1"/>
                <w:lang w:eastAsia="pl-PL"/>
              </w:rPr>
            </w:pPr>
            <w:r w:rsidRPr="00DA2761">
              <w:rPr>
                <w:rFonts w:ascii="Calibri" w:eastAsia="Times New Roman" w:hAnsi="Calibri" w:cs="Arial"/>
                <w:color w:val="000000" w:themeColor="text1"/>
                <w:lang w:eastAsia="pl-PL"/>
              </w:rPr>
              <w:t>578 967,85</w:t>
            </w:r>
          </w:p>
          <w:p w:rsidR="00710A37" w:rsidRPr="00DA2761" w:rsidRDefault="00710A37" w:rsidP="00DA2761">
            <w:pPr>
              <w:spacing w:after="0" w:line="240" w:lineRule="auto"/>
              <w:jc w:val="left"/>
              <w:rPr>
                <w:rFonts w:ascii="Calibri" w:eastAsia="Times New Roman" w:hAnsi="Calibri" w:cs="Arial"/>
                <w:color w:val="000000" w:themeColor="text1"/>
                <w:lang w:eastAsia="pl-PL"/>
              </w:rPr>
            </w:pPr>
          </w:p>
          <w:p w:rsidR="00710A37" w:rsidRPr="00DA2761" w:rsidRDefault="00710A37" w:rsidP="00DA2761">
            <w:pPr>
              <w:spacing w:after="0" w:line="240" w:lineRule="auto"/>
              <w:jc w:val="left"/>
              <w:rPr>
                <w:rFonts w:ascii="Calibri" w:eastAsia="Times New Roman" w:hAnsi="Calibri" w:cs="Arial"/>
                <w:color w:val="000000" w:themeColor="text1"/>
                <w:lang w:eastAsia="pl-PL"/>
              </w:rPr>
            </w:pPr>
          </w:p>
        </w:tc>
      </w:tr>
    </w:tbl>
    <w:p w:rsidR="00DA2761" w:rsidRDefault="00DA2761" w:rsidP="0025738B">
      <w:pPr>
        <w:spacing w:after="0"/>
        <w:rPr>
          <w:b/>
          <w:color w:val="276E8B"/>
        </w:rPr>
      </w:pPr>
    </w:p>
    <w:p w:rsidR="00DA2761" w:rsidRDefault="00DA2761" w:rsidP="0025738B">
      <w:pPr>
        <w:spacing w:after="0"/>
        <w:rPr>
          <w:b/>
          <w:color w:val="276E8B"/>
        </w:rPr>
      </w:pPr>
    </w:p>
    <w:p w:rsidR="00553093" w:rsidRPr="00DA2761" w:rsidRDefault="00774EC5" w:rsidP="0025738B">
      <w:pPr>
        <w:spacing w:after="0"/>
        <w:rPr>
          <w:b/>
          <w:color w:val="000000" w:themeColor="text1"/>
        </w:rPr>
      </w:pPr>
      <w:r w:rsidRPr="00DA2761">
        <w:rPr>
          <w:b/>
          <w:color w:val="000000" w:themeColor="text1"/>
        </w:rPr>
        <w:t xml:space="preserve">ALOKACJA </w:t>
      </w:r>
      <w:r w:rsidR="006B1DB0" w:rsidRPr="00DA2761">
        <w:rPr>
          <w:b/>
          <w:color w:val="000000" w:themeColor="text1"/>
        </w:rPr>
        <w:t xml:space="preserve">ZIT WROF </w:t>
      </w:r>
      <w:r w:rsidR="00553093" w:rsidRPr="00DA2761">
        <w:rPr>
          <w:b/>
          <w:color w:val="000000" w:themeColor="text1"/>
        </w:rPr>
        <w:t>Z PROGRAMU FU</w:t>
      </w:r>
      <w:r w:rsidR="006B1DB0" w:rsidRPr="00DA2761">
        <w:rPr>
          <w:b/>
          <w:color w:val="000000" w:themeColor="text1"/>
        </w:rPr>
        <w:t>ND</w:t>
      </w:r>
      <w:r w:rsidR="00553093" w:rsidRPr="00DA2761">
        <w:rPr>
          <w:b/>
          <w:color w:val="000000" w:themeColor="text1"/>
        </w:rPr>
        <w:t>USZE EUROPEJSKIE NA INFRASTRUKTURĘ, KLIMAT, ŚRODOWISKO 2021-2027</w:t>
      </w:r>
    </w:p>
    <w:tbl>
      <w:tblPr>
        <w:tblW w:w="5000" w:type="pct"/>
        <w:tblInd w:w="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ALOKACJA ZIT WROF Z PROGRAMU FUNDUSZE EUROPEJSKIE NA INFRASTRUKTURĘ, KLIMAT, ŚRODOWISKO 2021-2027"/>
        <w:tblDescription w:val="ALOKACJA ZIT WROF Z PROGRAMU FUNDUSZE EUROPEJSKIE NA INFRASTRUKTURĘ, KLIMAT, ŚRODOWISKO 2021-2027"/>
      </w:tblPr>
      <w:tblGrid>
        <w:gridCol w:w="4030"/>
        <w:gridCol w:w="4280"/>
        <w:gridCol w:w="7254"/>
        <w:gridCol w:w="5404"/>
      </w:tblGrid>
      <w:tr w:rsidR="00803EBB" w:rsidRPr="00DA2761" w:rsidTr="00DA2761">
        <w:trPr>
          <w:trHeight w:val="885"/>
        </w:trPr>
        <w:tc>
          <w:tcPr>
            <w:tcW w:w="4030" w:type="dxa"/>
            <w:shd w:val="clear" w:color="auto" w:fill="F2F2F2" w:themeFill="background1" w:themeFillShade="F2"/>
            <w:vAlign w:val="center"/>
            <w:hideMark/>
          </w:tcPr>
          <w:p w:rsidR="00803EBB" w:rsidRPr="00DA2761" w:rsidRDefault="00803EBB" w:rsidP="00DA2761">
            <w:pPr>
              <w:spacing w:after="0" w:line="240" w:lineRule="auto"/>
              <w:jc w:val="left"/>
              <w:rPr>
                <w:rFonts w:eastAsia="Times New Roman" w:cs="Times New Roman"/>
                <w:b/>
                <w:lang w:eastAsia="pl-PL"/>
              </w:rPr>
            </w:pPr>
            <w:r w:rsidRPr="00DA2761">
              <w:rPr>
                <w:rFonts w:eastAsia="Times New Roman" w:cs="Times New Roman"/>
                <w:b/>
                <w:lang w:eastAsia="pl-PL"/>
              </w:rPr>
              <w:t>Alokacja ZIT WrOF</w:t>
            </w:r>
            <w:r w:rsidRPr="00DA2761">
              <w:rPr>
                <w:rFonts w:eastAsia="Times New Roman" w:cs="Times New Roman"/>
                <w:b/>
                <w:lang w:eastAsia="pl-PL"/>
              </w:rPr>
              <w:br/>
              <w:t>w PLN</w:t>
            </w:r>
          </w:p>
        </w:tc>
        <w:tc>
          <w:tcPr>
            <w:tcW w:w="4280" w:type="dxa"/>
            <w:shd w:val="clear" w:color="auto" w:fill="F2F2F2" w:themeFill="background1" w:themeFillShade="F2"/>
            <w:vAlign w:val="center"/>
            <w:hideMark/>
          </w:tcPr>
          <w:p w:rsidR="00803EBB" w:rsidRPr="00DA2761" w:rsidRDefault="00166C4E" w:rsidP="00DA2761">
            <w:pPr>
              <w:spacing w:after="0" w:line="240" w:lineRule="auto"/>
              <w:jc w:val="left"/>
              <w:rPr>
                <w:rFonts w:eastAsia="Times New Roman" w:cs="Times New Roman"/>
                <w:b/>
                <w:color w:val="000000"/>
                <w:lang w:eastAsia="pl-PL"/>
              </w:rPr>
            </w:pPr>
            <w:r w:rsidRPr="00DA2761">
              <w:rPr>
                <w:rFonts w:eastAsia="Times New Roman" w:cs="Times New Roman"/>
                <w:b/>
                <w:color w:val="000000"/>
                <w:lang w:eastAsia="pl-PL"/>
              </w:rPr>
              <w:t>Planowany p</w:t>
            </w:r>
            <w:r w:rsidR="00803EBB" w:rsidRPr="00DA2761">
              <w:rPr>
                <w:rFonts w:eastAsia="Times New Roman" w:cs="Times New Roman"/>
                <w:b/>
                <w:color w:val="000000"/>
                <w:lang w:eastAsia="pl-PL"/>
              </w:rPr>
              <w:t xml:space="preserve">oziom wykorzystania alokacji </w:t>
            </w:r>
            <w:r w:rsidR="00803EBB" w:rsidRPr="00DA2761">
              <w:rPr>
                <w:rFonts w:eastAsia="Times New Roman" w:cs="Times New Roman"/>
                <w:b/>
                <w:color w:val="000000"/>
                <w:lang w:eastAsia="pl-PL"/>
              </w:rPr>
              <w:br/>
              <w:t>w PLN</w:t>
            </w:r>
          </w:p>
        </w:tc>
        <w:tc>
          <w:tcPr>
            <w:tcW w:w="7404" w:type="dxa"/>
            <w:shd w:val="clear" w:color="auto" w:fill="F2F2F2" w:themeFill="background1" w:themeFillShade="F2"/>
            <w:vAlign w:val="center"/>
            <w:hideMark/>
          </w:tcPr>
          <w:p w:rsidR="00803EBB" w:rsidRPr="00DA2761" w:rsidRDefault="00803EBB" w:rsidP="00DA2761">
            <w:pPr>
              <w:spacing w:after="0" w:line="240" w:lineRule="auto"/>
              <w:jc w:val="left"/>
              <w:rPr>
                <w:rFonts w:eastAsia="Times New Roman" w:cs="Times New Roman"/>
                <w:b/>
                <w:color w:val="000000"/>
                <w:lang w:eastAsia="pl-PL"/>
              </w:rPr>
            </w:pPr>
            <w:r w:rsidRPr="00DA2761">
              <w:rPr>
                <w:rFonts w:eastAsia="Times New Roman" w:cs="Times New Roman"/>
                <w:b/>
                <w:color w:val="000000"/>
                <w:lang w:eastAsia="pl-PL"/>
              </w:rPr>
              <w:t>Nazwy wiązek projektowych</w:t>
            </w:r>
          </w:p>
        </w:tc>
        <w:tc>
          <w:tcPr>
            <w:tcW w:w="5404" w:type="dxa"/>
            <w:shd w:val="clear" w:color="auto" w:fill="F2F2F2" w:themeFill="background1" w:themeFillShade="F2"/>
            <w:vAlign w:val="center"/>
            <w:hideMark/>
          </w:tcPr>
          <w:p w:rsidR="00803EBB" w:rsidRPr="00DA2761" w:rsidRDefault="00166C4E" w:rsidP="00DA2761">
            <w:pPr>
              <w:spacing w:after="0" w:line="240" w:lineRule="auto"/>
              <w:jc w:val="left"/>
              <w:rPr>
                <w:rFonts w:eastAsia="Times New Roman" w:cs="Times New Roman"/>
                <w:b/>
                <w:color w:val="000000"/>
                <w:lang w:eastAsia="pl-PL"/>
              </w:rPr>
            </w:pPr>
            <w:r w:rsidRPr="00DA2761">
              <w:rPr>
                <w:rFonts w:eastAsia="Times New Roman" w:cs="Times New Roman"/>
                <w:b/>
                <w:color w:val="000000"/>
                <w:lang w:eastAsia="pl-PL"/>
              </w:rPr>
              <w:t>Szacowane w</w:t>
            </w:r>
            <w:r w:rsidR="00803EBB" w:rsidRPr="00DA2761">
              <w:rPr>
                <w:rFonts w:eastAsia="Times New Roman" w:cs="Times New Roman"/>
                <w:b/>
                <w:color w:val="000000"/>
                <w:lang w:eastAsia="pl-PL"/>
              </w:rPr>
              <w:t>artości dofinansowania UE w pla</w:t>
            </w:r>
            <w:r w:rsidR="006A0C47" w:rsidRPr="00DA2761">
              <w:rPr>
                <w:rFonts w:eastAsia="Times New Roman" w:cs="Times New Roman"/>
                <w:b/>
                <w:color w:val="000000"/>
                <w:lang w:eastAsia="pl-PL"/>
              </w:rPr>
              <w:t xml:space="preserve">nowanych wiązkach projektowych </w:t>
            </w:r>
            <w:r w:rsidR="00803EBB" w:rsidRPr="00DA2761">
              <w:rPr>
                <w:rFonts w:eastAsia="Times New Roman" w:cs="Times New Roman"/>
                <w:b/>
                <w:color w:val="000000"/>
                <w:lang w:eastAsia="pl-PL"/>
              </w:rPr>
              <w:t>w PLN</w:t>
            </w:r>
          </w:p>
        </w:tc>
      </w:tr>
      <w:tr w:rsidR="00803EBB" w:rsidRPr="00DA2761" w:rsidTr="00DA2761">
        <w:trPr>
          <w:trHeight w:val="1533"/>
        </w:trPr>
        <w:tc>
          <w:tcPr>
            <w:tcW w:w="4030" w:type="dxa"/>
            <w:shd w:val="clear" w:color="auto" w:fill="auto"/>
            <w:noWrap/>
            <w:vAlign w:val="center"/>
            <w:hideMark/>
          </w:tcPr>
          <w:p w:rsidR="00803EBB" w:rsidRPr="00DA2761" w:rsidRDefault="00803EBB"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4280" w:type="dxa"/>
            <w:shd w:val="clear" w:color="auto" w:fill="auto"/>
            <w:noWrap/>
            <w:vAlign w:val="center"/>
            <w:hideMark/>
          </w:tcPr>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803EBB"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7404" w:type="dxa"/>
            <w:shd w:val="clear" w:color="auto" w:fill="auto"/>
            <w:vAlign w:val="center"/>
            <w:hideMark/>
          </w:tcPr>
          <w:p w:rsidR="00803EBB" w:rsidRPr="00DA2761" w:rsidRDefault="00803EBB"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Wiązka projektów 1: Poprawa jakości powietrza we Wrocławskim Obszarze Funkcjonalnym poprzez zakup taboru szynowego i autobusowego</w:t>
            </w:r>
          </w:p>
        </w:tc>
        <w:tc>
          <w:tcPr>
            <w:tcW w:w="5404" w:type="dxa"/>
            <w:shd w:val="clear" w:color="000000" w:fill="FFFFFF"/>
            <w:noWrap/>
            <w:vAlign w:val="center"/>
            <w:hideMark/>
          </w:tcPr>
          <w:p w:rsidR="00803EBB" w:rsidRPr="00DA2761" w:rsidRDefault="002E7030"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192 614 895,49</w:t>
            </w:r>
          </w:p>
        </w:tc>
      </w:tr>
      <w:tr w:rsidR="00803EBB" w:rsidRPr="00DA2761" w:rsidTr="00DA2761">
        <w:trPr>
          <w:trHeight w:val="1290"/>
        </w:trPr>
        <w:tc>
          <w:tcPr>
            <w:tcW w:w="4030" w:type="dxa"/>
            <w:shd w:val="clear" w:color="auto" w:fill="auto"/>
            <w:vAlign w:val="center"/>
            <w:hideMark/>
          </w:tcPr>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803EBB"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4280" w:type="dxa"/>
            <w:shd w:val="clear" w:color="auto" w:fill="auto"/>
            <w:vAlign w:val="center"/>
            <w:hideMark/>
          </w:tcPr>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803EBB"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7404" w:type="dxa"/>
            <w:shd w:val="clear" w:color="auto" w:fill="auto"/>
            <w:vAlign w:val="center"/>
            <w:hideMark/>
          </w:tcPr>
          <w:p w:rsidR="00803EBB" w:rsidRPr="00DA2761" w:rsidRDefault="00803EBB"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Wiązka projektów 2: Rozwój zrównoważonego systemu transportowego na terenie Wrocławskiego Obszaru Funkcjonalnego poprzez budowę węzłów</w:t>
            </w:r>
            <w:r w:rsidR="006B1DB0" w:rsidRPr="00DA2761">
              <w:rPr>
                <w:rFonts w:eastAsia="Times New Roman" w:cs="Times New Roman"/>
                <w:color w:val="000000"/>
                <w:lang w:eastAsia="pl-PL"/>
              </w:rPr>
              <w:t xml:space="preserve"> przesiadkowych</w:t>
            </w:r>
          </w:p>
        </w:tc>
        <w:tc>
          <w:tcPr>
            <w:tcW w:w="5404" w:type="dxa"/>
            <w:shd w:val="clear" w:color="auto" w:fill="auto"/>
            <w:vAlign w:val="center"/>
            <w:hideMark/>
          </w:tcPr>
          <w:p w:rsidR="00803EBB" w:rsidRPr="00DA2761" w:rsidRDefault="002E7030"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43 433 885,0</w:t>
            </w:r>
            <w:r w:rsidR="00415503" w:rsidRPr="00DA2761">
              <w:rPr>
                <w:rFonts w:eastAsia="Times New Roman" w:cs="Times New Roman"/>
                <w:color w:val="000000"/>
                <w:lang w:eastAsia="pl-PL"/>
              </w:rPr>
              <w:t>0</w:t>
            </w:r>
          </w:p>
        </w:tc>
      </w:tr>
      <w:tr w:rsidR="00803EBB" w:rsidRPr="00DA2761" w:rsidTr="00DA2761">
        <w:trPr>
          <w:trHeight w:val="1517"/>
        </w:trPr>
        <w:tc>
          <w:tcPr>
            <w:tcW w:w="4030" w:type="dxa"/>
            <w:shd w:val="clear" w:color="auto" w:fill="auto"/>
            <w:vAlign w:val="center"/>
            <w:hideMark/>
          </w:tcPr>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803EBB"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4280" w:type="dxa"/>
            <w:shd w:val="clear" w:color="auto" w:fill="auto"/>
            <w:vAlign w:val="center"/>
            <w:hideMark/>
          </w:tcPr>
          <w:p w:rsidR="00DA2761"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450 000 000,00</w:t>
            </w:r>
          </w:p>
          <w:p w:rsidR="00803EBB" w:rsidRPr="00DA2761" w:rsidRDefault="00DA2761"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(w sumie</w:t>
            </w:r>
            <w:r>
              <w:rPr>
                <w:rFonts w:eastAsia="Times New Roman" w:cs="Times New Roman"/>
                <w:color w:val="000000"/>
                <w:lang w:eastAsia="pl-PL"/>
              </w:rPr>
              <w:t xml:space="preserve"> wiązka nr 1. 2 i 3.</w:t>
            </w:r>
            <w:r w:rsidRPr="00DA2761">
              <w:rPr>
                <w:rFonts w:eastAsia="Times New Roman" w:cs="Times New Roman"/>
                <w:color w:val="000000"/>
                <w:lang w:eastAsia="pl-PL"/>
              </w:rPr>
              <w:t>)</w:t>
            </w:r>
          </w:p>
        </w:tc>
        <w:tc>
          <w:tcPr>
            <w:tcW w:w="7404" w:type="dxa"/>
            <w:shd w:val="clear" w:color="auto" w:fill="auto"/>
            <w:vAlign w:val="center"/>
            <w:hideMark/>
          </w:tcPr>
          <w:p w:rsidR="00803EBB" w:rsidRPr="00DA2761" w:rsidRDefault="00AB0D6B"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 xml:space="preserve">Wiązka projektów 3: Rozwój zrównoważonego systemu transportowego na terenie Wrocławskiego Obszaru Funkcjonalnego poprzez budowę, rozbudowę i przebudowę infrastruktury </w:t>
            </w:r>
            <w:r w:rsidR="002A2387" w:rsidRPr="00DA2761">
              <w:rPr>
                <w:rFonts w:eastAsia="Times New Roman" w:cs="Times New Roman"/>
                <w:color w:val="000000"/>
                <w:lang w:eastAsia="pl-PL"/>
              </w:rPr>
              <w:t xml:space="preserve">transportowej </w:t>
            </w:r>
            <w:r w:rsidRPr="00DA2761">
              <w:rPr>
                <w:rFonts w:eastAsia="Times New Roman" w:cs="Times New Roman"/>
                <w:color w:val="000000"/>
                <w:lang w:eastAsia="pl-PL"/>
              </w:rPr>
              <w:t>oraz rozwój zintegrowanego systemu zarządzania ruchem ITS</w:t>
            </w:r>
          </w:p>
        </w:tc>
        <w:tc>
          <w:tcPr>
            <w:tcW w:w="5404" w:type="dxa"/>
            <w:shd w:val="clear" w:color="auto" w:fill="auto"/>
            <w:noWrap/>
            <w:vAlign w:val="center"/>
            <w:hideMark/>
          </w:tcPr>
          <w:p w:rsidR="00803EBB" w:rsidRPr="00DA2761" w:rsidRDefault="00AB0D6B" w:rsidP="00DA2761">
            <w:pPr>
              <w:spacing w:after="0" w:line="240" w:lineRule="auto"/>
              <w:jc w:val="left"/>
              <w:rPr>
                <w:rFonts w:eastAsia="Times New Roman" w:cs="Times New Roman"/>
                <w:color w:val="000000"/>
                <w:lang w:eastAsia="pl-PL"/>
              </w:rPr>
            </w:pPr>
            <w:r w:rsidRPr="00DA2761">
              <w:rPr>
                <w:rFonts w:eastAsia="Times New Roman" w:cs="Times New Roman"/>
                <w:color w:val="000000"/>
                <w:lang w:eastAsia="pl-PL"/>
              </w:rPr>
              <w:t>213 951 219,51</w:t>
            </w:r>
          </w:p>
        </w:tc>
      </w:tr>
    </w:tbl>
    <w:p w:rsidR="00553093" w:rsidRDefault="00553093" w:rsidP="003C187F"/>
    <w:p w:rsidR="002B06AD" w:rsidRPr="002B06AD" w:rsidRDefault="002B06AD" w:rsidP="002B06AD">
      <w:pPr>
        <w:tabs>
          <w:tab w:val="center" w:pos="7001"/>
        </w:tabs>
        <w:sectPr w:rsidR="002B06AD" w:rsidRPr="002B06AD" w:rsidSect="0025738B">
          <w:pgSz w:w="23814" w:h="16839" w:orient="landscape" w:code="8"/>
          <w:pgMar w:top="1418" w:right="1418" w:bottom="1418" w:left="1418" w:header="709" w:footer="709" w:gutter="0"/>
          <w:cols w:space="708"/>
          <w:docGrid w:linePitch="360"/>
        </w:sectPr>
      </w:pPr>
      <w:r>
        <w:tab/>
      </w:r>
    </w:p>
    <w:p w:rsidR="00D9109A" w:rsidRPr="00CA57D6" w:rsidRDefault="00D9109A" w:rsidP="0025738B">
      <w:pPr>
        <w:pStyle w:val="Nagwek1"/>
        <w:spacing w:before="0"/>
      </w:pPr>
      <w:bookmarkStart w:id="174" w:name="_Toc143673233"/>
      <w:r w:rsidRPr="00CA57D6">
        <w:t>V</w:t>
      </w:r>
      <w:r w:rsidR="00414CBB">
        <w:t>.</w:t>
      </w:r>
      <w:r w:rsidRPr="00CA57D6">
        <w:t xml:space="preserve"> System </w:t>
      </w:r>
      <w:r w:rsidRPr="0025738B">
        <w:t>realizacji</w:t>
      </w:r>
      <w:bookmarkEnd w:id="174"/>
    </w:p>
    <w:p w:rsidR="007D07F9" w:rsidRPr="0025738B" w:rsidRDefault="00B76684" w:rsidP="0025738B">
      <w:pPr>
        <w:pStyle w:val="Nagwek2"/>
        <w:spacing w:before="0"/>
      </w:pPr>
      <w:bookmarkStart w:id="175" w:name="_Toc143673234"/>
      <w:r w:rsidRPr="0025738B">
        <w:t>V.1</w:t>
      </w:r>
      <w:r w:rsidR="006A0C47">
        <w:t xml:space="preserve"> </w:t>
      </w:r>
      <w:r w:rsidRPr="0025738B">
        <w:t>Warunki i procedury obowiązujące w realizacji instrumentu ZIT</w:t>
      </w:r>
      <w:bookmarkEnd w:id="175"/>
    </w:p>
    <w:p w:rsidR="007D07F9" w:rsidRPr="00857609" w:rsidRDefault="009D757E" w:rsidP="00DA2761">
      <w:pPr>
        <w:spacing w:before="240" w:after="0"/>
        <w:jc w:val="left"/>
        <w:rPr>
          <w:b/>
          <w:color w:val="000000" w:themeColor="text1"/>
          <w:sz w:val="24"/>
          <w:szCs w:val="24"/>
        </w:rPr>
      </w:pPr>
      <w:r w:rsidRPr="00857609">
        <w:rPr>
          <w:b/>
          <w:color w:val="000000" w:themeColor="text1"/>
          <w:sz w:val="24"/>
          <w:szCs w:val="24"/>
        </w:rPr>
        <w:t>V.1.1 Warunki realizacji instrumentu ZIT</w:t>
      </w:r>
    </w:p>
    <w:p w:rsidR="00FF3CCF" w:rsidRPr="00DA2761" w:rsidRDefault="00FF3CCF" w:rsidP="00DA2761">
      <w:pPr>
        <w:jc w:val="left"/>
        <w:rPr>
          <w:sz w:val="24"/>
          <w:szCs w:val="24"/>
        </w:rPr>
      </w:pPr>
      <w:r w:rsidRPr="00DA2761">
        <w:rPr>
          <w:sz w:val="24"/>
          <w:szCs w:val="24"/>
        </w:rPr>
        <w:t>Instrument ZIT może być realizowany zarówno w oparciu o strateg</w:t>
      </w:r>
      <w:r w:rsidR="00173E0D" w:rsidRPr="00DA2761">
        <w:rPr>
          <w:sz w:val="24"/>
          <w:szCs w:val="24"/>
        </w:rPr>
        <w:t>ię ZIT, jak i </w:t>
      </w:r>
      <w:r w:rsidRPr="00DA2761">
        <w:rPr>
          <w:sz w:val="24"/>
          <w:szCs w:val="24"/>
        </w:rPr>
        <w:t>strategię rozwoju ponadlokalnego. Przedmiotow</w:t>
      </w:r>
      <w:r w:rsidR="00173E0D" w:rsidRPr="00DA2761">
        <w:rPr>
          <w:sz w:val="24"/>
          <w:szCs w:val="24"/>
        </w:rPr>
        <w:t>y dokument jest Strategią ZIT i </w:t>
      </w:r>
      <w:r w:rsidRPr="00DA2761">
        <w:rPr>
          <w:sz w:val="24"/>
          <w:szCs w:val="24"/>
        </w:rPr>
        <w:t>zgodnie z zapisami Rozporządzenia Ogólnego pełni rolę strategii terytorialnej, której działania realizowane będą jako zintegrowana inwestycja terytorialna z uwagi na wsparcie z różnych źródeł – co najmniej jednego funduszu</w:t>
      </w:r>
      <w:r w:rsidR="00EB7F97" w:rsidRPr="00DA2761">
        <w:rPr>
          <w:sz w:val="24"/>
          <w:szCs w:val="24"/>
        </w:rPr>
        <w:t>, więcej niż jednego programu i </w:t>
      </w:r>
      <w:r w:rsidRPr="00DA2761">
        <w:rPr>
          <w:sz w:val="24"/>
          <w:szCs w:val="24"/>
        </w:rPr>
        <w:t xml:space="preserve">więcej niż jednego priorytetu w ramach tego samego programu (art. 29 i art. 30 Rozporządzenia Ogólnego). </w:t>
      </w:r>
    </w:p>
    <w:p w:rsidR="00FF3CCF" w:rsidRPr="00DA2761" w:rsidRDefault="00FF3CCF" w:rsidP="00DA2761">
      <w:pPr>
        <w:spacing w:after="0"/>
        <w:jc w:val="left"/>
        <w:rPr>
          <w:sz w:val="24"/>
          <w:szCs w:val="24"/>
        </w:rPr>
      </w:pPr>
      <w:r w:rsidRPr="00DA2761">
        <w:rPr>
          <w:sz w:val="24"/>
          <w:szCs w:val="24"/>
        </w:rPr>
        <w:t>Warunki realizacji ZIT wynikają z zapisów Ustawy Wdrożeniowej, w szczególności z art. 34 ust. 6.</w:t>
      </w:r>
      <w:r w:rsidR="002A5957" w:rsidRPr="00DA2761">
        <w:rPr>
          <w:sz w:val="24"/>
          <w:szCs w:val="24"/>
        </w:rPr>
        <w:t>,</w:t>
      </w:r>
      <w:r w:rsidRPr="00DA2761">
        <w:rPr>
          <w:sz w:val="24"/>
          <w:szCs w:val="24"/>
        </w:rPr>
        <w:t xml:space="preserve"> w którym wskazuje, że warunkami realizacji ZIT jest:</w:t>
      </w:r>
    </w:p>
    <w:p w:rsidR="00FF3CCF" w:rsidRPr="00DA2761" w:rsidRDefault="00FF3CCF" w:rsidP="00DA2761">
      <w:pPr>
        <w:pStyle w:val="Akapitzlist"/>
        <w:numPr>
          <w:ilvl w:val="0"/>
          <w:numId w:val="1"/>
        </w:numPr>
        <w:jc w:val="left"/>
        <w:rPr>
          <w:sz w:val="24"/>
          <w:szCs w:val="24"/>
        </w:rPr>
      </w:pPr>
      <w:r w:rsidRPr="00DA2761">
        <w:rPr>
          <w:sz w:val="24"/>
          <w:szCs w:val="24"/>
        </w:rPr>
        <w:t>powołanie związku ZIT, o którym mowa w ust. 5</w:t>
      </w:r>
      <w:r w:rsidRPr="00DA2761">
        <w:rPr>
          <w:sz w:val="24"/>
          <w:szCs w:val="24"/>
          <w:vertAlign w:val="superscript"/>
        </w:rPr>
        <w:footnoteReference w:id="122"/>
      </w:r>
      <w:r w:rsidRPr="00DA2761">
        <w:rPr>
          <w:sz w:val="24"/>
          <w:szCs w:val="24"/>
        </w:rPr>
        <w:t>;</w:t>
      </w:r>
    </w:p>
    <w:p w:rsidR="00FF3CCF" w:rsidRPr="00DA2761" w:rsidRDefault="00FF3CCF" w:rsidP="00DA2761">
      <w:pPr>
        <w:pStyle w:val="Akapitzlist"/>
        <w:numPr>
          <w:ilvl w:val="0"/>
          <w:numId w:val="1"/>
        </w:numPr>
        <w:jc w:val="left"/>
        <w:rPr>
          <w:sz w:val="24"/>
          <w:szCs w:val="24"/>
        </w:rPr>
      </w:pPr>
      <w:r w:rsidRPr="00DA2761">
        <w:rPr>
          <w:sz w:val="24"/>
          <w:szCs w:val="24"/>
        </w:rPr>
        <w:t>opracowanie i uchwalenie przez podmioty, o których mowa w ust. 5, strategii terytorialnej, o której mowa w art. 29 Rozporządzenia Ogólnego, zwanej dalej „strategią ZIT”, z zastrzeżeniem ust. 9 oraz jej pozytywne zaopiniowanie przez właściwą instytucję zarządzającą programem w terminie 60 dni od dnia otrzymania – w zakresie możliwości finansowania strategii ZIT w ramach tego programu;</w:t>
      </w:r>
    </w:p>
    <w:p w:rsidR="00FF3CCF" w:rsidRPr="00DA2761" w:rsidRDefault="00FF3CCF" w:rsidP="00DA2761">
      <w:pPr>
        <w:pStyle w:val="Akapitzlist"/>
        <w:numPr>
          <w:ilvl w:val="0"/>
          <w:numId w:val="1"/>
        </w:numPr>
        <w:jc w:val="left"/>
        <w:rPr>
          <w:sz w:val="24"/>
          <w:szCs w:val="24"/>
        </w:rPr>
      </w:pPr>
      <w:r w:rsidRPr="00DA2761">
        <w:rPr>
          <w:sz w:val="24"/>
          <w:szCs w:val="24"/>
        </w:rPr>
        <w:t xml:space="preserve">opracowanie i uchwalenie do dnia 31 grudnia 2025 r. strategii rozwoju ponadlokalnego, o której mowa w art. 10 g </w:t>
      </w:r>
      <w:r w:rsidR="00857609">
        <w:rPr>
          <w:sz w:val="24"/>
          <w:szCs w:val="24"/>
        </w:rPr>
        <w:t>ustawy z dnia 8 marca 1990 r. o </w:t>
      </w:r>
      <w:r w:rsidRPr="00DA2761">
        <w:rPr>
          <w:sz w:val="24"/>
          <w:szCs w:val="24"/>
        </w:rPr>
        <w:t>samorządzie gminnym, w przypadku miejskiego obszaru funkcjonalnego, o którym mowa w ust. 2, miasta będącego siedzibą władz samorządowych województwa lub wojewody, a do czasu jej uchwalenia opracowanie i uchwalenie strategii ZIT.</w:t>
      </w:r>
    </w:p>
    <w:p w:rsidR="00C83A94" w:rsidRPr="00DA2761" w:rsidRDefault="00C83A94" w:rsidP="00DA2761">
      <w:pPr>
        <w:jc w:val="left"/>
        <w:rPr>
          <w:sz w:val="24"/>
          <w:szCs w:val="24"/>
        </w:rPr>
      </w:pPr>
      <w:r w:rsidRPr="00DA2761">
        <w:rPr>
          <w:sz w:val="24"/>
          <w:szCs w:val="24"/>
        </w:rPr>
        <w:t xml:space="preserve">W nawiązaniu do pkt 3) celem dopełnienia warunków wskazanych w Ustawie Wdrożeniowej, planuje się opracowanie i uchwalenie do dnia 31 grudnia 2025 r.  strategii rozwoju ponadlokalnego dla gmin ZIT WrOF, o której mowa w art. 10 g ustawy z dnia 8 marca 1990 r. o samorządzie gminnym. </w:t>
      </w:r>
    </w:p>
    <w:p w:rsidR="00FF3CCF" w:rsidRPr="00DA2761" w:rsidRDefault="00FF3CCF" w:rsidP="00DA2761">
      <w:pPr>
        <w:jc w:val="left"/>
        <w:rPr>
          <w:sz w:val="24"/>
          <w:szCs w:val="24"/>
        </w:rPr>
      </w:pPr>
      <w:r w:rsidRPr="00DA2761">
        <w:rPr>
          <w:sz w:val="24"/>
          <w:szCs w:val="24"/>
        </w:rPr>
        <w:t xml:space="preserve">Zgodnie z zapisami Ustawy Wdrożeniowej oraz Umowy Partnerstwa, zawiązanie zinstytucjonalizowanej formy partnerstwa (powołanie Związku ZIT) możliwe jest w czterech formach: stowarzyszenia jednostek samorządu terytorialnego, porozumienia międzygminnego, związku międzygminnego, powiatowego lub powiatowo-gminnego lub związku metropolitalnego województwa śląskiego. Prawną formą współpracy samorządów WrOF jest porozumienie międzygminne. Związki ZIT wobec władz krajowych i regionalnych reprezentują władze miast oraz obszarów powiązanych z nimi </w:t>
      </w:r>
      <w:r w:rsidRPr="00DA2761">
        <w:rPr>
          <w:spacing w:val="-2"/>
          <w:sz w:val="24"/>
          <w:szCs w:val="24"/>
        </w:rPr>
        <w:t>funkcjonalnie. Ich podstawowym zadaniem jest kreowanie polityki rozwoju w obszarze funkcjonalnym oraz koordynacja realizowan</w:t>
      </w:r>
      <w:r w:rsidR="00173E0D" w:rsidRPr="00DA2761">
        <w:rPr>
          <w:spacing w:val="-2"/>
          <w:sz w:val="24"/>
          <w:szCs w:val="24"/>
        </w:rPr>
        <w:t>ych projektów, które wynikają z </w:t>
      </w:r>
      <w:r w:rsidRPr="00DA2761">
        <w:rPr>
          <w:spacing w:val="-2"/>
          <w:sz w:val="24"/>
          <w:szCs w:val="24"/>
        </w:rPr>
        <w:t>opracowanej strategii ZIT.</w:t>
      </w:r>
    </w:p>
    <w:p w:rsidR="00FF3CCF" w:rsidRPr="00DA2761" w:rsidRDefault="00FF3CCF" w:rsidP="00DA2761">
      <w:pPr>
        <w:jc w:val="left"/>
        <w:rPr>
          <w:rFonts w:cs="Times New Roman"/>
          <w:sz w:val="24"/>
          <w:szCs w:val="24"/>
        </w:rPr>
      </w:pPr>
      <w:r w:rsidRPr="00DA2761">
        <w:rPr>
          <w:sz w:val="24"/>
          <w:szCs w:val="24"/>
        </w:rPr>
        <w:t>Zgodnie z zapisami Porozumienia z dnia 17 grudnia 2021 r. w sprawie zasad współpracy Stron Porozumienia przy programowaniu, wdraż</w:t>
      </w:r>
      <w:r w:rsidR="00320A03">
        <w:rPr>
          <w:sz w:val="24"/>
          <w:szCs w:val="24"/>
        </w:rPr>
        <w:t>aniu, finansowaniu, ewaluacji i </w:t>
      </w:r>
      <w:r w:rsidRPr="00DA2761">
        <w:rPr>
          <w:sz w:val="24"/>
          <w:szCs w:val="24"/>
        </w:rPr>
        <w:t>koordynowaniu wspólnych przedsięwzięć, bieżącej obsłudze i rozliczeniach ZIT WrOF</w:t>
      </w:r>
      <w:r w:rsidR="00414CBB" w:rsidRPr="00DA2761">
        <w:rPr>
          <w:sz w:val="24"/>
          <w:szCs w:val="24"/>
        </w:rPr>
        <w:t xml:space="preserve"> </w:t>
      </w:r>
      <w:r w:rsidRPr="00DA2761">
        <w:rPr>
          <w:rFonts w:cs="Times New Roman"/>
          <w:sz w:val="24"/>
          <w:szCs w:val="24"/>
        </w:rPr>
        <w:t xml:space="preserve">Liderem porozumienia międzygminnego jest Gmina Wrocław. Ponadto funkcje administracyjne pełni wydzielona w strukturach Urzędu Miejskiego Wrocławia komórka organizacyjna- </w:t>
      </w:r>
      <w:r w:rsidRPr="00DA2761">
        <w:rPr>
          <w:rFonts w:cstheme="minorHAnsi"/>
          <w:sz w:val="24"/>
          <w:szCs w:val="24"/>
        </w:rPr>
        <w:t>Biuro Zintegrowanych Inwestycji Terytorialnych WrOF</w:t>
      </w:r>
      <w:r w:rsidRPr="00DA2761">
        <w:rPr>
          <w:rFonts w:cs="Times New Roman"/>
          <w:sz w:val="24"/>
          <w:szCs w:val="24"/>
        </w:rPr>
        <w:t xml:space="preserve">. Funkcję programowo-opiniodawczą w systemie wdrażania ZIT WrOF pełni Komitet Sterujący ZIT WrOF, natomiast funkcję konsultacyjno-opiniodawczą </w:t>
      </w:r>
      <w:r w:rsidRPr="00DA2761">
        <w:rPr>
          <w:rFonts w:eastAsia="MS Mincho" w:cs="MS Mincho"/>
          <w:sz w:val="24"/>
          <w:szCs w:val="24"/>
        </w:rPr>
        <w:t>‒</w:t>
      </w:r>
      <w:r w:rsidRPr="00DA2761">
        <w:rPr>
          <w:rFonts w:cs="Times New Roman"/>
          <w:sz w:val="24"/>
          <w:szCs w:val="24"/>
        </w:rPr>
        <w:t xml:space="preserve"> Rada ZIT WrOF. </w:t>
      </w:r>
    </w:p>
    <w:p w:rsidR="007D07F9" w:rsidRPr="00DA2761" w:rsidRDefault="00FF3CCF" w:rsidP="00DA2761">
      <w:pPr>
        <w:jc w:val="left"/>
        <w:rPr>
          <w:rFonts w:cs="Times New Roman"/>
          <w:sz w:val="24"/>
          <w:szCs w:val="24"/>
        </w:rPr>
      </w:pPr>
      <w:r w:rsidRPr="00DA2761">
        <w:rPr>
          <w:rFonts w:cs="Times New Roman"/>
          <w:sz w:val="24"/>
          <w:szCs w:val="24"/>
        </w:rPr>
        <w:t>Poniżej przedstawiono najważniejsze informacje dotycz</w:t>
      </w:r>
      <w:r w:rsidR="00E60C99" w:rsidRPr="00DA2761">
        <w:rPr>
          <w:rFonts w:cs="Times New Roman"/>
          <w:sz w:val="24"/>
          <w:szCs w:val="24"/>
        </w:rPr>
        <w:t>ące podmiotów zaangażowanych we </w:t>
      </w:r>
      <w:r w:rsidRPr="00DA2761">
        <w:rPr>
          <w:rFonts w:cs="Times New Roman"/>
          <w:sz w:val="24"/>
          <w:szCs w:val="24"/>
        </w:rPr>
        <w:t>wdrażanie ZIT WrOF.</w:t>
      </w:r>
    </w:p>
    <w:p w:rsidR="00EB4168" w:rsidRDefault="00EC497E" w:rsidP="00536437">
      <w:pPr>
        <w:pStyle w:val="nadWrOF"/>
      </w:pPr>
      <w:bookmarkStart w:id="176" w:name="_Toc143606971"/>
      <w:r>
        <w:t xml:space="preserve">Tabela </w:t>
      </w:r>
      <w:r w:rsidR="00C73793">
        <w:fldChar w:fldCharType="begin"/>
      </w:r>
      <w:r w:rsidR="00F95614">
        <w:instrText xml:space="preserve"> SEQ Tabela \* ARABIC </w:instrText>
      </w:r>
      <w:r w:rsidR="00C73793">
        <w:fldChar w:fldCharType="separate"/>
      </w:r>
      <w:r w:rsidR="00C96A96">
        <w:rPr>
          <w:noProof/>
        </w:rPr>
        <w:t>14</w:t>
      </w:r>
      <w:r w:rsidR="00C73793">
        <w:rPr>
          <w:noProof/>
        </w:rPr>
        <w:fldChar w:fldCharType="end"/>
      </w:r>
      <w:r w:rsidR="00414CBB">
        <w:rPr>
          <w:noProof/>
        </w:rPr>
        <w:t xml:space="preserve"> </w:t>
      </w:r>
      <w:r w:rsidR="00EB4168">
        <w:t>Podmioty zaangażowane w realizację Strategii ZIT WrOF</w:t>
      </w:r>
      <w:r w:rsidR="00663D51">
        <w:t xml:space="preserve"> 2021-2027</w:t>
      </w:r>
      <w:bookmarkEnd w:id="176"/>
    </w:p>
    <w:tbl>
      <w:tblPr>
        <w:tblStyle w:val="Tabela-Siatka"/>
        <w:tblW w:w="90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Podmioty zaangażowane w realizację Strategii ZIT WrOF 2021-2027"/>
        <w:tblDescription w:val="Podmioty zaangażowane w realizację Strategii ZIT WrOF 2021-2027"/>
      </w:tblPr>
      <w:tblGrid>
        <w:gridCol w:w="1651"/>
        <w:gridCol w:w="1693"/>
        <w:gridCol w:w="3097"/>
        <w:gridCol w:w="2629"/>
      </w:tblGrid>
      <w:tr w:rsidR="00EB4168" w:rsidRPr="00DA2761" w:rsidTr="00DA2761">
        <w:trPr>
          <w:trHeight w:val="737"/>
          <w:tblHeader/>
        </w:trPr>
        <w:tc>
          <w:tcPr>
            <w:tcW w:w="0" w:type="auto"/>
            <w:shd w:val="clear" w:color="auto" w:fill="F2F2F2" w:themeFill="background1" w:themeFillShade="F2"/>
            <w:vAlign w:val="center"/>
            <w:hideMark/>
          </w:tcPr>
          <w:p w:rsidR="00EB4168" w:rsidRPr="00DA2761" w:rsidRDefault="00EB4168" w:rsidP="00DA2761">
            <w:pPr>
              <w:autoSpaceDE w:val="0"/>
              <w:autoSpaceDN w:val="0"/>
              <w:adjustRightInd w:val="0"/>
              <w:spacing w:line="240" w:lineRule="auto"/>
              <w:jc w:val="left"/>
              <w:rPr>
                <w:bCs/>
              </w:rPr>
            </w:pPr>
            <w:r w:rsidRPr="00DA2761">
              <w:rPr>
                <w:bCs/>
              </w:rPr>
              <w:t>Podmiot</w:t>
            </w:r>
          </w:p>
        </w:tc>
        <w:tc>
          <w:tcPr>
            <w:tcW w:w="1558" w:type="dxa"/>
            <w:shd w:val="clear" w:color="auto" w:fill="F2F2F2" w:themeFill="background1" w:themeFillShade="F2"/>
            <w:vAlign w:val="center"/>
            <w:hideMark/>
          </w:tcPr>
          <w:p w:rsidR="00EB4168" w:rsidRPr="00DA2761" w:rsidRDefault="00EB4168" w:rsidP="00DA2761">
            <w:pPr>
              <w:autoSpaceDE w:val="0"/>
              <w:autoSpaceDN w:val="0"/>
              <w:adjustRightInd w:val="0"/>
              <w:spacing w:line="240" w:lineRule="auto"/>
              <w:jc w:val="left"/>
              <w:rPr>
                <w:bCs/>
              </w:rPr>
            </w:pPr>
            <w:r w:rsidRPr="00DA2761">
              <w:rPr>
                <w:bCs/>
              </w:rPr>
              <w:t>Funkcja</w:t>
            </w:r>
          </w:p>
        </w:tc>
        <w:tc>
          <w:tcPr>
            <w:tcW w:w="3300" w:type="dxa"/>
            <w:shd w:val="clear" w:color="auto" w:fill="F2F2F2" w:themeFill="background1" w:themeFillShade="F2"/>
            <w:vAlign w:val="center"/>
            <w:hideMark/>
          </w:tcPr>
          <w:p w:rsidR="00EB4168" w:rsidRPr="00DA2761" w:rsidRDefault="00EB4168" w:rsidP="00DA2761">
            <w:pPr>
              <w:autoSpaceDE w:val="0"/>
              <w:autoSpaceDN w:val="0"/>
              <w:adjustRightInd w:val="0"/>
              <w:spacing w:line="240" w:lineRule="auto"/>
              <w:jc w:val="left"/>
              <w:rPr>
                <w:bCs/>
              </w:rPr>
            </w:pPr>
            <w:r w:rsidRPr="00DA2761">
              <w:rPr>
                <w:bCs/>
              </w:rPr>
              <w:t>Przykładowe zadania</w:t>
            </w:r>
          </w:p>
        </w:tc>
        <w:tc>
          <w:tcPr>
            <w:tcW w:w="2691" w:type="dxa"/>
            <w:shd w:val="clear" w:color="auto" w:fill="F2F2F2" w:themeFill="background1" w:themeFillShade="F2"/>
            <w:vAlign w:val="center"/>
            <w:hideMark/>
          </w:tcPr>
          <w:p w:rsidR="00EB4168" w:rsidRPr="00DA2761" w:rsidRDefault="00EB4168" w:rsidP="00DA2761">
            <w:pPr>
              <w:autoSpaceDE w:val="0"/>
              <w:autoSpaceDN w:val="0"/>
              <w:adjustRightInd w:val="0"/>
              <w:spacing w:line="240" w:lineRule="auto"/>
              <w:jc w:val="left"/>
              <w:rPr>
                <w:bCs/>
              </w:rPr>
            </w:pPr>
            <w:r w:rsidRPr="00DA2761">
              <w:rPr>
                <w:bCs/>
              </w:rPr>
              <w:t>Członkowie</w:t>
            </w:r>
          </w:p>
        </w:tc>
      </w:tr>
      <w:tr w:rsidR="00EB4168" w:rsidRPr="00DA2761" w:rsidTr="00DA2761">
        <w:tc>
          <w:tcPr>
            <w:tcW w:w="0" w:type="auto"/>
            <w:vAlign w:val="center"/>
            <w:hideMark/>
          </w:tcPr>
          <w:p w:rsidR="00EB4168" w:rsidRPr="00DA2761" w:rsidRDefault="00EB4168" w:rsidP="00DA2761">
            <w:pPr>
              <w:autoSpaceDE w:val="0"/>
              <w:autoSpaceDN w:val="0"/>
              <w:adjustRightInd w:val="0"/>
              <w:spacing w:line="240" w:lineRule="auto"/>
              <w:jc w:val="left"/>
            </w:pPr>
            <w:r w:rsidRPr="00DA2761">
              <w:t>Komitet Sterujący ZIT WrOF</w:t>
            </w:r>
          </w:p>
        </w:tc>
        <w:tc>
          <w:tcPr>
            <w:tcW w:w="1558" w:type="dxa"/>
            <w:vAlign w:val="center"/>
            <w:hideMark/>
          </w:tcPr>
          <w:p w:rsidR="00EB4168" w:rsidRPr="00DA2761" w:rsidRDefault="00EB4168" w:rsidP="00DA2761">
            <w:pPr>
              <w:autoSpaceDE w:val="0"/>
              <w:autoSpaceDN w:val="0"/>
              <w:adjustRightInd w:val="0"/>
              <w:spacing w:line="240" w:lineRule="auto"/>
              <w:jc w:val="left"/>
            </w:pPr>
            <w:r w:rsidRPr="00DA2761">
              <w:t>programowo-opiniodawcza</w:t>
            </w:r>
          </w:p>
        </w:tc>
        <w:tc>
          <w:tcPr>
            <w:tcW w:w="3300" w:type="dxa"/>
            <w:vAlign w:val="center"/>
            <w:hideMark/>
          </w:tcPr>
          <w:p w:rsidR="00EB4168" w:rsidRPr="00DA2761" w:rsidRDefault="00EB4168" w:rsidP="00DA2761">
            <w:pPr>
              <w:numPr>
                <w:ilvl w:val="0"/>
                <w:numId w:val="2"/>
              </w:numPr>
              <w:autoSpaceDE w:val="0"/>
              <w:autoSpaceDN w:val="0"/>
              <w:adjustRightInd w:val="0"/>
              <w:spacing w:line="240" w:lineRule="auto"/>
              <w:contextualSpacing/>
              <w:jc w:val="left"/>
            </w:pPr>
            <w:r w:rsidRPr="00DA2761">
              <w:t>zatwierdzenie Strategii ZIT WrOF</w:t>
            </w:r>
            <w:r w:rsidR="00806FE4" w:rsidRPr="00DA2761">
              <w:t xml:space="preserve"> </w:t>
            </w:r>
            <w:r w:rsidR="00663D51" w:rsidRPr="00DA2761">
              <w:t xml:space="preserve">2021-2027 </w:t>
            </w:r>
            <w:r w:rsidRPr="00DA2761">
              <w:t>i jej zmian</w:t>
            </w:r>
          </w:p>
          <w:p w:rsidR="00EB4168" w:rsidRPr="00DA2761" w:rsidRDefault="00EB4168" w:rsidP="00DA2761">
            <w:pPr>
              <w:numPr>
                <w:ilvl w:val="0"/>
                <w:numId w:val="2"/>
              </w:numPr>
              <w:autoSpaceDE w:val="0"/>
              <w:autoSpaceDN w:val="0"/>
              <w:adjustRightInd w:val="0"/>
              <w:spacing w:line="240" w:lineRule="auto"/>
              <w:contextualSpacing/>
              <w:jc w:val="left"/>
            </w:pPr>
            <w:r w:rsidRPr="00DA2761">
              <w:t>zatwierdzanie budżetu ZIT WrOF,</w:t>
            </w:r>
          </w:p>
          <w:p w:rsidR="00EB4168" w:rsidRPr="00DA2761" w:rsidRDefault="00663D51" w:rsidP="00DA2761">
            <w:pPr>
              <w:numPr>
                <w:ilvl w:val="0"/>
                <w:numId w:val="2"/>
              </w:numPr>
              <w:autoSpaceDE w:val="0"/>
              <w:autoSpaceDN w:val="0"/>
              <w:adjustRightInd w:val="0"/>
              <w:spacing w:line="240" w:lineRule="auto"/>
              <w:contextualSpacing/>
              <w:jc w:val="left"/>
            </w:pPr>
            <w:r w:rsidRPr="00DA2761">
              <w:t>powołanie składu Rady ZIT</w:t>
            </w:r>
            <w:r w:rsidR="00173E0D" w:rsidRPr="00DA2761">
              <w:t>WrOF i </w:t>
            </w:r>
            <w:r w:rsidR="00EB4168" w:rsidRPr="00DA2761">
              <w:t>Przewodniczącego Rady ZIT WrOF</w:t>
            </w:r>
          </w:p>
          <w:p w:rsidR="00EB4168" w:rsidRPr="00DA2761" w:rsidRDefault="00EB4168" w:rsidP="00DA2761">
            <w:pPr>
              <w:numPr>
                <w:ilvl w:val="0"/>
                <w:numId w:val="2"/>
              </w:numPr>
              <w:autoSpaceDE w:val="0"/>
              <w:autoSpaceDN w:val="0"/>
              <w:adjustRightInd w:val="0"/>
              <w:spacing w:line="240" w:lineRule="auto"/>
              <w:contextualSpacing/>
              <w:jc w:val="left"/>
              <w:rPr>
                <w:rFonts w:ascii="Times New Roman" w:hAnsi="Times New Roman" w:cs="Times New Roman"/>
              </w:rPr>
            </w:pPr>
            <w:r w:rsidRPr="00DA2761">
              <w:t>rozpatrywanie innych spraw oraz opiniowanie dokumentów niezbędnych do realizacji ZIT WrOF</w:t>
            </w:r>
          </w:p>
        </w:tc>
        <w:tc>
          <w:tcPr>
            <w:tcW w:w="2691" w:type="dxa"/>
            <w:vAlign w:val="center"/>
            <w:hideMark/>
          </w:tcPr>
          <w:p w:rsidR="00EB4168" w:rsidRPr="00DA2761" w:rsidRDefault="003807D9" w:rsidP="00DA2761">
            <w:pPr>
              <w:autoSpaceDE w:val="0"/>
              <w:autoSpaceDN w:val="0"/>
              <w:adjustRightInd w:val="0"/>
              <w:spacing w:line="240" w:lineRule="auto"/>
              <w:contextualSpacing/>
              <w:jc w:val="left"/>
            </w:pPr>
            <w:r w:rsidRPr="00DA2761">
              <w:t>Przedstawiciele stron P</w:t>
            </w:r>
            <w:r w:rsidR="00EB4168" w:rsidRPr="00DA2761">
              <w:t>orozumienia.</w:t>
            </w:r>
          </w:p>
        </w:tc>
      </w:tr>
      <w:tr w:rsidR="00EB4168" w:rsidRPr="00DA2761" w:rsidTr="00DA2761">
        <w:trPr>
          <w:trHeight w:val="437"/>
        </w:trPr>
        <w:tc>
          <w:tcPr>
            <w:tcW w:w="0" w:type="auto"/>
            <w:vAlign w:val="center"/>
            <w:hideMark/>
          </w:tcPr>
          <w:p w:rsidR="00EB4168" w:rsidRPr="00DA2761" w:rsidRDefault="00EB4168" w:rsidP="00DA2761">
            <w:pPr>
              <w:autoSpaceDE w:val="0"/>
              <w:autoSpaceDN w:val="0"/>
              <w:adjustRightInd w:val="0"/>
              <w:spacing w:line="240" w:lineRule="auto"/>
              <w:jc w:val="left"/>
            </w:pPr>
            <w:r w:rsidRPr="00DA2761">
              <w:t>Rada ZIT WrOF</w:t>
            </w:r>
          </w:p>
        </w:tc>
        <w:tc>
          <w:tcPr>
            <w:tcW w:w="1558" w:type="dxa"/>
            <w:vAlign w:val="center"/>
            <w:hideMark/>
          </w:tcPr>
          <w:p w:rsidR="00EB4168" w:rsidRPr="00DA2761" w:rsidRDefault="00EB4168" w:rsidP="00DA2761">
            <w:pPr>
              <w:autoSpaceDE w:val="0"/>
              <w:autoSpaceDN w:val="0"/>
              <w:adjustRightInd w:val="0"/>
              <w:spacing w:line="240" w:lineRule="auto"/>
              <w:jc w:val="left"/>
            </w:pPr>
            <w:r w:rsidRPr="00DA2761">
              <w:t>konsultacyjno-opiniodawcza</w:t>
            </w:r>
          </w:p>
        </w:tc>
        <w:tc>
          <w:tcPr>
            <w:tcW w:w="3300" w:type="dxa"/>
            <w:vAlign w:val="center"/>
            <w:hideMark/>
          </w:tcPr>
          <w:p w:rsidR="00EB4168" w:rsidRPr="00DA2761" w:rsidRDefault="00EB4168" w:rsidP="00DA2761">
            <w:pPr>
              <w:numPr>
                <w:ilvl w:val="0"/>
                <w:numId w:val="2"/>
              </w:numPr>
              <w:autoSpaceDE w:val="0"/>
              <w:autoSpaceDN w:val="0"/>
              <w:adjustRightInd w:val="0"/>
              <w:spacing w:line="240" w:lineRule="auto"/>
              <w:contextualSpacing/>
              <w:jc w:val="left"/>
            </w:pPr>
            <w:r w:rsidRPr="00DA2761">
              <w:t>opiniowanie dokumentów niezbędnych do realizacji zadań ZIT WrOF</w:t>
            </w:r>
          </w:p>
        </w:tc>
        <w:tc>
          <w:tcPr>
            <w:tcW w:w="2691" w:type="dxa"/>
            <w:vAlign w:val="center"/>
            <w:hideMark/>
          </w:tcPr>
          <w:p w:rsidR="00EB4168" w:rsidRPr="00DA2761" w:rsidRDefault="00EB4168" w:rsidP="00DA2761">
            <w:pPr>
              <w:autoSpaceDE w:val="0"/>
              <w:autoSpaceDN w:val="0"/>
              <w:adjustRightInd w:val="0"/>
              <w:spacing w:line="240" w:lineRule="auto"/>
              <w:contextualSpacing/>
              <w:jc w:val="left"/>
            </w:pPr>
            <w:r w:rsidRPr="00DA2761">
              <w:t xml:space="preserve">Przedstawiciele władz regionalnych, lokalnych </w:t>
            </w:r>
            <w:r w:rsidR="00414CBB" w:rsidRPr="00DA2761">
              <w:br/>
            </w:r>
            <w:r w:rsidRPr="00DA2761">
              <w:t xml:space="preserve">i miejskich oraz innych instytucji publicznych, partnerów gospodarczych </w:t>
            </w:r>
            <w:r w:rsidR="00414CBB" w:rsidRPr="00DA2761">
              <w:br/>
            </w:r>
            <w:r w:rsidRPr="00DA2761">
              <w:t xml:space="preserve">i społecznych, właściwych podmiotów reprezentujących społeczeństwo obywatelskie, takich jak partnerzy działający na rzecz środowiska, organizacji pozarządowych oraz podmiotów odpowiedzialnych </w:t>
            </w:r>
            <w:r w:rsidR="00414CBB" w:rsidRPr="00DA2761">
              <w:br/>
            </w:r>
            <w:r w:rsidRPr="00DA2761">
              <w:t xml:space="preserve">za promowanie włączenia społecznego, praw podstawowych, praw osób </w:t>
            </w:r>
            <w:r w:rsidR="00414CBB" w:rsidRPr="00DA2761">
              <w:br/>
            </w:r>
            <w:r w:rsidRPr="00DA2761">
              <w:t xml:space="preserve">z niepełnosprawnościami, równouprawnienia płci </w:t>
            </w:r>
            <w:r w:rsidR="00414CBB" w:rsidRPr="00DA2761">
              <w:br/>
            </w:r>
            <w:r w:rsidRPr="00DA2761">
              <w:t xml:space="preserve">i niedyskryminacji </w:t>
            </w:r>
            <w:r w:rsidR="00414CBB" w:rsidRPr="00DA2761">
              <w:br/>
            </w:r>
            <w:r w:rsidRPr="00DA2761">
              <w:t>w stosownych przypadkach, jednostki badawcze i uczelnie wyższe.</w:t>
            </w:r>
          </w:p>
        </w:tc>
      </w:tr>
      <w:tr w:rsidR="00EB4168" w:rsidRPr="00DA2761" w:rsidTr="00DA2761">
        <w:tc>
          <w:tcPr>
            <w:tcW w:w="0" w:type="auto"/>
            <w:vAlign w:val="center"/>
            <w:hideMark/>
          </w:tcPr>
          <w:p w:rsidR="00EB4168" w:rsidRPr="00DA2761" w:rsidRDefault="00EB4168" w:rsidP="00DA2761">
            <w:pPr>
              <w:autoSpaceDE w:val="0"/>
              <w:autoSpaceDN w:val="0"/>
              <w:adjustRightInd w:val="0"/>
              <w:spacing w:line="240" w:lineRule="auto"/>
              <w:jc w:val="left"/>
            </w:pPr>
            <w:r w:rsidRPr="00DA2761">
              <w:t>Biuro Zintegrowanych Inwestycji Terytorialnych WrOF</w:t>
            </w:r>
          </w:p>
        </w:tc>
        <w:tc>
          <w:tcPr>
            <w:tcW w:w="1558" w:type="dxa"/>
            <w:vAlign w:val="center"/>
            <w:hideMark/>
          </w:tcPr>
          <w:p w:rsidR="00EB4168" w:rsidRPr="00DA2761" w:rsidRDefault="00EB4168" w:rsidP="00DA2761">
            <w:pPr>
              <w:autoSpaceDE w:val="0"/>
              <w:autoSpaceDN w:val="0"/>
              <w:adjustRightInd w:val="0"/>
              <w:spacing w:line="240" w:lineRule="auto"/>
              <w:jc w:val="left"/>
            </w:pPr>
            <w:r w:rsidRPr="00DA2761">
              <w:t>administracyjna, koordynacyjna</w:t>
            </w:r>
            <w:r w:rsidR="006A6A50" w:rsidRPr="00DA2761">
              <w:t>, monitorująca</w:t>
            </w:r>
          </w:p>
        </w:tc>
        <w:tc>
          <w:tcPr>
            <w:tcW w:w="3300" w:type="dxa"/>
            <w:vAlign w:val="center"/>
            <w:hideMark/>
          </w:tcPr>
          <w:p w:rsidR="00EB4168" w:rsidRPr="00DA2761" w:rsidRDefault="00EB4168" w:rsidP="00DA2761">
            <w:pPr>
              <w:numPr>
                <w:ilvl w:val="0"/>
                <w:numId w:val="2"/>
              </w:numPr>
              <w:autoSpaceDE w:val="0"/>
              <w:autoSpaceDN w:val="0"/>
              <w:adjustRightInd w:val="0"/>
              <w:spacing w:line="240" w:lineRule="auto"/>
              <w:contextualSpacing/>
              <w:jc w:val="left"/>
            </w:pPr>
            <w:r w:rsidRPr="00DA2761">
              <w:t>kreowanie polityki rozwoju na obszarze realizacji ZIT WrOF</w:t>
            </w:r>
          </w:p>
          <w:p w:rsidR="00EB4168" w:rsidRPr="00DA2761" w:rsidRDefault="00EB4168" w:rsidP="00DA2761">
            <w:pPr>
              <w:numPr>
                <w:ilvl w:val="0"/>
                <w:numId w:val="2"/>
              </w:numPr>
              <w:autoSpaceDE w:val="0"/>
              <w:autoSpaceDN w:val="0"/>
              <w:adjustRightInd w:val="0"/>
              <w:spacing w:line="240" w:lineRule="auto"/>
              <w:contextualSpacing/>
              <w:jc w:val="left"/>
            </w:pPr>
            <w:r w:rsidRPr="00DA2761">
              <w:t>przygotowanie projektu i aktualizacja Strategii ZIT WrOF</w:t>
            </w:r>
            <w:r w:rsidR="00663D51" w:rsidRPr="00DA2761">
              <w:t xml:space="preserve"> 2021-2027</w:t>
            </w:r>
          </w:p>
          <w:p w:rsidR="004347E4" w:rsidRPr="00DA2761" w:rsidRDefault="004347E4" w:rsidP="00DA2761">
            <w:pPr>
              <w:numPr>
                <w:ilvl w:val="0"/>
                <w:numId w:val="2"/>
              </w:numPr>
              <w:autoSpaceDE w:val="0"/>
              <w:autoSpaceDN w:val="0"/>
              <w:adjustRightInd w:val="0"/>
              <w:spacing w:line="240" w:lineRule="auto"/>
              <w:contextualSpacing/>
              <w:jc w:val="left"/>
            </w:pPr>
            <w:r w:rsidRPr="00DA2761">
              <w:t>przygotowanie projektu, ewaluacja i aktualizacja Strategii rozwoju ponadlokalnego dla obszaru ZIT WrOF</w:t>
            </w:r>
          </w:p>
          <w:p w:rsidR="00EB4168" w:rsidRPr="00DA2761" w:rsidRDefault="00EB4168" w:rsidP="00DA2761">
            <w:pPr>
              <w:numPr>
                <w:ilvl w:val="0"/>
                <w:numId w:val="2"/>
              </w:numPr>
              <w:autoSpaceDE w:val="0"/>
              <w:autoSpaceDN w:val="0"/>
              <w:adjustRightInd w:val="0"/>
              <w:spacing w:line="240" w:lineRule="auto"/>
              <w:contextualSpacing/>
              <w:jc w:val="left"/>
            </w:pPr>
            <w:r w:rsidRPr="00DA2761">
              <w:t>koordynowanie realizacji projektów w</w:t>
            </w:r>
            <w:r w:rsidR="001A1338" w:rsidRPr="00DA2761">
              <w:t>ynikających ze </w:t>
            </w:r>
            <w:r w:rsidRPr="00DA2761">
              <w:t>Strategii ZIT WrOF</w:t>
            </w:r>
            <w:r w:rsidR="00663D51" w:rsidRPr="00DA2761">
              <w:t xml:space="preserve"> 2021-2027</w:t>
            </w:r>
          </w:p>
          <w:p w:rsidR="00EB4168" w:rsidRPr="00DA2761" w:rsidRDefault="00EB4168" w:rsidP="00DA2761">
            <w:pPr>
              <w:numPr>
                <w:ilvl w:val="0"/>
                <w:numId w:val="2"/>
              </w:numPr>
              <w:autoSpaceDE w:val="0"/>
              <w:autoSpaceDN w:val="0"/>
              <w:adjustRightInd w:val="0"/>
              <w:spacing w:line="240" w:lineRule="auto"/>
              <w:contextualSpacing/>
              <w:jc w:val="left"/>
            </w:pPr>
            <w:r w:rsidRPr="00DA2761">
              <w:t>przygotowanie i zarządzanie budżetem ZIT WrOF</w:t>
            </w:r>
          </w:p>
          <w:p w:rsidR="00EB4168" w:rsidRPr="00DA2761" w:rsidRDefault="00EB4168" w:rsidP="00DA2761">
            <w:pPr>
              <w:numPr>
                <w:ilvl w:val="0"/>
                <w:numId w:val="2"/>
              </w:numPr>
              <w:autoSpaceDE w:val="0"/>
              <w:autoSpaceDN w:val="0"/>
              <w:adjustRightInd w:val="0"/>
              <w:spacing w:line="240" w:lineRule="auto"/>
              <w:contextualSpacing/>
              <w:jc w:val="left"/>
            </w:pPr>
            <w:r w:rsidRPr="00DA2761">
              <w:t>wykonywanie czynności a</w:t>
            </w:r>
            <w:r w:rsidR="001A1338" w:rsidRPr="00DA2761">
              <w:t>dministracyjnych wynikających z </w:t>
            </w:r>
            <w:r w:rsidRPr="00DA2761">
              <w:t xml:space="preserve">obsługi Komitetu Sterującego, Rady ZIT WrOF oraz innych czynności związanych </w:t>
            </w:r>
            <w:r w:rsidR="00414CBB" w:rsidRPr="00DA2761">
              <w:br/>
            </w:r>
            <w:r w:rsidRPr="00DA2761">
              <w:t>z Porozumieniem</w:t>
            </w:r>
          </w:p>
          <w:p w:rsidR="004347E4" w:rsidRPr="00DA2761" w:rsidRDefault="00EB4168" w:rsidP="00DA2761">
            <w:pPr>
              <w:numPr>
                <w:ilvl w:val="0"/>
                <w:numId w:val="2"/>
              </w:numPr>
              <w:autoSpaceDE w:val="0"/>
              <w:autoSpaceDN w:val="0"/>
              <w:adjustRightInd w:val="0"/>
              <w:spacing w:line="240" w:lineRule="auto"/>
              <w:contextualSpacing/>
              <w:jc w:val="left"/>
            </w:pPr>
            <w:r w:rsidRPr="00DA2761">
              <w:t>pozyskiwanie i zarządza</w:t>
            </w:r>
            <w:r w:rsidR="001A1338" w:rsidRPr="00DA2761">
              <w:t>nie projektami finansowanymi ze </w:t>
            </w:r>
            <w:r w:rsidRPr="00DA2761">
              <w:t xml:space="preserve">środków zewnętrznych oraz realizację, wdrażanie, ewaluacje przedsięwzięć </w:t>
            </w:r>
            <w:r w:rsidR="001A1338" w:rsidRPr="00DA2761">
              <w:t xml:space="preserve">zaplanowanych </w:t>
            </w:r>
            <w:r w:rsidR="00414CBB" w:rsidRPr="00DA2761">
              <w:br/>
            </w:r>
            <w:r w:rsidR="001A1338" w:rsidRPr="00DA2761">
              <w:t>z ich udziałem, a </w:t>
            </w:r>
            <w:r w:rsidRPr="00DA2761">
              <w:t>także prowadzenia sprawozdawczości w tym zakresie</w:t>
            </w:r>
          </w:p>
        </w:tc>
        <w:tc>
          <w:tcPr>
            <w:tcW w:w="2691" w:type="dxa"/>
            <w:vAlign w:val="center"/>
            <w:hideMark/>
          </w:tcPr>
          <w:p w:rsidR="00EB4168" w:rsidRPr="00DA2761" w:rsidRDefault="00B579F2" w:rsidP="00DA2761">
            <w:pPr>
              <w:tabs>
                <w:tab w:val="left" w:pos="1740"/>
              </w:tabs>
              <w:autoSpaceDE w:val="0"/>
              <w:autoSpaceDN w:val="0"/>
              <w:adjustRightInd w:val="0"/>
              <w:spacing w:line="240" w:lineRule="auto"/>
              <w:contextualSpacing/>
              <w:jc w:val="left"/>
            </w:pPr>
            <w:r w:rsidRPr="00DA2761">
              <w:t>Pracownicy Biura ZIT WrOF.</w:t>
            </w:r>
          </w:p>
        </w:tc>
      </w:tr>
    </w:tbl>
    <w:p w:rsidR="00FF3CCF" w:rsidRDefault="00EB4168" w:rsidP="00DA2761">
      <w:pPr>
        <w:pStyle w:val="PODWrof"/>
      </w:pPr>
      <w:r w:rsidRPr="001B6013">
        <w:t>Źródło: opracowanie własne na podstawie Porozumienia z dnia 17 grudnia 2021 r. w sprawie zasad współpracy Stron Porozumienia przy programowaniu, wdraż</w:t>
      </w:r>
      <w:r>
        <w:t>aniu, finansowaniu, ewaluacji i </w:t>
      </w:r>
      <w:r w:rsidRPr="001B6013">
        <w:t>koordynowaniu wspólnych przedsięwzięć, bieżącej obs</w:t>
      </w:r>
      <w:r w:rsidR="00805954">
        <w:t>łudze i rozliczeniach ZIT WrOF.</w:t>
      </w:r>
    </w:p>
    <w:p w:rsidR="00FF3CCF" w:rsidRPr="00576020" w:rsidRDefault="00FF3CCF" w:rsidP="00576020">
      <w:pPr>
        <w:spacing w:before="240" w:after="0"/>
        <w:jc w:val="left"/>
        <w:rPr>
          <w:rFonts w:cstheme="minorHAnsi"/>
          <w:b/>
          <w:color w:val="000000" w:themeColor="text1"/>
          <w:sz w:val="24"/>
        </w:rPr>
      </w:pPr>
      <w:r w:rsidRPr="00576020">
        <w:rPr>
          <w:rFonts w:cstheme="minorHAnsi"/>
          <w:b/>
          <w:color w:val="000000" w:themeColor="text1"/>
          <w:sz w:val="24"/>
        </w:rPr>
        <w:t>Biuro ZIT WrOF</w:t>
      </w:r>
    </w:p>
    <w:p w:rsidR="00DF730F" w:rsidRPr="00576020" w:rsidRDefault="00FF3CCF" w:rsidP="00576020">
      <w:pPr>
        <w:jc w:val="left"/>
        <w:rPr>
          <w:rFonts w:cs="Times New Roman"/>
          <w:color w:val="000000" w:themeColor="text1"/>
          <w:sz w:val="24"/>
        </w:rPr>
      </w:pPr>
      <w:r w:rsidRPr="00576020">
        <w:rPr>
          <w:rFonts w:cs="Times New Roman"/>
          <w:color w:val="000000" w:themeColor="text1"/>
          <w:sz w:val="24"/>
        </w:rPr>
        <w:t>Funkcje administracyjne w ramach Porozumienia ZIT WrOF pełni Biuro Zintegrowanych Inwestycji Terytorialnych Wrocławskiego Obszaru Funkcjonalnego (Biuro ZIT WrOF) funkcjonujące w strukturach  Urzędu Miejskiego Wrocławia. Pracodawcą dla osób zatrudnionych w Biurze ZIT WrOF jest Prezydent Wrocławia. W zakresie realizacji zadań Biuro ZIT WrOF stos</w:t>
      </w:r>
      <w:r w:rsidR="00604344" w:rsidRPr="00576020">
        <w:rPr>
          <w:rFonts w:cs="Times New Roman"/>
          <w:color w:val="000000" w:themeColor="text1"/>
          <w:sz w:val="24"/>
        </w:rPr>
        <w:t>uje</w:t>
      </w:r>
      <w:r w:rsidRPr="00576020">
        <w:rPr>
          <w:rFonts w:cs="Times New Roman"/>
          <w:color w:val="000000" w:themeColor="text1"/>
          <w:sz w:val="24"/>
        </w:rPr>
        <w:t xml:space="preserve"> regulaminy wewnętrzn</w:t>
      </w:r>
      <w:r w:rsidR="0052559B" w:rsidRPr="00576020">
        <w:rPr>
          <w:rFonts w:cs="Times New Roman"/>
          <w:color w:val="000000" w:themeColor="text1"/>
          <w:sz w:val="24"/>
        </w:rPr>
        <w:t xml:space="preserve">e Urzędu Miejskiego Wrocławia. </w:t>
      </w:r>
    </w:p>
    <w:p w:rsidR="00FF3CCF" w:rsidRPr="00576020" w:rsidRDefault="00FF3CCF" w:rsidP="00576020">
      <w:pPr>
        <w:spacing w:before="240" w:after="0"/>
        <w:jc w:val="left"/>
        <w:rPr>
          <w:rFonts w:cstheme="minorHAnsi"/>
          <w:b/>
          <w:color w:val="000000" w:themeColor="text1"/>
          <w:sz w:val="24"/>
        </w:rPr>
      </w:pPr>
      <w:r w:rsidRPr="00576020">
        <w:rPr>
          <w:rFonts w:cstheme="minorHAnsi"/>
          <w:b/>
          <w:color w:val="000000" w:themeColor="text1"/>
          <w:sz w:val="24"/>
        </w:rPr>
        <w:t>Komitet Sterujący ZIT WrOF (Komitet Sterujący)</w:t>
      </w:r>
    </w:p>
    <w:p w:rsidR="00FF3CCF" w:rsidRPr="00576020" w:rsidRDefault="00FF3CCF" w:rsidP="00576020">
      <w:pPr>
        <w:jc w:val="left"/>
        <w:rPr>
          <w:rFonts w:cs="Times New Roman"/>
          <w:color w:val="000000" w:themeColor="text1"/>
          <w:sz w:val="24"/>
        </w:rPr>
      </w:pPr>
      <w:r w:rsidRPr="00576020">
        <w:rPr>
          <w:rFonts w:cs="Times New Roman"/>
          <w:color w:val="000000" w:themeColor="text1"/>
          <w:sz w:val="24"/>
        </w:rPr>
        <w:t>W skład Komitetu Sterującego wchodzi po jednym przedstawicielu gmin tworzących Wrocławski Obszar Funkcjonalny. Przewodniczącym Komitetu Sterująceg</w:t>
      </w:r>
      <w:r w:rsidR="00414CBB" w:rsidRPr="00576020">
        <w:rPr>
          <w:rFonts w:cs="Times New Roman"/>
          <w:color w:val="000000" w:themeColor="text1"/>
          <w:sz w:val="24"/>
        </w:rPr>
        <w:t>o jest Prezydent Wrocławia (lub </w:t>
      </w:r>
      <w:r w:rsidRPr="00576020">
        <w:rPr>
          <w:rFonts w:cs="Times New Roman"/>
          <w:color w:val="000000" w:themeColor="text1"/>
          <w:sz w:val="24"/>
        </w:rPr>
        <w:t xml:space="preserve">upoważniony przez niego wiceprezydent). Szczegółowe zasady funkcjonowania Komitetu Sterującego określa jego regulamin. </w:t>
      </w:r>
    </w:p>
    <w:p w:rsidR="00FF3CCF" w:rsidRPr="00576020" w:rsidRDefault="00FF3CCF" w:rsidP="00576020">
      <w:pPr>
        <w:spacing w:before="240" w:after="0"/>
        <w:jc w:val="left"/>
        <w:rPr>
          <w:rFonts w:cstheme="minorHAnsi"/>
          <w:b/>
          <w:color w:val="000000" w:themeColor="text1"/>
          <w:sz w:val="24"/>
        </w:rPr>
      </w:pPr>
      <w:r w:rsidRPr="00576020">
        <w:rPr>
          <w:rFonts w:cstheme="minorHAnsi"/>
          <w:b/>
          <w:color w:val="000000" w:themeColor="text1"/>
          <w:sz w:val="24"/>
        </w:rPr>
        <w:t>Rada ZIT WrOF (Rada)</w:t>
      </w:r>
    </w:p>
    <w:p w:rsidR="00B21D1B" w:rsidRPr="00576020" w:rsidRDefault="00B21D1B" w:rsidP="00576020">
      <w:pPr>
        <w:jc w:val="left"/>
        <w:rPr>
          <w:sz w:val="24"/>
        </w:rPr>
      </w:pPr>
      <w:r w:rsidRPr="00576020">
        <w:rPr>
          <w:sz w:val="24"/>
        </w:rPr>
        <w:t xml:space="preserve">W celu włączenia partnerów społeczno-gospodarczych w przygotowania oraz realizację Strategii ZIT WrOF 2021-2027 powołano Radę ZIT WrOF. Rada ZIT WrOF pełni funkcję konsultacyjno-opiniodawczą. </w:t>
      </w:r>
    </w:p>
    <w:p w:rsidR="00B21D1B" w:rsidRPr="00576020" w:rsidRDefault="00D61B18" w:rsidP="00576020">
      <w:pPr>
        <w:jc w:val="left"/>
        <w:rPr>
          <w:sz w:val="24"/>
        </w:rPr>
      </w:pPr>
      <w:r w:rsidRPr="00576020">
        <w:rPr>
          <w:sz w:val="24"/>
        </w:rPr>
        <w:t xml:space="preserve">Zgodnie z art. 8 rozporządzenia ogólnego, w celu powołania Rady ZIT  przeprowadzono otwarty nabór na </w:t>
      </w:r>
      <w:r w:rsidRPr="00576020">
        <w:rPr>
          <w:bCs/>
          <w:sz w:val="24"/>
        </w:rPr>
        <w:t>partnerów społeczno-gospodarczych. Prowadzony był on od 01.08.2022 r. do 16.08.2022 r., a jego celem było w</w:t>
      </w:r>
      <w:r w:rsidRPr="00576020">
        <w:rPr>
          <w:sz w:val="24"/>
        </w:rPr>
        <w:t>yłonienie członków Rady ZIT WrOF.</w:t>
      </w:r>
    </w:p>
    <w:p w:rsidR="00B21D1B" w:rsidRPr="00576020" w:rsidRDefault="00D61B18" w:rsidP="00576020">
      <w:pPr>
        <w:spacing w:after="0"/>
        <w:jc w:val="left"/>
        <w:rPr>
          <w:sz w:val="24"/>
        </w:rPr>
      </w:pPr>
      <w:r w:rsidRPr="00576020">
        <w:rPr>
          <w:sz w:val="24"/>
        </w:rPr>
        <w:t>Zgodnie z wymogami w naborze, podmioty zgłaszające swoją kandydaturę do udz</w:t>
      </w:r>
      <w:r w:rsidR="00857609">
        <w:rPr>
          <w:sz w:val="24"/>
        </w:rPr>
        <w:t>iału w </w:t>
      </w:r>
      <w:r w:rsidRPr="00576020">
        <w:rPr>
          <w:sz w:val="24"/>
        </w:rPr>
        <w:t>Radzie ZIT WrOF powinny posiadać:</w:t>
      </w:r>
    </w:p>
    <w:p w:rsidR="00B21D1B" w:rsidRPr="00576020" w:rsidRDefault="00D61B18" w:rsidP="00576020">
      <w:pPr>
        <w:numPr>
          <w:ilvl w:val="0"/>
          <w:numId w:val="3"/>
        </w:numPr>
        <w:spacing w:after="0"/>
        <w:ind w:left="714" w:hanging="357"/>
        <w:jc w:val="left"/>
        <w:rPr>
          <w:sz w:val="24"/>
        </w:rPr>
      </w:pPr>
      <w:r w:rsidRPr="00576020">
        <w:rPr>
          <w:sz w:val="24"/>
        </w:rPr>
        <w:t>doświadczenie w zakresie środków unijnych,</w:t>
      </w:r>
    </w:p>
    <w:p w:rsidR="00B21D1B" w:rsidRPr="00576020" w:rsidRDefault="00D61B18" w:rsidP="00576020">
      <w:pPr>
        <w:numPr>
          <w:ilvl w:val="0"/>
          <w:numId w:val="3"/>
        </w:numPr>
        <w:spacing w:before="100" w:beforeAutospacing="1" w:after="100" w:afterAutospacing="1"/>
        <w:jc w:val="left"/>
        <w:rPr>
          <w:sz w:val="24"/>
        </w:rPr>
      </w:pPr>
      <w:r w:rsidRPr="00576020">
        <w:rPr>
          <w:sz w:val="24"/>
        </w:rPr>
        <w:t>doświadczenie w zakresie projektów unijnych, w szczególności z udziałem partnerów i projektów zintegrowanych,</w:t>
      </w:r>
    </w:p>
    <w:p w:rsidR="00B21D1B" w:rsidRPr="00576020" w:rsidRDefault="00D61B18" w:rsidP="00576020">
      <w:pPr>
        <w:numPr>
          <w:ilvl w:val="0"/>
          <w:numId w:val="3"/>
        </w:numPr>
        <w:spacing w:before="100" w:beforeAutospacing="1" w:after="100" w:afterAutospacing="1"/>
        <w:jc w:val="left"/>
        <w:rPr>
          <w:sz w:val="24"/>
        </w:rPr>
      </w:pPr>
      <w:r w:rsidRPr="00576020">
        <w:rPr>
          <w:sz w:val="24"/>
        </w:rPr>
        <w:t>znajomość obszaru wsparcia programu regionalnego, jak również obszaru i specyfiki gmin tworzących ZIT WrOF,</w:t>
      </w:r>
    </w:p>
    <w:p w:rsidR="00B21D1B" w:rsidRPr="00576020" w:rsidRDefault="00D61B18" w:rsidP="00576020">
      <w:pPr>
        <w:numPr>
          <w:ilvl w:val="0"/>
          <w:numId w:val="3"/>
        </w:numPr>
        <w:spacing w:before="100" w:beforeAutospacing="1" w:after="100" w:afterAutospacing="1"/>
        <w:jc w:val="left"/>
        <w:rPr>
          <w:sz w:val="24"/>
        </w:rPr>
      </w:pPr>
      <w:r w:rsidRPr="00576020">
        <w:rPr>
          <w:sz w:val="24"/>
        </w:rPr>
        <w:t>specjalistyczną wiedzę w zakresie poszcz</w:t>
      </w:r>
      <w:r w:rsidR="00857609">
        <w:rPr>
          <w:sz w:val="24"/>
        </w:rPr>
        <w:t>ególnych dziedzin społecznych i </w:t>
      </w:r>
      <w:r w:rsidRPr="00576020">
        <w:rPr>
          <w:sz w:val="24"/>
        </w:rPr>
        <w:t>gospodarczych diagnozowanych w ramach Strategii ZIT i Strategii Rozwoju Ponadlokalnego.</w:t>
      </w:r>
    </w:p>
    <w:p w:rsidR="00B21D1B" w:rsidRPr="00576020" w:rsidRDefault="00B21D1B" w:rsidP="00576020">
      <w:pPr>
        <w:jc w:val="left"/>
        <w:rPr>
          <w:sz w:val="24"/>
        </w:rPr>
      </w:pPr>
      <w:r w:rsidRPr="00576020">
        <w:rPr>
          <w:sz w:val="24"/>
        </w:rPr>
        <w:t xml:space="preserve">W ramach naboru wyłoniono 21 członków Rady ZIT WrOF. </w:t>
      </w:r>
      <w:r w:rsidRPr="00576020">
        <w:rPr>
          <w:rFonts w:cs="Times New Roman"/>
          <w:sz w:val="24"/>
        </w:rPr>
        <w:t xml:space="preserve">Przewodniczącego Rady wybiera Komitet Sterujący. </w:t>
      </w:r>
    </w:p>
    <w:p w:rsidR="00B21D1B" w:rsidRPr="00576020" w:rsidRDefault="00B21D1B" w:rsidP="00576020">
      <w:pPr>
        <w:jc w:val="left"/>
        <w:rPr>
          <w:sz w:val="24"/>
        </w:rPr>
      </w:pPr>
      <w:r w:rsidRPr="00576020">
        <w:rPr>
          <w:sz w:val="24"/>
        </w:rPr>
        <w:t>W ramach procesu opracowywania, a następnie realizacji dokumentu niezwykle istotne jest zaangażowanie szerokiego katalogu podmiotów oraz instytucji, który obejmuje trzy sektory: publiczny, społeczny i gospodarczy. Ich włączenie jest możliwe dzięki prowadzonym w trakcie prac nad dokumentami wars</w:t>
      </w:r>
      <w:r w:rsidR="00D61B18" w:rsidRPr="00576020">
        <w:rPr>
          <w:sz w:val="24"/>
        </w:rPr>
        <w:t>ztatom i spotkaniom, jak</w:t>
      </w:r>
      <w:r w:rsidR="00857609">
        <w:rPr>
          <w:sz w:val="24"/>
        </w:rPr>
        <w:t xml:space="preserve"> również badaniom ankietowym, a </w:t>
      </w:r>
      <w:r w:rsidR="00D61B18" w:rsidRPr="00576020">
        <w:rPr>
          <w:sz w:val="24"/>
        </w:rPr>
        <w:t xml:space="preserve">następnie procesom konsultacji i opiniowania dokumentu. </w:t>
      </w:r>
    </w:p>
    <w:p w:rsidR="00B21D1B" w:rsidRPr="00576020" w:rsidRDefault="00D61B18" w:rsidP="00576020">
      <w:pPr>
        <w:jc w:val="left"/>
        <w:rPr>
          <w:sz w:val="24"/>
        </w:rPr>
      </w:pPr>
      <w:r w:rsidRPr="00576020">
        <w:rPr>
          <w:sz w:val="24"/>
        </w:rPr>
        <w:t xml:space="preserve">Skład Rady ZIT WrOF jest szeroki i uwzględnia </w:t>
      </w:r>
      <w:r w:rsidRPr="00576020">
        <w:rPr>
          <w:iCs/>
          <w:color w:val="000000" w:themeColor="text1"/>
          <w:sz w:val="24"/>
        </w:rPr>
        <w:t xml:space="preserve">przedstawicieli </w:t>
      </w:r>
      <w:r w:rsidR="00857609">
        <w:rPr>
          <w:iCs/>
          <w:color w:val="000000" w:themeColor="text1"/>
          <w:sz w:val="24"/>
        </w:rPr>
        <w:t>władz regionalnych, lokalnych i </w:t>
      </w:r>
      <w:r w:rsidRPr="00576020">
        <w:rPr>
          <w:iCs/>
          <w:color w:val="000000" w:themeColor="text1"/>
          <w:sz w:val="24"/>
        </w:rPr>
        <w:t>miejskich oraz innych instytucji publicznych, partnerów gospodarczych i społecznych, podmiotów reprezentujących społeczeństwo obywatelskie, takich jak partnerzy działający na rzecz środowiska, organizacji pozarządowych, oraz podmiotów odpowiedzialnych za promowanie włączenia społecznego,</w:t>
      </w:r>
      <w:r w:rsidR="00320A03">
        <w:rPr>
          <w:iCs/>
          <w:color w:val="000000" w:themeColor="text1"/>
          <w:sz w:val="24"/>
        </w:rPr>
        <w:t xml:space="preserve"> praw podstawowych, praw osób z </w:t>
      </w:r>
      <w:r w:rsidRPr="00576020">
        <w:rPr>
          <w:iCs/>
          <w:color w:val="000000" w:themeColor="text1"/>
          <w:sz w:val="24"/>
        </w:rPr>
        <w:t>niepełnosprawno</w:t>
      </w:r>
      <w:r w:rsidR="00236834" w:rsidRPr="00576020">
        <w:rPr>
          <w:iCs/>
          <w:color w:val="000000" w:themeColor="text1"/>
          <w:sz w:val="24"/>
        </w:rPr>
        <w:t>ściami, równouprawnienia płci i </w:t>
      </w:r>
      <w:r w:rsidRPr="00576020">
        <w:rPr>
          <w:iCs/>
          <w:color w:val="000000" w:themeColor="text1"/>
          <w:sz w:val="24"/>
        </w:rPr>
        <w:t xml:space="preserve">niedyskryminacji w stosownych przypadkach, jednostki badawcze i uczelnie wyższe. </w:t>
      </w:r>
    </w:p>
    <w:p w:rsidR="00B21D1B" w:rsidRPr="00576020" w:rsidRDefault="00D61B18" w:rsidP="00576020">
      <w:pPr>
        <w:spacing w:after="0"/>
        <w:jc w:val="left"/>
        <w:rPr>
          <w:sz w:val="24"/>
        </w:rPr>
      </w:pPr>
      <w:r w:rsidRPr="00576020">
        <w:rPr>
          <w:sz w:val="24"/>
        </w:rPr>
        <w:t>Zasady funkcjonowania Rady ZIT WrOF określa Regulamin Rady ZIT WrOF. Wśród zadań Rady zgodnie z regulaminem wskazuje się m.in.:</w:t>
      </w:r>
    </w:p>
    <w:p w:rsidR="00B21D1B" w:rsidRPr="00576020" w:rsidRDefault="00B21D1B" w:rsidP="00576020">
      <w:pPr>
        <w:pStyle w:val="Akapitzlist"/>
        <w:numPr>
          <w:ilvl w:val="0"/>
          <w:numId w:val="70"/>
        </w:numPr>
        <w:jc w:val="left"/>
        <w:rPr>
          <w:sz w:val="24"/>
        </w:rPr>
      </w:pPr>
      <w:r w:rsidRPr="00576020">
        <w:rPr>
          <w:sz w:val="24"/>
        </w:rPr>
        <w:t>opiniowanie projektu Strategii ZIT WrOF oraz Strategii Rozwoju Ponadlokalnego,</w:t>
      </w:r>
    </w:p>
    <w:p w:rsidR="00B21D1B" w:rsidRPr="00576020" w:rsidRDefault="00B21D1B" w:rsidP="00576020">
      <w:pPr>
        <w:pStyle w:val="Akapitzlist"/>
        <w:numPr>
          <w:ilvl w:val="0"/>
          <w:numId w:val="70"/>
        </w:numPr>
        <w:jc w:val="left"/>
        <w:rPr>
          <w:sz w:val="24"/>
        </w:rPr>
      </w:pPr>
      <w:r w:rsidRPr="00576020">
        <w:rPr>
          <w:sz w:val="24"/>
        </w:rPr>
        <w:t>opiniowanie zmian do Strategii ZIT WrOF oraz Strategii Rozwoju Ponadlokalnego,</w:t>
      </w:r>
    </w:p>
    <w:p w:rsidR="00B21D1B" w:rsidRPr="00576020" w:rsidRDefault="00D61B18" w:rsidP="00576020">
      <w:pPr>
        <w:pStyle w:val="Akapitzlist"/>
        <w:numPr>
          <w:ilvl w:val="0"/>
          <w:numId w:val="70"/>
        </w:numPr>
        <w:jc w:val="left"/>
        <w:rPr>
          <w:sz w:val="24"/>
        </w:rPr>
      </w:pPr>
      <w:r w:rsidRPr="00576020">
        <w:rPr>
          <w:sz w:val="24"/>
        </w:rPr>
        <w:t xml:space="preserve">udział w procesie monitorowania postępów wdrażania Strategii ZIT WrOF oraz  Strategii Rozwoju Ponadlokalnego.  </w:t>
      </w:r>
    </w:p>
    <w:p w:rsidR="00B21D1B" w:rsidRPr="00576020" w:rsidRDefault="00D61B18" w:rsidP="00576020">
      <w:pPr>
        <w:jc w:val="left"/>
        <w:rPr>
          <w:sz w:val="24"/>
        </w:rPr>
      </w:pPr>
      <w:r w:rsidRPr="00576020">
        <w:rPr>
          <w:sz w:val="24"/>
        </w:rPr>
        <w:t xml:space="preserve">Rada ZIT WrOF bierze udział w pracach nad opracowaniem dokumentów poprzez warsztaty, spotkania oraz procesy konsultacji i opiniowania dokumentów. </w:t>
      </w:r>
    </w:p>
    <w:p w:rsidR="00B21D1B" w:rsidRPr="00576020" w:rsidRDefault="00D61B18" w:rsidP="00576020">
      <w:pPr>
        <w:jc w:val="left"/>
        <w:rPr>
          <w:sz w:val="24"/>
        </w:rPr>
      </w:pPr>
      <w:r w:rsidRPr="00576020">
        <w:rPr>
          <w:sz w:val="24"/>
        </w:rPr>
        <w:t>Kadencja Rady ZIT WrOF trwa od dnia jej powołania do końca obowiązywania Programu Fundusze Europejskie dla Dolnego Śląska 2021-2027.</w:t>
      </w:r>
    </w:p>
    <w:p w:rsidR="00B21D1B" w:rsidRPr="00576020" w:rsidRDefault="00D61B18" w:rsidP="00576020">
      <w:pPr>
        <w:jc w:val="left"/>
        <w:rPr>
          <w:sz w:val="24"/>
        </w:rPr>
      </w:pPr>
      <w:r w:rsidRPr="00576020">
        <w:rPr>
          <w:sz w:val="24"/>
        </w:rPr>
        <w:t>Skład Rady ZIT WrOF został przedstawiony poniżej w tabeli:</w:t>
      </w:r>
    </w:p>
    <w:p w:rsidR="00B21D1B" w:rsidRPr="00A11C8C" w:rsidRDefault="00B21D1B" w:rsidP="00B21D1B">
      <w:pPr>
        <w:pStyle w:val="nadWrOF"/>
      </w:pPr>
      <w:bookmarkStart w:id="177" w:name="_Toc126329056"/>
      <w:bookmarkStart w:id="178" w:name="_Toc143606972"/>
      <w:r>
        <w:t xml:space="preserve">Tabela </w:t>
      </w:r>
      <w:r w:rsidR="00C73793">
        <w:fldChar w:fldCharType="begin"/>
      </w:r>
      <w:r>
        <w:instrText xml:space="preserve"> SEQ Tabela \* ARABIC </w:instrText>
      </w:r>
      <w:r w:rsidR="00C73793">
        <w:fldChar w:fldCharType="separate"/>
      </w:r>
      <w:r w:rsidR="00C96A96">
        <w:rPr>
          <w:noProof/>
        </w:rPr>
        <w:t>15</w:t>
      </w:r>
      <w:r w:rsidR="00C73793">
        <w:rPr>
          <w:noProof/>
        </w:rPr>
        <w:fldChar w:fldCharType="end"/>
      </w:r>
      <w:bookmarkEnd w:id="177"/>
      <w:r w:rsidR="00702D7A">
        <w:rPr>
          <w:noProof/>
        </w:rPr>
        <w:t xml:space="preserve"> </w:t>
      </w:r>
      <w:r>
        <w:t>Skład Rady ZIT WrOF</w:t>
      </w:r>
      <w:bookmarkEnd w:id="178"/>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Skład Rady ZIT WrOF"/>
        <w:tblDescription w:val="Skład Rady ZIT WrOF"/>
      </w:tblPr>
      <w:tblGrid>
        <w:gridCol w:w="3467"/>
        <w:gridCol w:w="5595"/>
      </w:tblGrid>
      <w:tr w:rsidR="00B21D1B" w:rsidRPr="00576020" w:rsidTr="00576020">
        <w:trPr>
          <w:trHeight w:val="510"/>
          <w:tblHeader/>
        </w:trPr>
        <w:tc>
          <w:tcPr>
            <w:tcW w:w="3510" w:type="dxa"/>
            <w:shd w:val="clear" w:color="auto" w:fill="F2F2F2" w:themeFill="background1" w:themeFillShade="F2"/>
            <w:vAlign w:val="center"/>
          </w:tcPr>
          <w:p w:rsidR="00B21D1B" w:rsidRPr="00576020" w:rsidRDefault="00B21D1B" w:rsidP="00576020">
            <w:pPr>
              <w:spacing w:line="240" w:lineRule="auto"/>
              <w:jc w:val="left"/>
              <w:rPr>
                <w:bCs/>
              </w:rPr>
            </w:pPr>
            <w:r w:rsidRPr="00576020">
              <w:rPr>
                <w:bCs/>
              </w:rPr>
              <w:t>Organizacja</w:t>
            </w:r>
          </w:p>
        </w:tc>
        <w:tc>
          <w:tcPr>
            <w:tcW w:w="5702" w:type="dxa"/>
            <w:shd w:val="clear" w:color="auto" w:fill="F2F2F2" w:themeFill="background1" w:themeFillShade="F2"/>
            <w:vAlign w:val="center"/>
          </w:tcPr>
          <w:p w:rsidR="00B21D1B" w:rsidRPr="00576020" w:rsidRDefault="00B21D1B" w:rsidP="00576020">
            <w:pPr>
              <w:spacing w:line="240" w:lineRule="auto"/>
              <w:jc w:val="left"/>
              <w:rPr>
                <w:bCs/>
              </w:rPr>
            </w:pPr>
            <w:r w:rsidRPr="00576020">
              <w:rPr>
                <w:bCs/>
              </w:rPr>
              <w:t>Obszar działalności</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 xml:space="preserve"> Gmina Wrocław</w:t>
            </w:r>
          </w:p>
        </w:tc>
        <w:tc>
          <w:tcPr>
            <w:tcW w:w="5702" w:type="dxa"/>
            <w:shd w:val="clear" w:color="auto" w:fill="FFFFFF" w:themeFill="background1"/>
            <w:vAlign w:val="center"/>
          </w:tcPr>
          <w:p w:rsidR="00B21D1B" w:rsidRPr="00576020" w:rsidRDefault="00B21D1B" w:rsidP="00576020">
            <w:pPr>
              <w:spacing w:line="240" w:lineRule="auto"/>
              <w:jc w:val="left"/>
            </w:pPr>
            <w:r w:rsidRPr="00576020">
              <w:t>sport, edukacja, kultura, ochrona zdrowia, usługi socjalne, rynek pracy, środowisko, mobilność, gospodarka wodno-kanalizacyjna, energia, mobilność, odpady komunalne, bezpieczeństwo</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Dolnośląska Izba Gospodarcza</w:t>
            </w:r>
          </w:p>
        </w:tc>
        <w:tc>
          <w:tcPr>
            <w:tcW w:w="5702" w:type="dxa"/>
            <w:shd w:val="clear" w:color="auto" w:fill="FFFFFF" w:themeFill="background1"/>
            <w:vAlign w:val="center"/>
          </w:tcPr>
          <w:p w:rsidR="00B21D1B" w:rsidRPr="00576020" w:rsidRDefault="00B21D1B" w:rsidP="00576020">
            <w:pPr>
              <w:spacing w:line="240" w:lineRule="auto"/>
              <w:jc w:val="left"/>
            </w:pPr>
            <w:r w:rsidRPr="00576020">
              <w:t>rynek pracy, biznes</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Powiat Wrocławski</w:t>
            </w:r>
          </w:p>
        </w:tc>
        <w:tc>
          <w:tcPr>
            <w:tcW w:w="5702" w:type="dxa"/>
            <w:shd w:val="clear" w:color="auto" w:fill="FFFFFF" w:themeFill="background1"/>
            <w:vAlign w:val="center"/>
          </w:tcPr>
          <w:p w:rsidR="00B21D1B" w:rsidRPr="00576020" w:rsidRDefault="00B21D1B" w:rsidP="00576020">
            <w:pPr>
              <w:spacing w:line="240" w:lineRule="auto"/>
              <w:jc w:val="left"/>
            </w:pPr>
            <w:r w:rsidRPr="00576020">
              <w:t>sport, edukacja, kultura, ochrona zdrowia, usługi socjalne, rynek pracy, środowisko, mobil</w:t>
            </w:r>
            <w:r w:rsidR="00414CBB" w:rsidRPr="00576020">
              <w:t>ność, gospodarka wodna, energia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Dolnośląski Urząd Wojewódzki</w:t>
            </w:r>
          </w:p>
        </w:tc>
        <w:tc>
          <w:tcPr>
            <w:tcW w:w="5702" w:type="dxa"/>
            <w:shd w:val="clear" w:color="auto" w:fill="FFFFFF" w:themeFill="background1"/>
            <w:vAlign w:val="center"/>
          </w:tcPr>
          <w:p w:rsidR="00B21D1B" w:rsidRPr="00576020" w:rsidRDefault="00B21D1B" w:rsidP="00576020">
            <w:pPr>
              <w:spacing w:line="240" w:lineRule="auto"/>
              <w:jc w:val="left"/>
            </w:pPr>
            <w:r w:rsidRPr="00576020">
              <w:t>kultura, gospodarka wodna, energia, infrastruktura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Powiat Średzki</w:t>
            </w:r>
          </w:p>
        </w:tc>
        <w:tc>
          <w:tcPr>
            <w:tcW w:w="5702" w:type="dxa"/>
            <w:shd w:val="clear" w:color="auto" w:fill="FFFFFF" w:themeFill="background1"/>
            <w:vAlign w:val="center"/>
          </w:tcPr>
          <w:p w:rsidR="00B21D1B" w:rsidRPr="00576020" w:rsidRDefault="00B21D1B" w:rsidP="00576020">
            <w:pPr>
              <w:spacing w:line="240" w:lineRule="auto"/>
              <w:jc w:val="left"/>
            </w:pPr>
            <w:r w:rsidRPr="00576020">
              <w:t>ochrona zdrowia, ochrona środowiska, edukacja i wychowanie</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Akademicki Inkubator Przedsiębiorczości Politechniki Wrocławskiej</w:t>
            </w:r>
          </w:p>
        </w:tc>
        <w:tc>
          <w:tcPr>
            <w:tcW w:w="5702" w:type="dxa"/>
            <w:shd w:val="clear" w:color="auto" w:fill="FFFFFF" w:themeFill="background1"/>
            <w:vAlign w:val="center"/>
          </w:tcPr>
          <w:p w:rsidR="00B21D1B" w:rsidRPr="00576020" w:rsidRDefault="00B21D1B" w:rsidP="00576020">
            <w:pPr>
              <w:spacing w:line="240" w:lineRule="auto"/>
              <w:jc w:val="left"/>
            </w:pPr>
            <w:r w:rsidRPr="00576020">
              <w:t>edukacja, przedsiębiorczość</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Biuro Wrocław Bez Barier</w:t>
            </w:r>
          </w:p>
        </w:tc>
        <w:tc>
          <w:tcPr>
            <w:tcW w:w="5702" w:type="dxa"/>
            <w:shd w:val="clear" w:color="auto" w:fill="FFFFFF" w:themeFill="background1"/>
            <w:vAlign w:val="center"/>
          </w:tcPr>
          <w:p w:rsidR="00B21D1B" w:rsidRPr="00576020" w:rsidRDefault="00B21D1B" w:rsidP="00576020">
            <w:pPr>
              <w:spacing w:line="240" w:lineRule="auto"/>
              <w:jc w:val="left"/>
            </w:pPr>
            <w:r w:rsidRPr="00576020">
              <w:t>usługi socjalne i pomoc społeczna, niepełnosprawność</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Wrocławskie Stowarzyszenie na Rzecz Osób Niepełnosprawnych Intelektualnie BONITUM</w:t>
            </w:r>
          </w:p>
        </w:tc>
        <w:tc>
          <w:tcPr>
            <w:tcW w:w="5702" w:type="dxa"/>
            <w:shd w:val="clear" w:color="auto" w:fill="FFFFFF" w:themeFill="background1"/>
            <w:vAlign w:val="center"/>
          </w:tcPr>
          <w:p w:rsidR="00B21D1B" w:rsidRPr="00576020" w:rsidRDefault="00B21D1B" w:rsidP="00576020">
            <w:pPr>
              <w:spacing w:line="240" w:lineRule="auto"/>
              <w:jc w:val="left"/>
            </w:pPr>
            <w:r w:rsidRPr="00576020">
              <w:t>sport, turystyka, rekreacja, usługi socjalne, pomoc społeczna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A.F.O. Kancelaria Doradztwa Podatkowego. System rachunkowości Waldemar Szewc</w:t>
            </w:r>
          </w:p>
        </w:tc>
        <w:tc>
          <w:tcPr>
            <w:tcW w:w="5702" w:type="dxa"/>
            <w:shd w:val="clear" w:color="auto" w:fill="FFFFFF" w:themeFill="background1"/>
            <w:vAlign w:val="center"/>
          </w:tcPr>
          <w:p w:rsidR="00B21D1B" w:rsidRPr="00576020" w:rsidRDefault="00B21D1B" w:rsidP="00576020">
            <w:pPr>
              <w:spacing w:line="240" w:lineRule="auto"/>
              <w:jc w:val="left"/>
            </w:pPr>
            <w:r w:rsidRPr="00576020">
              <w:t>edukacja, wychowanie, doradztwo podatkowe</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Loża Dolnośląska BCC</w:t>
            </w:r>
          </w:p>
        </w:tc>
        <w:tc>
          <w:tcPr>
            <w:tcW w:w="5702" w:type="dxa"/>
            <w:shd w:val="clear" w:color="auto" w:fill="FFFFFF" w:themeFill="background1"/>
            <w:vAlign w:val="center"/>
          </w:tcPr>
          <w:p w:rsidR="00B21D1B" w:rsidRPr="00576020" w:rsidRDefault="00B21D1B" w:rsidP="00576020">
            <w:pPr>
              <w:spacing w:line="240" w:lineRule="auto"/>
              <w:jc w:val="left"/>
            </w:pPr>
            <w:r w:rsidRPr="00576020">
              <w:t>sport, edukacja, kultura, ochrona zdrowia, usługi socjalne, rynek pracy, środowisko, mobilność, gospodarka wodna, energia, odpady komunalne, bezpieczeństwo, IT, telekomunikacja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Fundacja "Potrafię Pomóc" na rzecz dzieci niepełnosprawnych z wadami rozwojowymi</w:t>
            </w:r>
          </w:p>
        </w:tc>
        <w:tc>
          <w:tcPr>
            <w:tcW w:w="5702" w:type="dxa"/>
            <w:shd w:val="clear" w:color="auto" w:fill="FFFFFF" w:themeFill="background1"/>
            <w:vAlign w:val="center"/>
          </w:tcPr>
          <w:p w:rsidR="00B21D1B" w:rsidRPr="00576020" w:rsidRDefault="00B21D1B" w:rsidP="00576020">
            <w:pPr>
              <w:spacing w:line="240" w:lineRule="auto"/>
              <w:jc w:val="left"/>
            </w:pPr>
            <w:r w:rsidRPr="00576020">
              <w:t>edukacja, ochrona zdrowia, usługi socjalne, rynek pracy</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rPr>
                <w:lang w:val="en-US"/>
              </w:rPr>
            </w:pPr>
            <w:r w:rsidRPr="00576020">
              <w:rPr>
                <w:lang w:val="en-US"/>
              </w:rPr>
              <w:t xml:space="preserve">Solid Solutions Sp. z </w:t>
            </w:r>
            <w:proofErr w:type="spellStart"/>
            <w:r w:rsidRPr="00576020">
              <w:rPr>
                <w:lang w:val="en-US"/>
              </w:rPr>
              <w:t>o.o</w:t>
            </w:r>
            <w:proofErr w:type="spellEnd"/>
            <w:r w:rsidRPr="00576020">
              <w:rPr>
                <w:lang w:val="en-US"/>
              </w:rPr>
              <w:t>.</w:t>
            </w:r>
          </w:p>
        </w:tc>
        <w:tc>
          <w:tcPr>
            <w:tcW w:w="5702" w:type="dxa"/>
            <w:shd w:val="clear" w:color="auto" w:fill="FFFFFF" w:themeFill="background1"/>
            <w:vAlign w:val="center"/>
          </w:tcPr>
          <w:p w:rsidR="00B21D1B" w:rsidRPr="00576020" w:rsidRDefault="00B21D1B" w:rsidP="00576020">
            <w:pPr>
              <w:spacing w:line="240" w:lineRule="auto"/>
              <w:jc w:val="left"/>
            </w:pPr>
            <w:r w:rsidRPr="00576020">
              <w:t>mobilność, informatyka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proofErr w:type="spellStart"/>
            <w:r w:rsidRPr="00576020">
              <w:t>Neurosoft</w:t>
            </w:r>
            <w:proofErr w:type="spellEnd"/>
            <w:r w:rsidRPr="00576020">
              <w:t xml:space="preserve"> sp. z o.o.</w:t>
            </w:r>
          </w:p>
        </w:tc>
        <w:tc>
          <w:tcPr>
            <w:tcW w:w="5702" w:type="dxa"/>
            <w:shd w:val="clear" w:color="auto" w:fill="FFFFFF" w:themeFill="background1"/>
            <w:vAlign w:val="center"/>
          </w:tcPr>
          <w:p w:rsidR="00B21D1B" w:rsidRPr="00576020" w:rsidRDefault="00B21D1B" w:rsidP="00576020">
            <w:pPr>
              <w:spacing w:line="240" w:lineRule="auto"/>
              <w:jc w:val="left"/>
            </w:pPr>
            <w:r w:rsidRPr="00576020">
              <w:t xml:space="preserve">mobilność, bezpieczeństwo inteligentne systemy transportowe, smart </w:t>
            </w:r>
            <w:proofErr w:type="spellStart"/>
            <w:r w:rsidRPr="00576020">
              <w:t>city</w:t>
            </w:r>
            <w:proofErr w:type="spellEnd"/>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Dolnośląska Federacja Organizacji Pozarządowych</w:t>
            </w:r>
          </w:p>
        </w:tc>
        <w:tc>
          <w:tcPr>
            <w:tcW w:w="5702" w:type="dxa"/>
            <w:shd w:val="clear" w:color="auto" w:fill="FFFFFF" w:themeFill="background1"/>
            <w:vAlign w:val="center"/>
          </w:tcPr>
          <w:p w:rsidR="00B21D1B" w:rsidRPr="00576020" w:rsidRDefault="00B21D1B" w:rsidP="00576020">
            <w:pPr>
              <w:spacing w:line="240" w:lineRule="auto"/>
              <w:jc w:val="left"/>
            </w:pPr>
            <w:r w:rsidRPr="00576020">
              <w:t xml:space="preserve">podmioty reprezentujące społeczeństwo obywatelskie, </w:t>
            </w:r>
            <w:r w:rsidR="00414CBB" w:rsidRPr="00576020">
              <w:t>w</w:t>
            </w:r>
            <w:r w:rsidRPr="00576020">
              <w:t xml:space="preserve">sparcie </w:t>
            </w:r>
            <w:r w:rsidR="00414CBB" w:rsidRPr="00576020">
              <w:br/>
            </w:r>
            <w:r w:rsidRPr="00576020">
              <w:t xml:space="preserve">i rozwój społeczeństwa obywatelskiego, działania na rzecz rozwoju III sektora i usług społecznych, ekonomia społeczna, działania </w:t>
            </w:r>
            <w:proofErr w:type="spellStart"/>
            <w:r w:rsidRPr="00576020">
              <w:t>rzecznicze</w:t>
            </w:r>
            <w:proofErr w:type="spellEnd"/>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Fundacja Imago</w:t>
            </w:r>
          </w:p>
        </w:tc>
        <w:tc>
          <w:tcPr>
            <w:tcW w:w="5702" w:type="dxa"/>
            <w:shd w:val="clear" w:color="auto" w:fill="FFFFFF" w:themeFill="background1"/>
            <w:vAlign w:val="center"/>
          </w:tcPr>
          <w:p w:rsidR="00B21D1B" w:rsidRPr="00576020" w:rsidRDefault="00B21D1B" w:rsidP="00576020">
            <w:pPr>
              <w:spacing w:line="240" w:lineRule="auto"/>
              <w:jc w:val="left"/>
            </w:pPr>
            <w:r w:rsidRPr="00576020">
              <w:t>usługi socjalne, rynek pracy</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Dolnośląscy Pracodawcy</w:t>
            </w:r>
          </w:p>
        </w:tc>
        <w:tc>
          <w:tcPr>
            <w:tcW w:w="5702" w:type="dxa"/>
            <w:shd w:val="clear" w:color="auto" w:fill="FFFFFF" w:themeFill="background1"/>
            <w:vAlign w:val="center"/>
          </w:tcPr>
          <w:p w:rsidR="00B21D1B" w:rsidRPr="00576020" w:rsidRDefault="00B21D1B" w:rsidP="00576020">
            <w:pPr>
              <w:spacing w:line="240" w:lineRule="auto"/>
              <w:jc w:val="left"/>
            </w:pPr>
            <w:r w:rsidRPr="00576020">
              <w:t>podmioty reprezentujące społeczeństwo obywatelskie, rynek pracy, prawa pracodawców, działalność gospodarcza, legislacja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Urząd Marszałkowski Województwa Dolnośląskiego</w:t>
            </w:r>
          </w:p>
        </w:tc>
        <w:tc>
          <w:tcPr>
            <w:tcW w:w="5702" w:type="dxa"/>
            <w:shd w:val="clear" w:color="auto" w:fill="FFFFFF" w:themeFill="background1"/>
            <w:vAlign w:val="center"/>
          </w:tcPr>
          <w:p w:rsidR="00B21D1B" w:rsidRPr="00576020" w:rsidRDefault="00B21D1B" w:rsidP="00576020">
            <w:pPr>
              <w:spacing w:line="240" w:lineRule="auto"/>
              <w:jc w:val="left"/>
            </w:pPr>
            <w:r w:rsidRPr="00576020">
              <w:t>sport, edukacja, kultura, ochrona zdrowia, usługi socjalne, rynek pracy, środowisko, mobilność, gospodarka wodno-kanalizacyjne, energia, mobilność, odpady komunalne, bezpieczeństwo</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Dolnośląski Ośrodek Polityki Społecznej</w:t>
            </w:r>
          </w:p>
        </w:tc>
        <w:tc>
          <w:tcPr>
            <w:tcW w:w="5702" w:type="dxa"/>
            <w:shd w:val="clear" w:color="auto" w:fill="FFFFFF" w:themeFill="background1"/>
            <w:vAlign w:val="center"/>
          </w:tcPr>
          <w:p w:rsidR="00B21D1B" w:rsidRPr="00576020" w:rsidRDefault="00B21D1B" w:rsidP="00576020">
            <w:pPr>
              <w:spacing w:line="240" w:lineRule="auto"/>
              <w:jc w:val="left"/>
            </w:pPr>
            <w:r w:rsidRPr="00576020">
              <w:t>ekonomia społeczna, usługi społeczne</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Dolnośląski Wojewódzki Urząd Pracy</w:t>
            </w:r>
          </w:p>
        </w:tc>
        <w:tc>
          <w:tcPr>
            <w:tcW w:w="5702" w:type="dxa"/>
            <w:shd w:val="clear" w:color="auto" w:fill="FFFFFF" w:themeFill="background1"/>
            <w:vAlign w:val="center"/>
          </w:tcPr>
          <w:p w:rsidR="00B21D1B" w:rsidRPr="00576020" w:rsidRDefault="00B21D1B" w:rsidP="00576020">
            <w:pPr>
              <w:spacing w:line="240" w:lineRule="auto"/>
              <w:jc w:val="left"/>
            </w:pPr>
            <w:r w:rsidRPr="00576020">
              <w:t>rynek pracy</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pPr>
            <w:r w:rsidRPr="00576020">
              <w:t>Wrocławska rada ds. Równego traktowania</w:t>
            </w:r>
          </w:p>
        </w:tc>
        <w:tc>
          <w:tcPr>
            <w:tcW w:w="5702" w:type="dxa"/>
            <w:shd w:val="clear" w:color="auto" w:fill="FFFFFF" w:themeFill="background1"/>
            <w:vAlign w:val="center"/>
          </w:tcPr>
          <w:p w:rsidR="00B21D1B" w:rsidRPr="00576020" w:rsidRDefault="00B21D1B" w:rsidP="00576020">
            <w:pPr>
              <w:spacing w:line="240" w:lineRule="auto"/>
              <w:jc w:val="left"/>
            </w:pPr>
            <w:r w:rsidRPr="00576020">
              <w:t>równe traktowanie, przeciwdziałanie dyskryminacji, promowanie zasad równego traktowania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rPr>
                <w:lang w:val="en-US"/>
              </w:rPr>
            </w:pPr>
            <w:r w:rsidRPr="00576020">
              <w:rPr>
                <w:lang w:val="en-US"/>
              </w:rPr>
              <w:t xml:space="preserve">WIN TECH Consulting sp. z </w:t>
            </w:r>
            <w:proofErr w:type="spellStart"/>
            <w:r w:rsidRPr="00576020">
              <w:rPr>
                <w:lang w:val="en-US"/>
              </w:rPr>
              <w:t>o.o</w:t>
            </w:r>
            <w:proofErr w:type="spellEnd"/>
            <w:r w:rsidRPr="00576020">
              <w:rPr>
                <w:lang w:val="en-US"/>
              </w:rPr>
              <w:t>.</w:t>
            </w:r>
          </w:p>
        </w:tc>
        <w:tc>
          <w:tcPr>
            <w:tcW w:w="5702" w:type="dxa"/>
            <w:shd w:val="clear" w:color="auto" w:fill="FFFFFF" w:themeFill="background1"/>
            <w:vAlign w:val="center"/>
          </w:tcPr>
          <w:p w:rsidR="00B21D1B" w:rsidRPr="00576020" w:rsidRDefault="00B21D1B" w:rsidP="00576020">
            <w:pPr>
              <w:spacing w:line="240" w:lineRule="auto"/>
              <w:jc w:val="left"/>
            </w:pPr>
            <w:r w:rsidRPr="00576020">
              <w:t>rynek pracy,  ochrona środowiska, gospodarka wodna, energia</w:t>
            </w:r>
          </w:p>
        </w:tc>
      </w:tr>
      <w:tr w:rsidR="00B21D1B" w:rsidRPr="00576020" w:rsidTr="00576020">
        <w:trPr>
          <w:trHeight w:val="510"/>
        </w:trPr>
        <w:tc>
          <w:tcPr>
            <w:tcW w:w="3510" w:type="dxa"/>
            <w:shd w:val="clear" w:color="auto" w:fill="FFFFFF" w:themeFill="background1"/>
            <w:vAlign w:val="center"/>
          </w:tcPr>
          <w:p w:rsidR="00B21D1B" w:rsidRPr="00576020" w:rsidRDefault="00B21D1B" w:rsidP="00576020">
            <w:pPr>
              <w:spacing w:line="240" w:lineRule="auto"/>
              <w:jc w:val="left"/>
              <w:rPr>
                <w:highlight w:val="yellow"/>
              </w:rPr>
            </w:pPr>
            <w:r w:rsidRPr="00576020">
              <w:t>Instytut Rozwoju Terytorialnego</w:t>
            </w:r>
          </w:p>
        </w:tc>
        <w:tc>
          <w:tcPr>
            <w:tcW w:w="5702" w:type="dxa"/>
            <w:shd w:val="clear" w:color="auto" w:fill="FFFFFF" w:themeFill="background1"/>
            <w:vAlign w:val="center"/>
          </w:tcPr>
          <w:p w:rsidR="00B21D1B" w:rsidRPr="00576020" w:rsidRDefault="00B21D1B" w:rsidP="00576020">
            <w:pPr>
              <w:spacing w:line="240" w:lineRule="auto"/>
              <w:jc w:val="left"/>
            </w:pPr>
            <w:r w:rsidRPr="00576020">
              <w:t>ochrona środowiska, energia, odpady</w:t>
            </w:r>
          </w:p>
        </w:tc>
      </w:tr>
    </w:tbl>
    <w:p w:rsidR="00B21D1B" w:rsidRDefault="00B21D1B" w:rsidP="00B21D1B">
      <w:pPr>
        <w:pStyle w:val="podWrOF0"/>
      </w:pPr>
      <w:r>
        <w:t>Źródło: opracowanie własne.</w:t>
      </w:r>
    </w:p>
    <w:p w:rsidR="00B21D1B" w:rsidRPr="00576020" w:rsidRDefault="00B21D1B" w:rsidP="00576020">
      <w:pPr>
        <w:jc w:val="left"/>
        <w:rPr>
          <w:sz w:val="24"/>
        </w:rPr>
      </w:pPr>
      <w:r w:rsidRPr="00576020">
        <w:rPr>
          <w:sz w:val="24"/>
        </w:rPr>
        <w:t>Zmiana w składzie Rady ZIT WrOF</w:t>
      </w:r>
      <w:r w:rsidR="00414CBB" w:rsidRPr="00576020">
        <w:rPr>
          <w:sz w:val="24"/>
        </w:rPr>
        <w:t xml:space="preserve"> –</w:t>
      </w:r>
      <w:r w:rsidRPr="00576020">
        <w:rPr>
          <w:sz w:val="24"/>
        </w:rPr>
        <w:t xml:space="preserve"> przy zachowaniu reprezentatywności  środowisk partnerów społeczno- gospodarczych nie wpływa na konieczność aktualizacji Strategii ZIT WrOF 2021-2027. </w:t>
      </w:r>
    </w:p>
    <w:p w:rsidR="00FF3CCF" w:rsidRPr="00576020" w:rsidRDefault="00B76684" w:rsidP="00576020">
      <w:pPr>
        <w:spacing w:before="240" w:after="0"/>
        <w:jc w:val="left"/>
        <w:rPr>
          <w:rFonts w:cstheme="minorHAnsi"/>
          <w:b/>
          <w:color w:val="000000" w:themeColor="text1"/>
          <w:sz w:val="24"/>
          <w:lang w:val="en-US"/>
        </w:rPr>
      </w:pPr>
      <w:r w:rsidRPr="00576020">
        <w:rPr>
          <w:rFonts w:cstheme="minorHAnsi"/>
          <w:b/>
          <w:color w:val="000000" w:themeColor="text1"/>
          <w:sz w:val="24"/>
          <w:lang w:val="en-US"/>
        </w:rPr>
        <w:t>ZIT WrOF – a IZ FEDS 2021-2027</w:t>
      </w:r>
    </w:p>
    <w:p w:rsidR="004347E4" w:rsidRPr="00576020" w:rsidRDefault="004347E4" w:rsidP="00576020">
      <w:pPr>
        <w:jc w:val="left"/>
        <w:rPr>
          <w:sz w:val="24"/>
        </w:rPr>
      </w:pPr>
      <w:r w:rsidRPr="00576020">
        <w:rPr>
          <w:sz w:val="24"/>
        </w:rPr>
        <w:t>Podstawą realizacji Instrumentu ZIT WrOF oraz realizacji projektów w ramach Funduszy Europejskich dla Dolnego Śląska 2021-2027, jest Porozumienie w sprawie określenia zasad, trybu i warunków realizacji Instrumentu Terytorialnego: Zintegrowane Inwestycje Terytorialnego Wrocławskiego Obszaru Funkcjonalnego, w tym realizacji projektów strategicznych w ramach Funduszy Europejskich dla Dolnego Śląska 2021-2027, zawarte pomiędzy Zarząde</w:t>
      </w:r>
      <w:r w:rsidR="00414CBB" w:rsidRPr="00576020">
        <w:rPr>
          <w:sz w:val="24"/>
        </w:rPr>
        <w:t>m Województwa Dolnośląskiego, a </w:t>
      </w:r>
      <w:r w:rsidRPr="00576020">
        <w:rPr>
          <w:sz w:val="24"/>
        </w:rPr>
        <w:t>Prezydentem Wrocławia (Liderem Porozumienia ZIT WrOF). Porozu</w:t>
      </w:r>
      <w:r w:rsidR="002A5957" w:rsidRPr="00576020">
        <w:rPr>
          <w:sz w:val="24"/>
        </w:rPr>
        <w:t>mienie jest zawarte na okres od </w:t>
      </w:r>
      <w:r w:rsidRPr="00576020">
        <w:rPr>
          <w:sz w:val="24"/>
        </w:rPr>
        <w:t xml:space="preserve">dnia jego podpisania do zakończenia i rozliczenia realizacji zadań w ramach FEDS 2021-2027 oraz wygaśnięcia wszelkich zobowiązań wynikających z jego postanowień dla Stron. </w:t>
      </w:r>
    </w:p>
    <w:p w:rsidR="004347E4" w:rsidRPr="00576020" w:rsidRDefault="004347E4" w:rsidP="00576020">
      <w:pPr>
        <w:spacing w:after="0"/>
        <w:jc w:val="left"/>
        <w:rPr>
          <w:sz w:val="24"/>
        </w:rPr>
      </w:pPr>
      <w:r w:rsidRPr="00576020">
        <w:rPr>
          <w:sz w:val="24"/>
        </w:rPr>
        <w:t>Zgodnie z zapisami porozumienia między Zarz</w:t>
      </w:r>
      <w:r w:rsidR="00EB3B95" w:rsidRPr="00576020">
        <w:rPr>
          <w:sz w:val="24"/>
        </w:rPr>
        <w:t>ądem Województwa Dolnośląskiego</w:t>
      </w:r>
      <w:r w:rsidR="00857609">
        <w:rPr>
          <w:sz w:val="24"/>
        </w:rPr>
        <w:t xml:space="preserve"> a </w:t>
      </w:r>
      <w:r w:rsidRPr="00576020">
        <w:rPr>
          <w:sz w:val="24"/>
        </w:rPr>
        <w:t>Prezydentem Wrocławia, zadania realizowanie przez Gminę Wrocław (Instytucj</w:t>
      </w:r>
      <w:r w:rsidR="00E60C99" w:rsidRPr="00576020">
        <w:rPr>
          <w:sz w:val="24"/>
        </w:rPr>
        <w:t>ę reprezentującą ZIT WrOF) to w </w:t>
      </w:r>
      <w:r w:rsidRPr="00576020">
        <w:rPr>
          <w:sz w:val="24"/>
        </w:rPr>
        <w:t>szczególności:</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 xml:space="preserve">przedłożenie do zaopiniowania przez Instytucję Zarządzającą FEDS Strategii ZIT </w:t>
      </w:r>
      <w:r w:rsidR="00EB3B95" w:rsidRPr="00576020">
        <w:rPr>
          <w:rFonts w:cs="Tahoma"/>
          <w:color w:val="000000"/>
          <w:sz w:val="24"/>
        </w:rPr>
        <w:t xml:space="preserve">2021-2027 </w:t>
      </w:r>
      <w:r w:rsidR="00E60C99" w:rsidRPr="00576020">
        <w:rPr>
          <w:rFonts w:cs="Tahoma"/>
          <w:color w:val="000000"/>
          <w:sz w:val="24"/>
        </w:rPr>
        <w:t>w </w:t>
      </w:r>
      <w:r w:rsidRPr="00576020">
        <w:rPr>
          <w:rFonts w:cs="Tahoma"/>
          <w:color w:val="000000"/>
          <w:sz w:val="24"/>
        </w:rPr>
        <w:t>zakresie możliwości finansowania st</w:t>
      </w:r>
      <w:r w:rsidR="001D32BE" w:rsidRPr="00576020">
        <w:rPr>
          <w:rFonts w:cs="Tahoma"/>
          <w:color w:val="000000"/>
          <w:sz w:val="24"/>
        </w:rPr>
        <w:t xml:space="preserve">rategii w ramach </w:t>
      </w:r>
      <w:r w:rsidR="00EB3B95" w:rsidRPr="00576020">
        <w:rPr>
          <w:rFonts w:cs="Tahoma"/>
          <w:color w:val="000000"/>
          <w:sz w:val="24"/>
        </w:rPr>
        <w:t xml:space="preserve">2021-2027 </w:t>
      </w:r>
      <w:r w:rsidRPr="00576020">
        <w:rPr>
          <w:rFonts w:cs="Tahoma"/>
          <w:color w:val="000000"/>
          <w:sz w:val="24"/>
        </w:rPr>
        <w:t>wraz z innymi dokumentami wymaganymi przepisami prawa i/lub Wytycznymi krajowymi;</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sporządzenie w ramach Strategii ZIT</w:t>
      </w:r>
      <w:r w:rsidR="00EB3B95" w:rsidRPr="00576020">
        <w:rPr>
          <w:rFonts w:cs="Tahoma"/>
          <w:color w:val="000000"/>
          <w:sz w:val="24"/>
        </w:rPr>
        <w:t xml:space="preserve"> 2021-2027 </w:t>
      </w:r>
      <w:r w:rsidRPr="00576020">
        <w:rPr>
          <w:rFonts w:cs="Tahoma"/>
          <w:color w:val="000000"/>
          <w:sz w:val="24"/>
        </w:rPr>
        <w:t>listy projektó</w:t>
      </w:r>
      <w:r w:rsidR="00CF1B43" w:rsidRPr="00576020">
        <w:rPr>
          <w:rFonts w:cs="Tahoma"/>
          <w:color w:val="000000"/>
          <w:sz w:val="24"/>
        </w:rPr>
        <w:t>w strategicznych ZIT (zgodnie z </w:t>
      </w:r>
      <w:r w:rsidRPr="00576020">
        <w:rPr>
          <w:rFonts w:cs="Tahoma"/>
          <w:color w:val="000000"/>
          <w:sz w:val="24"/>
        </w:rPr>
        <w:t>Wytycznymi krajowymi dot. wyboru projektów 2021-2027);</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zaangażowanie w proces przyjęcia i zmiany listy projek</w:t>
      </w:r>
      <w:r w:rsidR="00857609">
        <w:rPr>
          <w:rFonts w:cs="Tahoma"/>
          <w:color w:val="000000"/>
          <w:sz w:val="24"/>
        </w:rPr>
        <w:t>tów strategicznych ZIT ujętej w </w:t>
      </w:r>
      <w:r w:rsidRPr="00576020">
        <w:rPr>
          <w:rFonts w:cs="Tahoma"/>
          <w:color w:val="000000"/>
          <w:sz w:val="24"/>
        </w:rPr>
        <w:t>Strategii ZIT</w:t>
      </w:r>
      <w:r w:rsidR="00EB3B95" w:rsidRPr="00576020">
        <w:rPr>
          <w:rFonts w:cs="Tahoma"/>
          <w:color w:val="000000"/>
          <w:sz w:val="24"/>
        </w:rPr>
        <w:t xml:space="preserve"> 2021-2027 </w:t>
      </w:r>
      <w:r w:rsidRPr="00576020">
        <w:rPr>
          <w:rFonts w:cs="Tahoma"/>
          <w:color w:val="000000"/>
          <w:sz w:val="24"/>
        </w:rPr>
        <w:t xml:space="preserve"> partnerów społecznych;</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osiągnięcie programowych wskaźników (wskaźniki produktu i rezultatu z projektów strategicznych ZIT);</w:t>
      </w:r>
    </w:p>
    <w:p w:rsidR="004347E4" w:rsidRPr="00576020" w:rsidRDefault="001D32BE" w:rsidP="00576020">
      <w:pPr>
        <w:pStyle w:val="Akapitzlist"/>
        <w:numPr>
          <w:ilvl w:val="0"/>
          <w:numId w:val="63"/>
        </w:numPr>
        <w:spacing w:after="200"/>
        <w:jc w:val="left"/>
        <w:rPr>
          <w:sz w:val="24"/>
        </w:rPr>
      </w:pPr>
      <w:r w:rsidRPr="00576020">
        <w:rPr>
          <w:rFonts w:cs="Tahoma"/>
          <w:color w:val="000000"/>
          <w:sz w:val="24"/>
        </w:rPr>
        <w:t>monitoring</w:t>
      </w:r>
      <w:r w:rsidR="004347E4" w:rsidRPr="00576020">
        <w:rPr>
          <w:rFonts w:cs="Tahoma"/>
          <w:color w:val="000000"/>
          <w:sz w:val="24"/>
        </w:rPr>
        <w:t xml:space="preserve"> postępu realizacji postanowień Porozumienia oraz postępu realizacji projektów strategicznych ZIT wskazanych w Strategii ZIT</w:t>
      </w:r>
      <w:r w:rsidR="00EB3B95" w:rsidRPr="00576020">
        <w:rPr>
          <w:rFonts w:cs="Tahoma"/>
          <w:color w:val="000000"/>
          <w:sz w:val="24"/>
        </w:rPr>
        <w:t xml:space="preserve"> 2021-2027 </w:t>
      </w:r>
      <w:r w:rsidR="004347E4" w:rsidRPr="00576020">
        <w:rPr>
          <w:rFonts w:cs="Tahoma"/>
          <w:color w:val="000000"/>
          <w:sz w:val="24"/>
        </w:rPr>
        <w:t>;</w:t>
      </w:r>
    </w:p>
    <w:p w:rsidR="004347E4" w:rsidRPr="00576020" w:rsidRDefault="004347E4" w:rsidP="00576020">
      <w:pPr>
        <w:pStyle w:val="Akapitzlist"/>
        <w:numPr>
          <w:ilvl w:val="0"/>
          <w:numId w:val="63"/>
        </w:numPr>
        <w:spacing w:after="200"/>
        <w:jc w:val="left"/>
        <w:rPr>
          <w:rFonts w:cs="Calibri"/>
          <w:sz w:val="24"/>
        </w:rPr>
      </w:pPr>
      <w:r w:rsidRPr="00576020">
        <w:rPr>
          <w:rFonts w:cs="Tahoma"/>
          <w:color w:val="000000"/>
          <w:sz w:val="24"/>
        </w:rPr>
        <w:t xml:space="preserve">koordynacja realizacji Strategii ZIT </w:t>
      </w:r>
      <w:r w:rsidR="00EB3B95" w:rsidRPr="00576020">
        <w:rPr>
          <w:rFonts w:cs="Tahoma"/>
          <w:color w:val="000000"/>
          <w:sz w:val="24"/>
        </w:rPr>
        <w:t xml:space="preserve">2021-2027 </w:t>
      </w:r>
      <w:r w:rsidRPr="00576020">
        <w:rPr>
          <w:rFonts w:cs="Tahoma"/>
          <w:color w:val="000000"/>
          <w:sz w:val="24"/>
        </w:rPr>
        <w:t xml:space="preserve"> oraz realizacji projektów strategicznych ZIT</w:t>
      </w:r>
      <w:r w:rsidR="001D32BE" w:rsidRPr="00576020">
        <w:rPr>
          <w:rFonts w:cs="Tahoma"/>
          <w:color w:val="000000"/>
          <w:sz w:val="24"/>
        </w:rPr>
        <w:t>;</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 xml:space="preserve">współpraca z IZ FEDS przy realizacji badań ewaluacyjnych, analiz, ekspertyz prowadzonych lub zlecanych przez np. Instytucje Zarządzające innymi Programami, ministerstwo właściwe </w:t>
      </w:r>
      <w:r w:rsidR="00CF1B43" w:rsidRPr="00576020">
        <w:rPr>
          <w:rFonts w:cs="Tahoma"/>
          <w:color w:val="000000"/>
          <w:sz w:val="24"/>
        </w:rPr>
        <w:br/>
      </w:r>
      <w:r w:rsidRPr="00576020">
        <w:rPr>
          <w:rFonts w:cs="Tahoma"/>
          <w:color w:val="000000"/>
          <w:sz w:val="24"/>
        </w:rPr>
        <w:t>ds. rozwoju regionalnego, Komisję Europejską;</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współorganizacja działań informacyjnych i promocyjnych na wniosek IZ FEDS i/lub Ministra właściwego ds. rozwoju regionalnego, wydarzeń medialnych (np. briefingu prasowego, konferencji prasowej) wspólnie z przed</w:t>
      </w:r>
      <w:r w:rsidR="00857609">
        <w:rPr>
          <w:rFonts w:cs="Tahoma"/>
          <w:color w:val="000000"/>
          <w:sz w:val="24"/>
        </w:rPr>
        <w:t>stawicielami Ministra/IZ FEDS w </w:t>
      </w:r>
      <w:r w:rsidRPr="00576020">
        <w:rPr>
          <w:rFonts w:cs="Tahoma"/>
          <w:color w:val="000000"/>
          <w:sz w:val="24"/>
        </w:rPr>
        <w:t>przypadku np. otwarcia projektów;</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konsultacja dokumentów wdrożeniowych służących realizacji FEDS w zakresie realizacji projektów strategicznyc</w:t>
      </w:r>
      <w:r w:rsidR="00024222" w:rsidRPr="00576020">
        <w:rPr>
          <w:rFonts w:cs="Tahoma"/>
          <w:color w:val="000000"/>
          <w:sz w:val="24"/>
        </w:rPr>
        <w:t>h wskazanych w Strategii ZIT</w:t>
      </w:r>
      <w:r w:rsidR="00EB3B95" w:rsidRPr="00576020">
        <w:rPr>
          <w:rFonts w:cs="Tahoma"/>
          <w:color w:val="000000"/>
          <w:sz w:val="24"/>
        </w:rPr>
        <w:t xml:space="preserve"> 2021-2027</w:t>
      </w:r>
      <w:r w:rsidRPr="00576020">
        <w:rPr>
          <w:rFonts w:cs="Tahoma"/>
          <w:color w:val="000000"/>
          <w:sz w:val="24"/>
        </w:rPr>
        <w:t>;</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 xml:space="preserve">konsultacja i uzgadnianie z </w:t>
      </w:r>
      <w:r w:rsidR="00024222" w:rsidRPr="00576020">
        <w:rPr>
          <w:rFonts w:cs="Tahoma"/>
          <w:color w:val="000000"/>
          <w:sz w:val="24"/>
        </w:rPr>
        <w:t>IZ FEDS harmonogramów naborów,</w:t>
      </w:r>
      <w:r w:rsidRPr="00576020">
        <w:rPr>
          <w:rFonts w:cs="Tahoma"/>
          <w:color w:val="000000"/>
          <w:sz w:val="24"/>
        </w:rPr>
        <w:t xml:space="preserve"> w zakresie naborów dedykowanych ZIT;</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wstępna konsultacja z IZ FEDS kryteriów wyboru projektów dla</w:t>
      </w:r>
      <w:r w:rsidR="00414CBB" w:rsidRPr="00576020">
        <w:rPr>
          <w:rFonts w:cs="Tahoma"/>
          <w:color w:val="000000"/>
          <w:sz w:val="24"/>
        </w:rPr>
        <w:t xml:space="preserve"> projektów strategicznych ZIT w </w:t>
      </w:r>
      <w:r w:rsidRPr="00576020">
        <w:rPr>
          <w:rFonts w:cs="Tahoma"/>
          <w:color w:val="000000"/>
          <w:sz w:val="24"/>
        </w:rPr>
        <w:t>ramach prac Komitetu Monitorującego FEDS 2021-2027;</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uczestnictwo w wyborze do dofinansow</w:t>
      </w:r>
      <w:r w:rsidR="00EB3B95" w:rsidRPr="00576020">
        <w:rPr>
          <w:rFonts w:cs="Tahoma"/>
          <w:color w:val="000000"/>
          <w:sz w:val="24"/>
        </w:rPr>
        <w:t>ania projektów wynikających ze S</w:t>
      </w:r>
      <w:r w:rsidRPr="00576020">
        <w:rPr>
          <w:rFonts w:cs="Tahoma"/>
          <w:color w:val="000000"/>
          <w:sz w:val="24"/>
        </w:rPr>
        <w:t xml:space="preserve">trategii ZIT </w:t>
      </w:r>
      <w:r w:rsidR="00EB3B95" w:rsidRPr="00576020">
        <w:rPr>
          <w:rFonts w:cs="Tahoma"/>
          <w:color w:val="000000"/>
          <w:sz w:val="24"/>
        </w:rPr>
        <w:t>2021</w:t>
      </w:r>
      <w:r w:rsidR="00CF1B43" w:rsidRPr="00576020">
        <w:rPr>
          <w:rFonts w:cs="Tahoma"/>
          <w:color w:val="000000"/>
          <w:sz w:val="24"/>
        </w:rPr>
        <w:br/>
      </w:r>
      <w:r w:rsidR="00EB3B95" w:rsidRPr="00576020">
        <w:rPr>
          <w:rFonts w:cs="Tahoma"/>
          <w:color w:val="000000"/>
          <w:sz w:val="24"/>
        </w:rPr>
        <w:t xml:space="preserve">-2027 </w:t>
      </w:r>
      <w:r w:rsidRPr="00576020">
        <w:rPr>
          <w:rFonts w:cs="Tahoma"/>
          <w:color w:val="000000"/>
          <w:sz w:val="24"/>
        </w:rPr>
        <w:t>w ramach FEDS 2021-2027 p</w:t>
      </w:r>
      <w:r w:rsidR="00024222" w:rsidRPr="00576020">
        <w:rPr>
          <w:rFonts w:cs="Tahoma"/>
          <w:color w:val="000000"/>
          <w:sz w:val="24"/>
        </w:rPr>
        <w:t>oprzez umieszczenie oraz zmianę</w:t>
      </w:r>
      <w:r w:rsidRPr="00576020">
        <w:rPr>
          <w:rFonts w:cs="Tahoma"/>
          <w:color w:val="000000"/>
          <w:sz w:val="24"/>
        </w:rPr>
        <w:t xml:space="preserve"> w Strategii</w:t>
      </w:r>
      <w:r w:rsidR="00AE1747" w:rsidRPr="00576020">
        <w:rPr>
          <w:rFonts w:cs="Tahoma"/>
          <w:color w:val="000000"/>
          <w:sz w:val="24"/>
        </w:rPr>
        <w:t xml:space="preserve"> </w:t>
      </w:r>
      <w:r w:rsidR="00EB3B95" w:rsidRPr="00576020">
        <w:rPr>
          <w:rFonts w:cs="Tahoma"/>
          <w:color w:val="000000"/>
          <w:sz w:val="24"/>
        </w:rPr>
        <w:t xml:space="preserve">ZIT 2021-2027 </w:t>
      </w:r>
      <w:r w:rsidRPr="00576020">
        <w:rPr>
          <w:rFonts w:cs="Tahoma"/>
          <w:color w:val="000000"/>
          <w:sz w:val="24"/>
        </w:rPr>
        <w:t>listy projektów strategicznych;</w:t>
      </w:r>
    </w:p>
    <w:p w:rsidR="004347E4" w:rsidRPr="00576020" w:rsidRDefault="004347E4" w:rsidP="00576020">
      <w:pPr>
        <w:pStyle w:val="Akapitzlist"/>
        <w:numPr>
          <w:ilvl w:val="0"/>
          <w:numId w:val="63"/>
        </w:numPr>
        <w:spacing w:after="200"/>
        <w:jc w:val="left"/>
        <w:rPr>
          <w:sz w:val="24"/>
        </w:rPr>
      </w:pPr>
      <w:r w:rsidRPr="00576020">
        <w:rPr>
          <w:rFonts w:cs="Tahoma"/>
          <w:color w:val="000000"/>
          <w:sz w:val="24"/>
        </w:rPr>
        <w:t>archiwizacja dokumentów związanych z realizacją Strategii ZIT</w:t>
      </w:r>
      <w:r w:rsidR="00EB3B95" w:rsidRPr="00576020">
        <w:rPr>
          <w:rFonts w:cs="Tahoma"/>
          <w:color w:val="000000"/>
          <w:sz w:val="24"/>
        </w:rPr>
        <w:t xml:space="preserve"> 2021-2027 </w:t>
      </w:r>
      <w:r w:rsidR="00414CBB" w:rsidRPr="00576020">
        <w:rPr>
          <w:rFonts w:cs="Tahoma"/>
          <w:color w:val="000000"/>
          <w:sz w:val="24"/>
        </w:rPr>
        <w:t>zgodnie z </w:t>
      </w:r>
      <w:r w:rsidRPr="00576020">
        <w:rPr>
          <w:rFonts w:cs="Tahoma"/>
          <w:color w:val="000000"/>
          <w:sz w:val="24"/>
        </w:rPr>
        <w:t>przepisami krajowymi.</w:t>
      </w:r>
    </w:p>
    <w:p w:rsidR="004347E4" w:rsidRPr="00576020" w:rsidRDefault="004347E4" w:rsidP="00576020">
      <w:pPr>
        <w:jc w:val="left"/>
        <w:rPr>
          <w:rFonts w:cs="Times New Roman"/>
          <w:sz w:val="24"/>
        </w:rPr>
      </w:pPr>
      <w:r w:rsidRPr="00576020">
        <w:rPr>
          <w:rFonts w:cs="Times New Roman"/>
          <w:sz w:val="24"/>
        </w:rPr>
        <w:t>Funkcje administracyjne Lidera Porozumienia międzygminnego ZIT WrOF pełni Biuro Zintegrowanych Inwestycji Terytorialnych Wrocławskiego Obszaru Funkcjonalnego (Biuro ZIT Wr</w:t>
      </w:r>
      <w:r w:rsidR="00414CBB" w:rsidRPr="00576020">
        <w:rPr>
          <w:rFonts w:cs="Times New Roman"/>
          <w:sz w:val="24"/>
        </w:rPr>
        <w:t>OF) funkcjonujące w </w:t>
      </w:r>
      <w:r w:rsidR="00024222" w:rsidRPr="00576020">
        <w:rPr>
          <w:rFonts w:cs="Times New Roman"/>
          <w:sz w:val="24"/>
        </w:rPr>
        <w:t>strukturach</w:t>
      </w:r>
      <w:r w:rsidRPr="00576020">
        <w:rPr>
          <w:rFonts w:cs="Times New Roman"/>
          <w:sz w:val="24"/>
        </w:rPr>
        <w:t xml:space="preserve"> Urzędu Miejskiego Wrocławia. Pracodawcą dla osób zatrudnionych w Biurze ZIT WrOF jest Prezydent Wrocławia. W zakresie realizacji zadań Lidera Biuro ZIT WrOF będzie stosować regulaminy wewnętrzne Urzędu Miejskiego Wrocławia. </w:t>
      </w:r>
    </w:p>
    <w:p w:rsidR="004347E4" w:rsidRPr="00576020" w:rsidRDefault="004347E4" w:rsidP="00576020">
      <w:pPr>
        <w:pStyle w:val="Default"/>
        <w:spacing w:line="360" w:lineRule="auto"/>
        <w:rPr>
          <w:rFonts w:asciiTheme="minorHAnsi" w:hAnsiTheme="minorHAnsi"/>
          <w:szCs w:val="22"/>
        </w:rPr>
      </w:pPr>
      <w:r w:rsidRPr="00576020">
        <w:rPr>
          <w:rFonts w:asciiTheme="minorHAnsi" w:hAnsiTheme="minorHAnsi"/>
          <w:szCs w:val="22"/>
        </w:rPr>
        <w:t>Przykładowe zadania Biura ZIT WrOF to:</w:t>
      </w:r>
    </w:p>
    <w:p w:rsidR="004347E4" w:rsidRPr="00576020" w:rsidRDefault="004347E4" w:rsidP="00576020">
      <w:pPr>
        <w:numPr>
          <w:ilvl w:val="0"/>
          <w:numId w:val="2"/>
        </w:numPr>
        <w:autoSpaceDE w:val="0"/>
        <w:autoSpaceDN w:val="0"/>
        <w:adjustRightInd w:val="0"/>
        <w:contextualSpacing/>
        <w:jc w:val="left"/>
        <w:rPr>
          <w:sz w:val="24"/>
        </w:rPr>
      </w:pPr>
      <w:r w:rsidRPr="00576020">
        <w:rPr>
          <w:sz w:val="24"/>
        </w:rPr>
        <w:t>kreowanie polityki rozwoju na obszarze realizacji ZIT WrOF</w:t>
      </w:r>
      <w:r w:rsidR="008658FC" w:rsidRPr="00576020">
        <w:rPr>
          <w:sz w:val="24"/>
        </w:rPr>
        <w:t>;</w:t>
      </w:r>
    </w:p>
    <w:p w:rsidR="004347E4" w:rsidRPr="00576020" w:rsidRDefault="004347E4" w:rsidP="00576020">
      <w:pPr>
        <w:numPr>
          <w:ilvl w:val="0"/>
          <w:numId w:val="2"/>
        </w:numPr>
        <w:autoSpaceDE w:val="0"/>
        <w:autoSpaceDN w:val="0"/>
        <w:adjustRightInd w:val="0"/>
        <w:contextualSpacing/>
        <w:jc w:val="left"/>
        <w:rPr>
          <w:sz w:val="24"/>
        </w:rPr>
      </w:pPr>
      <w:r w:rsidRPr="00576020">
        <w:rPr>
          <w:sz w:val="24"/>
        </w:rPr>
        <w:t>przygotowanie projektu i aktualizacja Strategii ZIT WrOF 2021-2027</w:t>
      </w:r>
      <w:r w:rsidR="008658FC" w:rsidRPr="00576020">
        <w:rPr>
          <w:sz w:val="24"/>
        </w:rPr>
        <w:t>;</w:t>
      </w:r>
    </w:p>
    <w:p w:rsidR="004347E4" w:rsidRPr="00576020" w:rsidRDefault="004347E4" w:rsidP="00576020">
      <w:pPr>
        <w:numPr>
          <w:ilvl w:val="0"/>
          <w:numId w:val="2"/>
        </w:numPr>
        <w:autoSpaceDE w:val="0"/>
        <w:autoSpaceDN w:val="0"/>
        <w:adjustRightInd w:val="0"/>
        <w:contextualSpacing/>
        <w:jc w:val="left"/>
        <w:rPr>
          <w:rFonts w:ascii="Calibri" w:hAnsi="Calibri"/>
          <w:sz w:val="24"/>
        </w:rPr>
      </w:pPr>
      <w:r w:rsidRPr="00576020">
        <w:rPr>
          <w:sz w:val="24"/>
        </w:rPr>
        <w:t>przygotowanie projektu, ewaluacja i aktualizacja Strategii rozwoju ponadlokalnego dla obszaru ZIT WrOF</w:t>
      </w:r>
      <w:r w:rsidR="008658FC" w:rsidRPr="00576020">
        <w:rPr>
          <w:sz w:val="24"/>
        </w:rPr>
        <w:t>;</w:t>
      </w:r>
    </w:p>
    <w:p w:rsidR="004347E4" w:rsidRPr="00576020" w:rsidRDefault="004347E4" w:rsidP="00576020">
      <w:pPr>
        <w:numPr>
          <w:ilvl w:val="0"/>
          <w:numId w:val="2"/>
        </w:numPr>
        <w:autoSpaceDE w:val="0"/>
        <w:autoSpaceDN w:val="0"/>
        <w:adjustRightInd w:val="0"/>
        <w:contextualSpacing/>
        <w:jc w:val="left"/>
        <w:rPr>
          <w:sz w:val="24"/>
        </w:rPr>
      </w:pPr>
      <w:r w:rsidRPr="00576020">
        <w:rPr>
          <w:sz w:val="24"/>
        </w:rPr>
        <w:t>koordynowanie realizacji projektów wynikających ze Strategii ZIT WrOF 2021-2027</w:t>
      </w:r>
      <w:r w:rsidR="008658FC" w:rsidRPr="00576020">
        <w:rPr>
          <w:sz w:val="24"/>
        </w:rPr>
        <w:t>;</w:t>
      </w:r>
    </w:p>
    <w:p w:rsidR="004347E4" w:rsidRPr="00576020" w:rsidRDefault="004347E4" w:rsidP="00576020">
      <w:pPr>
        <w:numPr>
          <w:ilvl w:val="0"/>
          <w:numId w:val="2"/>
        </w:numPr>
        <w:autoSpaceDE w:val="0"/>
        <w:autoSpaceDN w:val="0"/>
        <w:adjustRightInd w:val="0"/>
        <w:contextualSpacing/>
        <w:jc w:val="left"/>
        <w:rPr>
          <w:sz w:val="24"/>
        </w:rPr>
      </w:pPr>
      <w:r w:rsidRPr="00576020">
        <w:rPr>
          <w:sz w:val="24"/>
        </w:rPr>
        <w:t>przygotowanie i zarządzanie budżetem ZIT WrOF</w:t>
      </w:r>
      <w:r w:rsidR="008658FC" w:rsidRPr="00576020">
        <w:rPr>
          <w:sz w:val="24"/>
        </w:rPr>
        <w:t>;</w:t>
      </w:r>
    </w:p>
    <w:p w:rsidR="004347E4" w:rsidRPr="00576020" w:rsidRDefault="004347E4" w:rsidP="00576020">
      <w:pPr>
        <w:numPr>
          <w:ilvl w:val="0"/>
          <w:numId w:val="2"/>
        </w:numPr>
        <w:autoSpaceDE w:val="0"/>
        <w:autoSpaceDN w:val="0"/>
        <w:adjustRightInd w:val="0"/>
        <w:contextualSpacing/>
        <w:jc w:val="left"/>
        <w:rPr>
          <w:rFonts w:eastAsia="Calibri" w:cs="Calibri"/>
          <w:sz w:val="24"/>
        </w:rPr>
      </w:pPr>
      <w:r w:rsidRPr="00576020">
        <w:rPr>
          <w:rFonts w:eastAsia="Calibri" w:cs="Calibri"/>
          <w:sz w:val="24"/>
        </w:rPr>
        <w:t>wykonywanie czynności administracyjnych wynikających z obsługi Komitetu Sterującego, Rady ZIT WrOF oraz innych czynności związanych z Porozumieniem</w:t>
      </w:r>
      <w:r w:rsidR="008658FC" w:rsidRPr="00576020">
        <w:rPr>
          <w:rFonts w:eastAsia="Calibri" w:cs="Calibri"/>
          <w:sz w:val="24"/>
        </w:rPr>
        <w:t>;</w:t>
      </w:r>
    </w:p>
    <w:p w:rsidR="004347E4" w:rsidRPr="00576020" w:rsidRDefault="004347E4" w:rsidP="00576020">
      <w:pPr>
        <w:numPr>
          <w:ilvl w:val="0"/>
          <w:numId w:val="2"/>
        </w:numPr>
        <w:autoSpaceDE w:val="0"/>
        <w:autoSpaceDN w:val="0"/>
        <w:adjustRightInd w:val="0"/>
        <w:contextualSpacing/>
        <w:jc w:val="left"/>
        <w:rPr>
          <w:rFonts w:eastAsia="Calibri" w:cs="Calibri"/>
          <w:sz w:val="24"/>
        </w:rPr>
      </w:pPr>
      <w:r w:rsidRPr="00576020">
        <w:rPr>
          <w:rFonts w:eastAsia="Calibri" w:cs="Calibri"/>
          <w:sz w:val="24"/>
        </w:rPr>
        <w:t>pozyskiwanie i zarządzanie projektami finansowanymi ze środków zewnętrznych oraz realizacja, wdrażanie, ewaluacja przedsięwzięć zaplanowanych z ich udziałem, a także prowadzenia sprawozdawczości w tym zakresie</w:t>
      </w:r>
      <w:r w:rsidRPr="00576020">
        <w:rPr>
          <w:sz w:val="24"/>
        </w:rPr>
        <w:t xml:space="preserve"> (</w:t>
      </w:r>
      <w:r w:rsidRPr="00576020">
        <w:rPr>
          <w:rFonts w:eastAsia="Calibri" w:cs="Calibri"/>
          <w:sz w:val="24"/>
        </w:rPr>
        <w:t xml:space="preserve">w tym ramach </w:t>
      </w:r>
      <w:r w:rsidRPr="00576020">
        <w:rPr>
          <w:sz w:val="24"/>
        </w:rPr>
        <w:t>środków Pomocy Technicznej</w:t>
      </w:r>
      <w:r w:rsidRPr="00576020">
        <w:rPr>
          <w:rFonts w:eastAsia="Calibri" w:cs="Calibri"/>
          <w:sz w:val="24"/>
        </w:rPr>
        <w:t>).</w:t>
      </w:r>
    </w:p>
    <w:p w:rsidR="008658FC" w:rsidRPr="002F3FDC" w:rsidRDefault="00B76684" w:rsidP="00576020">
      <w:pPr>
        <w:pStyle w:val="Nagwek3"/>
      </w:pPr>
      <w:bookmarkStart w:id="179" w:name="_Toc143673235"/>
      <w:r w:rsidRPr="002F3FDC">
        <w:t>V.1</w:t>
      </w:r>
      <w:r w:rsidR="009D757E" w:rsidRPr="002F3FDC">
        <w:t>.2</w:t>
      </w:r>
      <w:r w:rsidR="00414CBB">
        <w:t xml:space="preserve"> </w:t>
      </w:r>
      <w:r w:rsidRPr="002F3FDC">
        <w:t>Procedury obowiązujące w realizacji Strategii ZIT WrOF 2021-2027</w:t>
      </w:r>
      <w:bookmarkEnd w:id="179"/>
    </w:p>
    <w:p w:rsidR="008A2F4F" w:rsidRPr="00576020" w:rsidRDefault="00B76684" w:rsidP="00AE1747">
      <w:pPr>
        <w:spacing w:before="120" w:after="0"/>
        <w:rPr>
          <w:rFonts w:cstheme="minorHAnsi"/>
          <w:b/>
          <w:color w:val="000000" w:themeColor="text1"/>
        </w:rPr>
      </w:pPr>
      <w:r w:rsidRPr="00576020">
        <w:rPr>
          <w:rFonts w:cstheme="minorHAnsi"/>
          <w:b/>
          <w:color w:val="000000" w:themeColor="text1"/>
        </w:rPr>
        <w:t>Zarys procedury przygotowania i zatwierdzenia Strategii ZIT WrOF oraz jej zmian</w:t>
      </w:r>
    </w:p>
    <w:p w:rsidR="00B21D1B" w:rsidRPr="00576020" w:rsidRDefault="008A2F4F" w:rsidP="00576020">
      <w:pPr>
        <w:jc w:val="left"/>
        <w:rPr>
          <w:rFonts w:cs="Times New Roman"/>
          <w:sz w:val="24"/>
        </w:rPr>
      </w:pPr>
      <w:r w:rsidRPr="00576020">
        <w:rPr>
          <w:rFonts w:cs="Times New Roman"/>
          <w:sz w:val="24"/>
        </w:rPr>
        <w:t>Projekt Strategii ZIT WrOF</w:t>
      </w:r>
      <w:r w:rsidR="00806FE4" w:rsidRPr="00576020">
        <w:rPr>
          <w:rFonts w:cs="Times New Roman"/>
          <w:sz w:val="24"/>
        </w:rPr>
        <w:t xml:space="preserve"> </w:t>
      </w:r>
      <w:r w:rsidRPr="00576020">
        <w:rPr>
          <w:rFonts w:cs="Times New Roman"/>
          <w:bCs/>
          <w:sz w:val="24"/>
        </w:rPr>
        <w:t>2021-2027</w:t>
      </w:r>
      <w:r w:rsidRPr="00576020">
        <w:rPr>
          <w:rFonts w:cs="Times New Roman"/>
          <w:sz w:val="24"/>
        </w:rPr>
        <w:t xml:space="preserve"> jest przygo</w:t>
      </w:r>
      <w:r w:rsidR="00857609">
        <w:rPr>
          <w:rFonts w:cs="Times New Roman"/>
          <w:sz w:val="24"/>
        </w:rPr>
        <w:t>towywany przez Biuro ZIT WrOF i </w:t>
      </w:r>
      <w:r w:rsidRPr="00576020">
        <w:rPr>
          <w:rFonts w:cs="Times New Roman"/>
          <w:sz w:val="24"/>
        </w:rPr>
        <w:t xml:space="preserve">konsultowany przez Radę ZIT WrOF oraz Komitet Sterujący ZIT WrOF. Dokument jest poddawany Strategicznej Ocenie Oddziaływania na Środowisko. Rekomendacje z SOOŚ są uwzględniane w dokumencie.  </w:t>
      </w:r>
    </w:p>
    <w:p w:rsidR="00B21D1B" w:rsidRPr="00576020" w:rsidRDefault="00B21D1B" w:rsidP="00576020">
      <w:pPr>
        <w:jc w:val="left"/>
        <w:rPr>
          <w:rFonts w:cs="Times New Roman"/>
          <w:sz w:val="24"/>
        </w:rPr>
      </w:pPr>
      <w:r w:rsidRPr="00576020">
        <w:rPr>
          <w:rFonts w:cs="Times New Roman"/>
          <w:sz w:val="24"/>
        </w:rPr>
        <w:t xml:space="preserve">Dokument podlega </w:t>
      </w:r>
      <w:r w:rsidRPr="00576020">
        <w:rPr>
          <w:sz w:val="24"/>
        </w:rPr>
        <w:t>konsultacjom społecznym, które mają na celu uzyskanie opinii na temat opracowanego projektu Strategii ZIT WrOF 2021-2027. W konsultacje i opiniowanie dokumentu zaangażowany jest szeroki katalog interesariuszy.</w:t>
      </w:r>
      <w:r w:rsidR="00AE1747" w:rsidRPr="00576020">
        <w:rPr>
          <w:sz w:val="24"/>
        </w:rPr>
        <w:t xml:space="preserve"> </w:t>
      </w:r>
      <w:r w:rsidRPr="00576020">
        <w:rPr>
          <w:sz w:val="24"/>
        </w:rPr>
        <w:t>Proces konsultacji powinien być zgodny z zasadą partnerstwa opisaną w art. 8 Rozporządzenia Ogólnego.</w:t>
      </w:r>
    </w:p>
    <w:p w:rsidR="008A2F4F" w:rsidRPr="00576020" w:rsidRDefault="008A2F4F" w:rsidP="00576020">
      <w:pPr>
        <w:jc w:val="left"/>
        <w:rPr>
          <w:rFonts w:cs="Times New Roman"/>
          <w:bCs/>
          <w:sz w:val="24"/>
          <w:highlight w:val="yellow"/>
        </w:rPr>
      </w:pPr>
      <w:r w:rsidRPr="00576020">
        <w:rPr>
          <w:rFonts w:cs="Times New Roman"/>
          <w:sz w:val="24"/>
        </w:rPr>
        <w:t xml:space="preserve">Następnie dokument jest przyjmowany w formie uchwały przez Komitet Sterujący. Ponadto </w:t>
      </w:r>
      <w:r w:rsidR="00236834" w:rsidRPr="00576020">
        <w:rPr>
          <w:sz w:val="24"/>
        </w:rPr>
        <w:t>zgodnie z </w:t>
      </w:r>
      <w:r w:rsidRPr="00576020">
        <w:rPr>
          <w:sz w:val="24"/>
        </w:rPr>
        <w:t xml:space="preserve">art. 34 ust. 6 oraz 7. Ustawy Wdrożeniowej </w:t>
      </w:r>
      <w:r w:rsidRPr="00576020">
        <w:rPr>
          <w:rFonts w:cs="Times New Roman"/>
          <w:sz w:val="24"/>
        </w:rPr>
        <w:t>Strategia ZIT WrOF</w:t>
      </w:r>
      <w:r w:rsidR="00806FE4" w:rsidRPr="00576020">
        <w:rPr>
          <w:rFonts w:cs="Times New Roman"/>
          <w:sz w:val="24"/>
        </w:rPr>
        <w:t xml:space="preserve"> </w:t>
      </w:r>
      <w:r w:rsidRPr="00576020">
        <w:rPr>
          <w:rFonts w:cs="Times New Roman"/>
          <w:bCs/>
          <w:sz w:val="24"/>
        </w:rPr>
        <w:t xml:space="preserve">2021-2027 podlega opiniowaniu przez </w:t>
      </w:r>
      <w:r w:rsidRPr="00576020">
        <w:rPr>
          <w:sz w:val="24"/>
        </w:rPr>
        <w:t>właściwą instytucję zarządzającą programem</w:t>
      </w:r>
      <w:r w:rsidRPr="00576020">
        <w:rPr>
          <w:rFonts w:cs="Times New Roman"/>
          <w:bCs/>
          <w:sz w:val="24"/>
        </w:rPr>
        <w:t xml:space="preserve"> oraz  </w:t>
      </w:r>
      <w:r w:rsidRPr="00576020">
        <w:rPr>
          <w:sz w:val="24"/>
        </w:rPr>
        <w:t xml:space="preserve">Ministra właściwego do spraw rozwoju regionalnego w terminie 60 dni od dnia jej otrzymania. </w:t>
      </w:r>
      <w:r w:rsidRPr="00576020">
        <w:rPr>
          <w:rFonts w:cs="Times New Roman"/>
          <w:sz w:val="24"/>
        </w:rPr>
        <w:t xml:space="preserve">Pozytywne opinie ww. podmiotów są warunkiem realizacji ZIT WrOF. </w:t>
      </w:r>
    </w:p>
    <w:p w:rsidR="008A2F4F" w:rsidRPr="00805954" w:rsidRDefault="008A2F4F" w:rsidP="00576020">
      <w:pPr>
        <w:jc w:val="left"/>
        <w:rPr>
          <w:rFonts w:cs="Times New Roman"/>
        </w:rPr>
      </w:pPr>
      <w:r w:rsidRPr="00576020">
        <w:rPr>
          <w:webHidden/>
          <w:sz w:val="24"/>
        </w:rPr>
        <w:t xml:space="preserve">Aktualizacja dokumentu odbywa się w tym samym trybie, co pierwsze opracowanie strategii i przyjęcie jej przez Związek ZIT. Za aktualizację i wprowadzenie zmian w dokumencie odpowiada Biuro ZIT WrOF, </w:t>
      </w:r>
      <w:r w:rsidRPr="00576020">
        <w:rPr>
          <w:rFonts w:cs="Times New Roman"/>
          <w:sz w:val="24"/>
        </w:rPr>
        <w:t xml:space="preserve">następnie dokument jest opiniowany przez Radę ZIT WrOF oraz zatwierdzany przez Komitet Sterujący w formie uchwały. Aktualizacja dokumentu podlega opiniowaniu przez </w:t>
      </w:r>
      <w:r w:rsidRPr="00576020">
        <w:rPr>
          <w:sz w:val="24"/>
        </w:rPr>
        <w:t>właściwą instytucję zarządzającą programem</w:t>
      </w:r>
      <w:r w:rsidRPr="00576020">
        <w:rPr>
          <w:rFonts w:cs="Times New Roman"/>
          <w:bCs/>
          <w:sz w:val="24"/>
        </w:rPr>
        <w:t xml:space="preserve"> oraz </w:t>
      </w:r>
      <w:r w:rsidRPr="00576020">
        <w:rPr>
          <w:sz w:val="24"/>
        </w:rPr>
        <w:t>Ministra właściwego do spraw rozwoju regionalnego.</w:t>
      </w:r>
    </w:p>
    <w:p w:rsidR="008A2F4F" w:rsidRPr="00576020" w:rsidRDefault="00B76684" w:rsidP="00576020">
      <w:pPr>
        <w:spacing w:before="120" w:after="0"/>
        <w:jc w:val="left"/>
        <w:rPr>
          <w:rFonts w:cstheme="minorHAnsi"/>
          <w:b/>
          <w:color w:val="000000" w:themeColor="text1"/>
          <w:sz w:val="24"/>
        </w:rPr>
      </w:pPr>
      <w:r w:rsidRPr="00576020">
        <w:rPr>
          <w:rFonts w:cstheme="minorHAnsi"/>
          <w:b/>
          <w:color w:val="000000" w:themeColor="text1"/>
          <w:sz w:val="24"/>
        </w:rPr>
        <w:t>Zaangażowanie partnerów z obszaru funkcjonalnego we wdrażanie Strategii ZIT WrOF 2021-2027</w:t>
      </w:r>
    </w:p>
    <w:p w:rsidR="008A2F4F" w:rsidRPr="00576020" w:rsidRDefault="008A2F4F" w:rsidP="00576020">
      <w:pPr>
        <w:spacing w:after="0"/>
        <w:jc w:val="left"/>
        <w:rPr>
          <w:rFonts w:cs="Times New Roman"/>
          <w:bCs/>
          <w:color w:val="000000" w:themeColor="text1"/>
          <w:sz w:val="24"/>
        </w:rPr>
      </w:pPr>
      <w:r w:rsidRPr="00576020">
        <w:rPr>
          <w:rFonts w:cs="Times New Roman"/>
          <w:bCs/>
          <w:color w:val="000000" w:themeColor="text1"/>
          <w:sz w:val="24"/>
        </w:rPr>
        <w:t>Partnerzy z Wrocławskiego obszaru funkcjonalnego, biorą udział we wdrażaniu niniejszej Strategii poprzez aktywne uczestnictwo w pracach Rady ZIT WrOF. Rada ZIT WrOF, reprezentując różne środowiska w tym społeczne, naukowe, środowiskow</w:t>
      </w:r>
      <w:r w:rsidR="00CF1B43" w:rsidRPr="00576020">
        <w:rPr>
          <w:rFonts w:cs="Times New Roman"/>
          <w:bCs/>
          <w:color w:val="000000" w:themeColor="text1"/>
          <w:sz w:val="24"/>
        </w:rPr>
        <w:t>e, pełni funkcję konsultacyjno-</w:t>
      </w:r>
      <w:r w:rsidRPr="00576020">
        <w:rPr>
          <w:rFonts w:cs="Times New Roman"/>
          <w:bCs/>
          <w:color w:val="000000" w:themeColor="text1"/>
          <w:sz w:val="24"/>
        </w:rPr>
        <w:t>opiniodawczą, pracuje zgodnie z regulaminem Rady.</w:t>
      </w:r>
    </w:p>
    <w:p w:rsidR="008A2F4F" w:rsidRPr="00576020" w:rsidRDefault="008A2F4F" w:rsidP="00576020">
      <w:pPr>
        <w:spacing w:after="0"/>
        <w:jc w:val="left"/>
        <w:rPr>
          <w:color w:val="000000" w:themeColor="text1"/>
          <w:sz w:val="24"/>
        </w:rPr>
      </w:pPr>
      <w:r w:rsidRPr="00576020">
        <w:rPr>
          <w:color w:val="000000" w:themeColor="text1"/>
          <w:sz w:val="24"/>
        </w:rPr>
        <w:t>Wśród zadań Rady zgodnie z regulaminem wskazuje się:</w:t>
      </w:r>
    </w:p>
    <w:p w:rsidR="008A2F4F" w:rsidRPr="00576020" w:rsidRDefault="008A2F4F" w:rsidP="00576020">
      <w:pPr>
        <w:pStyle w:val="Akapitzlist"/>
        <w:numPr>
          <w:ilvl w:val="0"/>
          <w:numId w:val="48"/>
        </w:numPr>
        <w:spacing w:after="200"/>
        <w:jc w:val="left"/>
        <w:rPr>
          <w:color w:val="000000" w:themeColor="text1"/>
          <w:sz w:val="24"/>
        </w:rPr>
      </w:pPr>
      <w:r w:rsidRPr="00576020">
        <w:rPr>
          <w:color w:val="000000" w:themeColor="text1"/>
          <w:sz w:val="24"/>
        </w:rPr>
        <w:t>opiniowanie projektu Strategii ZIT WrOF</w:t>
      </w:r>
      <w:r w:rsidR="00806FE4" w:rsidRPr="00576020">
        <w:rPr>
          <w:color w:val="000000" w:themeColor="text1"/>
          <w:sz w:val="24"/>
        </w:rPr>
        <w:t xml:space="preserve"> </w:t>
      </w:r>
      <w:r w:rsidR="00EB3B95" w:rsidRPr="00576020">
        <w:rPr>
          <w:rFonts w:cs="Tahoma"/>
          <w:color w:val="000000" w:themeColor="text1"/>
          <w:sz w:val="24"/>
        </w:rPr>
        <w:t xml:space="preserve">2021-2027 </w:t>
      </w:r>
      <w:r w:rsidRPr="00576020">
        <w:rPr>
          <w:color w:val="000000" w:themeColor="text1"/>
          <w:sz w:val="24"/>
        </w:rPr>
        <w:t>oraz Strategii Rozwoju Ponadlokalnego,</w:t>
      </w:r>
    </w:p>
    <w:p w:rsidR="008A2F4F" w:rsidRPr="00576020" w:rsidRDefault="008A2F4F" w:rsidP="00576020">
      <w:pPr>
        <w:pStyle w:val="Akapitzlist"/>
        <w:numPr>
          <w:ilvl w:val="0"/>
          <w:numId w:val="48"/>
        </w:numPr>
        <w:spacing w:after="200"/>
        <w:jc w:val="left"/>
        <w:rPr>
          <w:color w:val="000000" w:themeColor="text1"/>
          <w:sz w:val="24"/>
        </w:rPr>
      </w:pPr>
      <w:r w:rsidRPr="00576020">
        <w:rPr>
          <w:color w:val="000000" w:themeColor="text1"/>
          <w:sz w:val="24"/>
        </w:rPr>
        <w:t>opiniowanie zmian do Strategii ZIT WrOF</w:t>
      </w:r>
      <w:r w:rsidR="00806FE4" w:rsidRPr="00576020">
        <w:rPr>
          <w:color w:val="000000" w:themeColor="text1"/>
          <w:sz w:val="24"/>
        </w:rPr>
        <w:t xml:space="preserve"> </w:t>
      </w:r>
      <w:r w:rsidR="00EB3B95" w:rsidRPr="00576020">
        <w:rPr>
          <w:rFonts w:cs="Tahoma"/>
          <w:color w:val="000000" w:themeColor="text1"/>
          <w:sz w:val="24"/>
        </w:rPr>
        <w:t xml:space="preserve">2021-2027 </w:t>
      </w:r>
      <w:r w:rsidRPr="00576020">
        <w:rPr>
          <w:color w:val="000000" w:themeColor="text1"/>
          <w:sz w:val="24"/>
        </w:rPr>
        <w:t xml:space="preserve"> oraz Strategii Rozwoju Ponadlokalnego,</w:t>
      </w:r>
    </w:p>
    <w:p w:rsidR="008A2F4F" w:rsidRPr="00576020" w:rsidRDefault="008A2F4F" w:rsidP="00576020">
      <w:pPr>
        <w:pStyle w:val="Akapitzlist"/>
        <w:numPr>
          <w:ilvl w:val="0"/>
          <w:numId w:val="48"/>
        </w:numPr>
        <w:spacing w:after="200"/>
        <w:jc w:val="left"/>
        <w:rPr>
          <w:color w:val="000000" w:themeColor="text1"/>
          <w:sz w:val="24"/>
        </w:rPr>
      </w:pPr>
      <w:r w:rsidRPr="00576020">
        <w:rPr>
          <w:color w:val="000000" w:themeColor="text1"/>
          <w:sz w:val="24"/>
        </w:rPr>
        <w:t>udział w procesie monitorowania postępów wdrażania Strategii ZIT WrOF</w:t>
      </w:r>
      <w:r w:rsidR="00CF1B43" w:rsidRPr="00576020">
        <w:rPr>
          <w:color w:val="000000" w:themeColor="text1"/>
          <w:sz w:val="24"/>
        </w:rPr>
        <w:t xml:space="preserve"> </w:t>
      </w:r>
      <w:r w:rsidR="00CF1B43" w:rsidRPr="00576020">
        <w:rPr>
          <w:rFonts w:cs="Tahoma"/>
          <w:color w:val="000000" w:themeColor="text1"/>
          <w:sz w:val="24"/>
        </w:rPr>
        <w:t xml:space="preserve">2021-2027 </w:t>
      </w:r>
      <w:r w:rsidRPr="00576020">
        <w:rPr>
          <w:color w:val="000000" w:themeColor="text1"/>
          <w:sz w:val="24"/>
        </w:rPr>
        <w:t xml:space="preserve">oraz  Strategii Rozwoju Ponadlokalnego.  </w:t>
      </w:r>
    </w:p>
    <w:p w:rsidR="008A2F4F" w:rsidRPr="00576020" w:rsidRDefault="008A2F4F" w:rsidP="00576020">
      <w:pPr>
        <w:spacing w:after="0"/>
        <w:jc w:val="left"/>
        <w:rPr>
          <w:rFonts w:cs="Times New Roman"/>
          <w:color w:val="000000" w:themeColor="text1"/>
          <w:sz w:val="24"/>
        </w:rPr>
      </w:pPr>
      <w:r w:rsidRPr="00576020">
        <w:rPr>
          <w:color w:val="000000" w:themeColor="text1"/>
          <w:sz w:val="24"/>
        </w:rPr>
        <w:t xml:space="preserve">Rada ZIT WrOF wyraża stanowisko w sprawach należących do jej kompetencji. </w:t>
      </w:r>
      <w:r w:rsidRPr="00576020">
        <w:rPr>
          <w:rFonts w:cs="Times New Roman"/>
          <w:color w:val="000000" w:themeColor="text1"/>
          <w:sz w:val="24"/>
        </w:rPr>
        <w:t xml:space="preserve">Ostateczne stanowisko Rady w sprawie opiniowanych dokumentów zapada zwykłą większością głosów. Za każdym razem </w:t>
      </w:r>
      <w:r w:rsidRPr="00576020">
        <w:rPr>
          <w:rStyle w:val="CharAttribute13"/>
          <w:rFonts w:asciiTheme="minorHAnsi" w:eastAsia="Arial Unicode MS" w:hAnsiTheme="minorHAnsi" w:cs="Times New Roman"/>
          <w:color w:val="000000" w:themeColor="text1"/>
          <w:sz w:val="24"/>
        </w:rPr>
        <w:t>Biuro przedstawia stanowisko Rady członkom Komitetu Sterującego na posiedzeniu, na którym planowane jest omówienie przekazanych do opinii dokumentów.</w:t>
      </w:r>
    </w:p>
    <w:p w:rsidR="008A2F4F" w:rsidRPr="00576020" w:rsidRDefault="008A2F4F" w:rsidP="00576020">
      <w:pPr>
        <w:spacing w:before="120" w:after="0"/>
        <w:jc w:val="left"/>
        <w:rPr>
          <w:color w:val="000000" w:themeColor="text1"/>
          <w:sz w:val="24"/>
        </w:rPr>
      </w:pPr>
      <w:r w:rsidRPr="00576020">
        <w:rPr>
          <w:color w:val="000000" w:themeColor="text1"/>
          <w:sz w:val="24"/>
        </w:rPr>
        <w:t xml:space="preserve">Ponadto obowiązkiem członka Rady ZIT WrOF jest: </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Systematyczny i aktywny udz</w:t>
      </w:r>
      <w:r w:rsidR="00AE1747" w:rsidRPr="00576020">
        <w:rPr>
          <w:color w:val="000000" w:themeColor="text1"/>
          <w:sz w:val="24"/>
        </w:rPr>
        <w:t>iał w spotkaniach Rady ZIT WrOF;</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 xml:space="preserve">Przekazywanie informacji organizacjom </w:t>
      </w:r>
      <w:r w:rsidR="00AE1747" w:rsidRPr="00576020">
        <w:rPr>
          <w:color w:val="000000" w:themeColor="text1"/>
          <w:sz w:val="24"/>
        </w:rPr>
        <w:t>i podmiotom, które reprezentują;</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Konsultowanie swoich stanowisk z właściwymi organizacjami</w:t>
      </w:r>
      <w:r w:rsidR="00AE1747" w:rsidRPr="00576020">
        <w:rPr>
          <w:color w:val="000000" w:themeColor="text1"/>
          <w:sz w:val="24"/>
        </w:rPr>
        <w:t>/podmiotami, które reprezentują;</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Współpraca z innymi członkami Rady ZIT WrOF oraz ins</w:t>
      </w:r>
      <w:r w:rsidR="00AE1747" w:rsidRPr="00576020">
        <w:rPr>
          <w:color w:val="000000" w:themeColor="text1"/>
          <w:sz w:val="24"/>
        </w:rPr>
        <w:t>tytucjami wdrażającymi programy;</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Wspomaganie i branie czynnego udziału w tworzeniu dokumentów programowych oraz zintegrowanych projektach w szczególności udzielanie</w:t>
      </w:r>
      <w:r w:rsidR="00AE1747" w:rsidRPr="00576020">
        <w:rPr>
          <w:color w:val="000000" w:themeColor="text1"/>
          <w:sz w:val="24"/>
        </w:rPr>
        <w:t xml:space="preserve"> porad, sugestii oraz wskazówek;</w:t>
      </w:r>
      <w:r w:rsidRPr="00576020">
        <w:rPr>
          <w:color w:val="000000" w:themeColor="text1"/>
          <w:sz w:val="24"/>
        </w:rPr>
        <w:t xml:space="preserve"> </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Współpraca z pracownikami Biura Zintegrowanych Inwestycji Terytorialnych Wrocła</w:t>
      </w:r>
      <w:r w:rsidR="00AE1747" w:rsidRPr="00576020">
        <w:rPr>
          <w:color w:val="000000" w:themeColor="text1"/>
          <w:sz w:val="24"/>
        </w:rPr>
        <w:t>wskiego Obszaru Funkcjonalnego;</w:t>
      </w:r>
    </w:p>
    <w:p w:rsidR="008A2F4F" w:rsidRPr="00576020" w:rsidRDefault="008A2F4F" w:rsidP="00576020">
      <w:pPr>
        <w:pStyle w:val="Akapitzlist"/>
        <w:numPr>
          <w:ilvl w:val="0"/>
          <w:numId w:val="49"/>
        </w:numPr>
        <w:spacing w:after="0"/>
        <w:jc w:val="left"/>
        <w:rPr>
          <w:color w:val="000000" w:themeColor="text1"/>
          <w:sz w:val="24"/>
        </w:rPr>
      </w:pPr>
      <w:r w:rsidRPr="00576020">
        <w:rPr>
          <w:color w:val="000000" w:themeColor="text1"/>
          <w:sz w:val="24"/>
        </w:rPr>
        <w:t>Inicjowanie i wspomaganie działalności na rzecz społeczności lokalnej w zakr</w:t>
      </w:r>
      <w:r w:rsidR="000E6CDE" w:rsidRPr="00576020">
        <w:rPr>
          <w:color w:val="000000" w:themeColor="text1"/>
          <w:sz w:val="24"/>
        </w:rPr>
        <w:t>esie projektów zintegrowanych.</w:t>
      </w:r>
    </w:p>
    <w:p w:rsidR="00B35164" w:rsidRPr="00576020" w:rsidRDefault="008A2F4F" w:rsidP="00576020">
      <w:pPr>
        <w:spacing w:after="0"/>
        <w:jc w:val="left"/>
        <w:rPr>
          <w:color w:val="000000" w:themeColor="text1"/>
          <w:spacing w:val="-2"/>
          <w:sz w:val="24"/>
        </w:rPr>
      </w:pPr>
      <w:r w:rsidRPr="00576020">
        <w:rPr>
          <w:rFonts w:cs="Times New Roman"/>
          <w:color w:val="000000" w:themeColor="text1"/>
          <w:sz w:val="24"/>
        </w:rPr>
        <w:t>Dodatkowo, przedstawiciele Rady angażowali się w prace nad Strategią ZIT WrOF 2021-2027 poprzez aktywne uczestnictwo w warsztatach i zogn</w:t>
      </w:r>
      <w:r w:rsidR="00AE1747" w:rsidRPr="00576020">
        <w:rPr>
          <w:rFonts w:cs="Times New Roman"/>
          <w:color w:val="000000" w:themeColor="text1"/>
          <w:sz w:val="24"/>
        </w:rPr>
        <w:t>iskowanych wywiadach grupowych. C</w:t>
      </w:r>
      <w:r w:rsidRPr="00576020">
        <w:rPr>
          <w:color w:val="000000" w:themeColor="text1"/>
          <w:spacing w:val="-2"/>
          <w:sz w:val="24"/>
        </w:rPr>
        <w:t>elem spotkań było zdiagnozowanie możliwości rozwoju współpracy instytucji i podmiotów funkcjonujących na terenie WrOF. Zakres poruszanych tematów na warsztatach i podczas wywiadów dotyczył m.in.: gospodarki, infrastruktury i środowiska, kultury, sportu, turystyki oraz spraw społecznych.</w:t>
      </w:r>
    </w:p>
    <w:p w:rsidR="00FA2FFF" w:rsidRPr="00576020" w:rsidRDefault="00FA2FFF" w:rsidP="00576020">
      <w:pPr>
        <w:spacing w:before="120"/>
        <w:jc w:val="left"/>
        <w:rPr>
          <w:rFonts w:cs="Times New Roman"/>
          <w:color w:val="000000" w:themeColor="text1"/>
          <w:sz w:val="24"/>
        </w:rPr>
      </w:pPr>
      <w:r w:rsidRPr="00576020">
        <w:rPr>
          <w:rFonts w:cs="Times New Roman"/>
          <w:color w:val="000000" w:themeColor="text1"/>
          <w:sz w:val="24"/>
        </w:rPr>
        <w:t xml:space="preserve">Partnerzy biorą czynny udział w </w:t>
      </w:r>
      <w:r w:rsidRPr="00576020">
        <w:rPr>
          <w:color w:val="000000" w:themeColor="text1"/>
          <w:sz w:val="24"/>
        </w:rPr>
        <w:t>konsultacjach społecznych Projektu Strategii ZIT WrOF 2021-2027, które mają na celu uzyskanie opinii na temat opracowanego projektu dokumentu</w:t>
      </w:r>
      <w:r w:rsidR="00857609">
        <w:rPr>
          <w:color w:val="000000" w:themeColor="text1"/>
          <w:sz w:val="24"/>
        </w:rPr>
        <w:t>. W </w:t>
      </w:r>
      <w:r w:rsidR="00236834" w:rsidRPr="00576020">
        <w:rPr>
          <w:color w:val="000000" w:themeColor="text1"/>
          <w:sz w:val="24"/>
        </w:rPr>
        <w:t>konsultacje i </w:t>
      </w:r>
      <w:r w:rsidRPr="00576020">
        <w:rPr>
          <w:color w:val="000000" w:themeColor="text1"/>
          <w:sz w:val="24"/>
        </w:rPr>
        <w:t>opiniowanie dokumentu zaangażowany jest szeroki katalog interesariuszy.</w:t>
      </w:r>
      <w:r w:rsidR="00AE1747" w:rsidRPr="00576020">
        <w:rPr>
          <w:color w:val="000000" w:themeColor="text1"/>
          <w:sz w:val="24"/>
        </w:rPr>
        <w:t xml:space="preserve"> </w:t>
      </w:r>
      <w:r w:rsidRPr="00576020">
        <w:rPr>
          <w:color w:val="000000" w:themeColor="text1"/>
          <w:sz w:val="24"/>
        </w:rPr>
        <w:t>Proces konsultacji jest zgodny z zasadą partnerstwa opisaną w art. 8 Rozporządzenia Ogólnego.</w:t>
      </w:r>
    </w:p>
    <w:p w:rsidR="00093544" w:rsidRPr="00576020" w:rsidRDefault="00B76684" w:rsidP="00576020">
      <w:pPr>
        <w:spacing w:before="240" w:after="0"/>
        <w:jc w:val="left"/>
        <w:rPr>
          <w:rFonts w:cstheme="minorHAnsi"/>
          <w:b/>
          <w:color w:val="000000" w:themeColor="text1"/>
          <w:sz w:val="24"/>
        </w:rPr>
      </w:pPr>
      <w:r w:rsidRPr="00576020">
        <w:rPr>
          <w:rFonts w:cstheme="minorHAnsi"/>
          <w:b/>
          <w:color w:val="000000" w:themeColor="text1"/>
          <w:sz w:val="24"/>
        </w:rPr>
        <w:t>Zasady wyboru projektów finansowanych z FEDS 20</w:t>
      </w:r>
      <w:r w:rsidR="00857609">
        <w:rPr>
          <w:rFonts w:cstheme="minorHAnsi"/>
          <w:b/>
          <w:color w:val="000000" w:themeColor="text1"/>
          <w:sz w:val="24"/>
        </w:rPr>
        <w:t xml:space="preserve">21-2027 oraz </w:t>
      </w:r>
      <w:proofErr w:type="spellStart"/>
      <w:r w:rsidR="00857609">
        <w:rPr>
          <w:rFonts w:cstheme="minorHAnsi"/>
          <w:b/>
          <w:color w:val="000000" w:themeColor="text1"/>
          <w:sz w:val="24"/>
        </w:rPr>
        <w:t>FEnIKS</w:t>
      </w:r>
      <w:proofErr w:type="spellEnd"/>
      <w:r w:rsidR="00857609">
        <w:rPr>
          <w:rFonts w:cstheme="minorHAnsi"/>
          <w:b/>
          <w:color w:val="000000" w:themeColor="text1"/>
          <w:sz w:val="24"/>
        </w:rPr>
        <w:t xml:space="preserve"> 2021-2027 w </w:t>
      </w:r>
      <w:r w:rsidRPr="00576020">
        <w:rPr>
          <w:rFonts w:cstheme="minorHAnsi"/>
          <w:b/>
          <w:color w:val="000000" w:themeColor="text1"/>
          <w:sz w:val="24"/>
        </w:rPr>
        <w:t>ramach instrumentu ZIT</w:t>
      </w:r>
    </w:p>
    <w:p w:rsidR="007A686A" w:rsidRPr="00576020" w:rsidRDefault="00C90E7F" w:rsidP="00576020">
      <w:pPr>
        <w:jc w:val="left"/>
        <w:rPr>
          <w:color w:val="000000" w:themeColor="text1"/>
          <w:sz w:val="24"/>
        </w:rPr>
      </w:pPr>
      <w:r w:rsidRPr="00576020">
        <w:rPr>
          <w:color w:val="000000" w:themeColor="text1"/>
          <w:sz w:val="24"/>
        </w:rPr>
        <w:t xml:space="preserve">Zgodnie z założeniami FEDS 2021-2027 oraz </w:t>
      </w:r>
      <w:proofErr w:type="spellStart"/>
      <w:r w:rsidRPr="00576020">
        <w:rPr>
          <w:color w:val="000000" w:themeColor="text1"/>
          <w:sz w:val="24"/>
        </w:rPr>
        <w:t>FEnIKS</w:t>
      </w:r>
      <w:proofErr w:type="spellEnd"/>
      <w:r w:rsidRPr="00576020">
        <w:rPr>
          <w:color w:val="000000" w:themeColor="text1"/>
          <w:sz w:val="24"/>
        </w:rPr>
        <w:t xml:space="preserve"> 2021-2027 w ramach instrumentu ZIT przewiduje się niekonkurencyjny tryb wyboru projektów przeznaczonych do dofinansowania w ramach przyznanych na dany cel alokacji. </w:t>
      </w:r>
    </w:p>
    <w:p w:rsidR="00C90E7F" w:rsidRPr="00576020" w:rsidRDefault="00C90E7F" w:rsidP="00576020">
      <w:pPr>
        <w:spacing w:after="0"/>
        <w:jc w:val="left"/>
        <w:rPr>
          <w:color w:val="000000" w:themeColor="text1"/>
          <w:sz w:val="24"/>
        </w:rPr>
      </w:pPr>
      <w:r w:rsidRPr="00576020">
        <w:rPr>
          <w:color w:val="000000" w:themeColor="text1"/>
          <w:sz w:val="24"/>
        </w:rPr>
        <w:t>W celu identyfikacji projektów rekomendowanych</w:t>
      </w:r>
      <w:r w:rsidR="00AE1747" w:rsidRPr="00576020">
        <w:rPr>
          <w:color w:val="000000" w:themeColor="text1"/>
          <w:sz w:val="24"/>
        </w:rPr>
        <w:t xml:space="preserve"> </w:t>
      </w:r>
      <w:r w:rsidRPr="00576020">
        <w:rPr>
          <w:color w:val="000000" w:themeColor="text1"/>
          <w:sz w:val="24"/>
        </w:rPr>
        <w:t>do dofinansowania w pierwszej kolejności odbył</w:t>
      </w:r>
      <w:r w:rsidR="00F96B67" w:rsidRPr="00576020">
        <w:rPr>
          <w:color w:val="000000" w:themeColor="text1"/>
          <w:sz w:val="24"/>
        </w:rPr>
        <w:t>o</w:t>
      </w:r>
      <w:r w:rsidRPr="00576020">
        <w:rPr>
          <w:color w:val="000000" w:themeColor="text1"/>
          <w:sz w:val="24"/>
        </w:rPr>
        <w:t xml:space="preserve"> się szereg spotkań z przedstawicielami Gmin </w:t>
      </w:r>
      <w:r w:rsidR="00F96B67" w:rsidRPr="00576020">
        <w:rPr>
          <w:color w:val="000000" w:themeColor="text1"/>
          <w:sz w:val="24"/>
        </w:rPr>
        <w:t xml:space="preserve">tworzących </w:t>
      </w:r>
      <w:r w:rsidRPr="00576020">
        <w:rPr>
          <w:color w:val="000000" w:themeColor="text1"/>
          <w:sz w:val="24"/>
        </w:rPr>
        <w:t xml:space="preserve">Związku ZIT WrOF, jak również z członkami Rady ZIT WrOF oraz organami </w:t>
      </w:r>
      <w:r w:rsidR="00857609">
        <w:rPr>
          <w:color w:val="000000" w:themeColor="text1"/>
          <w:sz w:val="24"/>
        </w:rPr>
        <w:t>prowadzącymi szkoły zawodowe (w </w:t>
      </w:r>
      <w:r w:rsidRPr="00576020">
        <w:rPr>
          <w:color w:val="000000" w:themeColor="text1"/>
          <w:sz w:val="24"/>
        </w:rPr>
        <w:t xml:space="preserve">przypadku tych organów prowadzących </w:t>
      </w:r>
      <w:r w:rsidR="009E1D5A" w:rsidRPr="00576020">
        <w:rPr>
          <w:color w:val="000000" w:themeColor="text1"/>
          <w:sz w:val="24"/>
        </w:rPr>
        <w:t xml:space="preserve">dyskutowano o możliwości </w:t>
      </w:r>
      <w:r w:rsidRPr="00576020">
        <w:rPr>
          <w:color w:val="000000" w:themeColor="text1"/>
          <w:sz w:val="24"/>
        </w:rPr>
        <w:t>wsparci</w:t>
      </w:r>
      <w:r w:rsidR="009E1D5A" w:rsidRPr="00576020">
        <w:rPr>
          <w:color w:val="000000" w:themeColor="text1"/>
          <w:sz w:val="24"/>
        </w:rPr>
        <w:t>a</w:t>
      </w:r>
      <w:r w:rsidRPr="00576020">
        <w:rPr>
          <w:color w:val="000000" w:themeColor="text1"/>
          <w:sz w:val="24"/>
        </w:rPr>
        <w:t xml:space="preserve"> w zakresie dofinansowania CP4 EFS+</w:t>
      </w:r>
      <w:r w:rsidR="00236834" w:rsidRPr="00576020">
        <w:rPr>
          <w:color w:val="000000" w:themeColor="text1"/>
          <w:sz w:val="24"/>
        </w:rPr>
        <w:t xml:space="preserve"> Europa o </w:t>
      </w:r>
      <w:r w:rsidRPr="00576020">
        <w:rPr>
          <w:color w:val="000000" w:themeColor="text1"/>
          <w:sz w:val="24"/>
        </w:rPr>
        <w:t xml:space="preserve">silniejszym wymiarze społecznym, bardziej sprzyjająca włączeniu społecznemu i wdrażająca Europejski filar praw socjalnych, Priorytet 8Fundusze Europejskie dla edukacji na Dolnym Śląsku programu FEDS 2021-2027). Po dokładnym omówieniu możliwego wsparcia w zakresie dofinansowania w ramach </w:t>
      </w:r>
      <w:r w:rsidR="00364D77" w:rsidRPr="00576020">
        <w:rPr>
          <w:color w:val="000000" w:themeColor="text1"/>
          <w:sz w:val="24"/>
        </w:rPr>
        <w:t xml:space="preserve">programu FEDS 2021-2027 oraz </w:t>
      </w:r>
      <w:proofErr w:type="spellStart"/>
      <w:r w:rsidR="00364D77" w:rsidRPr="00576020">
        <w:rPr>
          <w:color w:val="000000" w:themeColor="text1"/>
          <w:sz w:val="24"/>
        </w:rPr>
        <w:t>FEn</w:t>
      </w:r>
      <w:r w:rsidRPr="00576020">
        <w:rPr>
          <w:color w:val="000000" w:themeColor="text1"/>
          <w:sz w:val="24"/>
        </w:rPr>
        <w:t>IKS</w:t>
      </w:r>
      <w:proofErr w:type="spellEnd"/>
      <w:r w:rsidRPr="00576020">
        <w:rPr>
          <w:color w:val="000000" w:themeColor="text1"/>
          <w:sz w:val="24"/>
        </w:rPr>
        <w:t xml:space="preserve"> 2021-2027, przekazaniu wszelkich informacji warunkujących wybór projektów, w szczególności:</w:t>
      </w:r>
    </w:p>
    <w:p w:rsidR="00C90E7F" w:rsidRPr="00576020" w:rsidRDefault="00C90E7F" w:rsidP="00576020">
      <w:pPr>
        <w:pStyle w:val="Akapitzlist"/>
        <w:numPr>
          <w:ilvl w:val="0"/>
          <w:numId w:val="48"/>
        </w:numPr>
        <w:spacing w:after="200"/>
        <w:jc w:val="left"/>
        <w:rPr>
          <w:color w:val="000000" w:themeColor="text1"/>
          <w:sz w:val="24"/>
        </w:rPr>
      </w:pPr>
      <w:r w:rsidRPr="00576020">
        <w:rPr>
          <w:color w:val="000000" w:themeColor="text1"/>
          <w:sz w:val="24"/>
        </w:rPr>
        <w:t xml:space="preserve">warunków realizacji projektów, </w:t>
      </w:r>
    </w:p>
    <w:p w:rsidR="00C90E7F" w:rsidRPr="00576020" w:rsidRDefault="00C90E7F" w:rsidP="00576020">
      <w:pPr>
        <w:pStyle w:val="Akapitzlist"/>
        <w:numPr>
          <w:ilvl w:val="0"/>
          <w:numId w:val="48"/>
        </w:numPr>
        <w:spacing w:after="0"/>
        <w:ind w:left="714" w:hanging="357"/>
        <w:jc w:val="left"/>
        <w:rPr>
          <w:color w:val="000000" w:themeColor="text1"/>
          <w:sz w:val="24"/>
        </w:rPr>
      </w:pPr>
      <w:r w:rsidRPr="00576020">
        <w:rPr>
          <w:color w:val="000000" w:themeColor="text1"/>
          <w:sz w:val="24"/>
        </w:rPr>
        <w:t xml:space="preserve">obowiązujących uregulowań (Rozporządzenia KE, UP itp.), </w:t>
      </w:r>
    </w:p>
    <w:p w:rsidR="00C90E7F" w:rsidRPr="00576020" w:rsidRDefault="00C90E7F" w:rsidP="00576020">
      <w:pPr>
        <w:jc w:val="left"/>
        <w:rPr>
          <w:color w:val="000000" w:themeColor="text1"/>
          <w:sz w:val="24"/>
        </w:rPr>
      </w:pPr>
      <w:r w:rsidRPr="00576020">
        <w:rPr>
          <w:color w:val="000000" w:themeColor="text1"/>
          <w:sz w:val="24"/>
        </w:rPr>
        <w:t xml:space="preserve">został przeprowadzony nabór na listy projektów. </w:t>
      </w:r>
      <w:r w:rsidR="00AE1747" w:rsidRPr="00576020">
        <w:rPr>
          <w:color w:val="000000" w:themeColor="text1"/>
          <w:sz w:val="24"/>
        </w:rPr>
        <w:t>W odpowiedzi</w:t>
      </w:r>
      <w:r w:rsidR="002752B3" w:rsidRPr="00576020">
        <w:rPr>
          <w:color w:val="000000" w:themeColor="text1"/>
          <w:sz w:val="24"/>
        </w:rPr>
        <w:t xml:space="preserve"> </w:t>
      </w:r>
      <w:r w:rsidRPr="00576020">
        <w:rPr>
          <w:color w:val="000000" w:themeColor="text1"/>
          <w:sz w:val="24"/>
        </w:rPr>
        <w:t>Gminy ZIT WrOF</w:t>
      </w:r>
      <w:r w:rsidR="002752B3" w:rsidRPr="00576020">
        <w:rPr>
          <w:color w:val="000000" w:themeColor="text1"/>
          <w:sz w:val="24"/>
        </w:rPr>
        <w:t xml:space="preserve"> oraz </w:t>
      </w:r>
      <w:r w:rsidRPr="00576020">
        <w:rPr>
          <w:color w:val="000000" w:themeColor="text1"/>
          <w:sz w:val="24"/>
        </w:rPr>
        <w:t>organy prowadzące zgłaszały projekty rek</w:t>
      </w:r>
      <w:r w:rsidR="002752B3" w:rsidRPr="00576020">
        <w:rPr>
          <w:color w:val="000000" w:themeColor="text1"/>
          <w:sz w:val="24"/>
        </w:rPr>
        <w:t>omendowane do dofinansowania</w:t>
      </w:r>
      <w:r w:rsidRPr="00576020">
        <w:rPr>
          <w:color w:val="000000" w:themeColor="text1"/>
          <w:sz w:val="24"/>
        </w:rPr>
        <w:t xml:space="preserve"> zgodnie warunkami programów</w:t>
      </w:r>
      <w:r w:rsidR="002D259E" w:rsidRPr="00576020">
        <w:rPr>
          <w:color w:val="000000" w:themeColor="text1"/>
          <w:sz w:val="24"/>
        </w:rPr>
        <w:t>.</w:t>
      </w:r>
    </w:p>
    <w:p w:rsidR="00C90E7F" w:rsidRPr="00576020" w:rsidRDefault="00C90E7F" w:rsidP="00576020">
      <w:pPr>
        <w:jc w:val="left"/>
        <w:rPr>
          <w:color w:val="000000" w:themeColor="text1"/>
          <w:sz w:val="24"/>
        </w:rPr>
      </w:pPr>
      <w:r w:rsidRPr="00576020">
        <w:rPr>
          <w:color w:val="000000" w:themeColor="text1"/>
          <w:sz w:val="24"/>
        </w:rPr>
        <w:t>W efekcie zostały stworzone listy projektów rekomendowanych do dofina</w:t>
      </w:r>
      <w:r w:rsidR="00D759EF" w:rsidRPr="00576020">
        <w:rPr>
          <w:color w:val="000000" w:themeColor="text1"/>
          <w:sz w:val="24"/>
        </w:rPr>
        <w:t>n</w:t>
      </w:r>
      <w:r w:rsidRPr="00576020">
        <w:rPr>
          <w:color w:val="000000" w:themeColor="text1"/>
          <w:sz w:val="24"/>
        </w:rPr>
        <w:t xml:space="preserve">sowania </w:t>
      </w:r>
      <w:r w:rsidR="00857609">
        <w:rPr>
          <w:color w:val="000000" w:themeColor="text1"/>
          <w:sz w:val="24"/>
        </w:rPr>
        <w:t>w </w:t>
      </w:r>
      <w:r w:rsidR="00364D77" w:rsidRPr="00576020">
        <w:rPr>
          <w:color w:val="000000" w:themeColor="text1"/>
          <w:sz w:val="24"/>
        </w:rPr>
        <w:t xml:space="preserve">ramach FEDS 2021-2027 oraz </w:t>
      </w:r>
      <w:proofErr w:type="spellStart"/>
      <w:r w:rsidR="00364D77" w:rsidRPr="00576020">
        <w:rPr>
          <w:color w:val="000000" w:themeColor="text1"/>
          <w:sz w:val="24"/>
        </w:rPr>
        <w:t>FEn</w:t>
      </w:r>
      <w:r w:rsidRPr="00576020">
        <w:rPr>
          <w:color w:val="000000" w:themeColor="text1"/>
          <w:sz w:val="24"/>
        </w:rPr>
        <w:t>IKS</w:t>
      </w:r>
      <w:proofErr w:type="spellEnd"/>
      <w:r w:rsidRPr="00576020">
        <w:rPr>
          <w:color w:val="000000" w:themeColor="text1"/>
          <w:sz w:val="24"/>
        </w:rPr>
        <w:t xml:space="preserve"> 2021-2027 z podziałem na cele szczegółowe. Do list projektów podstawowych zostały stworzone również</w:t>
      </w:r>
      <w:r w:rsidR="00857609">
        <w:rPr>
          <w:color w:val="000000" w:themeColor="text1"/>
          <w:sz w:val="24"/>
        </w:rPr>
        <w:t xml:space="preserve"> listy projektów rezerwowych, a </w:t>
      </w:r>
      <w:r w:rsidRPr="00576020">
        <w:rPr>
          <w:color w:val="000000" w:themeColor="text1"/>
          <w:sz w:val="24"/>
        </w:rPr>
        <w:t xml:space="preserve">ponadto w ramach listy projektów programu regionalnego wyszczególnione zostały zadania dotyczące EFRR lub EFS. Wyboru projektów do dofinansowania będzie dokonywać odpowiednia dla danego Programu IZ. Strategia ZIT WrOF wraz z listami projektów uzyskała pozytywną opinię Rady ZIT WrOF, a ponadto </w:t>
      </w:r>
      <w:r w:rsidR="00CE6362" w:rsidRPr="00576020">
        <w:rPr>
          <w:color w:val="000000" w:themeColor="text1"/>
          <w:sz w:val="24"/>
        </w:rPr>
        <w:t>została</w:t>
      </w:r>
      <w:r w:rsidRPr="00576020">
        <w:rPr>
          <w:color w:val="000000" w:themeColor="text1"/>
          <w:sz w:val="24"/>
        </w:rPr>
        <w:t xml:space="preserve"> przyjęta w drodze Uchwały przez Komitet Sterujący ZIT WrOF. Rekomendowane projekty do dofinansowania wskazane są według kolejności podanej na ww. listach do wysokości alokacji przeznaczonej na dany obszar tematyczny.</w:t>
      </w:r>
    </w:p>
    <w:p w:rsidR="00C90E7F" w:rsidRPr="00576020" w:rsidRDefault="00C90E7F" w:rsidP="00576020">
      <w:pPr>
        <w:spacing w:after="0"/>
        <w:jc w:val="left"/>
        <w:rPr>
          <w:color w:val="000000" w:themeColor="text1"/>
          <w:sz w:val="24"/>
        </w:rPr>
      </w:pPr>
      <w:r w:rsidRPr="00576020">
        <w:rPr>
          <w:color w:val="000000" w:themeColor="text1"/>
          <w:sz w:val="24"/>
        </w:rPr>
        <w:t>Z uwagi na</w:t>
      </w:r>
      <w:r w:rsidR="00AE1747" w:rsidRPr="00576020">
        <w:rPr>
          <w:color w:val="000000" w:themeColor="text1"/>
          <w:sz w:val="24"/>
        </w:rPr>
        <w:t xml:space="preserve"> konieczność</w:t>
      </w:r>
      <w:r w:rsidRPr="00576020">
        <w:rPr>
          <w:color w:val="000000" w:themeColor="text1"/>
          <w:sz w:val="24"/>
        </w:rPr>
        <w:t xml:space="preserve"> </w:t>
      </w:r>
      <w:r w:rsidR="002A5957" w:rsidRPr="00576020">
        <w:rPr>
          <w:color w:val="000000" w:themeColor="text1"/>
          <w:sz w:val="24"/>
        </w:rPr>
        <w:t>zapew</w:t>
      </w:r>
      <w:r w:rsidR="00AE1747" w:rsidRPr="00576020">
        <w:rPr>
          <w:color w:val="000000" w:themeColor="text1"/>
          <w:sz w:val="24"/>
        </w:rPr>
        <w:t xml:space="preserve">nienia </w:t>
      </w:r>
      <w:r w:rsidRPr="00576020">
        <w:rPr>
          <w:color w:val="000000" w:themeColor="text1"/>
          <w:sz w:val="24"/>
        </w:rPr>
        <w:t>sprawne</w:t>
      </w:r>
      <w:r w:rsidR="00AE1747" w:rsidRPr="00576020">
        <w:rPr>
          <w:color w:val="000000" w:themeColor="text1"/>
          <w:sz w:val="24"/>
        </w:rPr>
        <w:t>go</w:t>
      </w:r>
      <w:r w:rsidRPr="00576020">
        <w:rPr>
          <w:color w:val="000000" w:themeColor="text1"/>
          <w:sz w:val="24"/>
        </w:rPr>
        <w:t xml:space="preserve"> i szybkie</w:t>
      </w:r>
      <w:r w:rsidR="00AE1747" w:rsidRPr="00576020">
        <w:rPr>
          <w:color w:val="000000" w:themeColor="text1"/>
          <w:sz w:val="24"/>
        </w:rPr>
        <w:t>go</w:t>
      </w:r>
      <w:r w:rsidRPr="00576020">
        <w:rPr>
          <w:color w:val="000000" w:themeColor="text1"/>
          <w:sz w:val="24"/>
        </w:rPr>
        <w:t xml:space="preserve"> wykorzystanie środków UE oraz osiągnięcie zakładanych wskaźników projekty na listach ułożono w oparci</w:t>
      </w:r>
      <w:r w:rsidR="00AE1747" w:rsidRPr="00576020">
        <w:rPr>
          <w:color w:val="000000" w:themeColor="text1"/>
          <w:sz w:val="24"/>
        </w:rPr>
        <w:t>u o poziom zaawansowania prac w </w:t>
      </w:r>
      <w:r w:rsidRPr="00576020">
        <w:rPr>
          <w:color w:val="000000" w:themeColor="text1"/>
          <w:sz w:val="24"/>
        </w:rPr>
        <w:t>projekcie, czyli możliwość jak najwcześniejszego terminu jego realizacji biorąc pod uwagę:</w:t>
      </w:r>
    </w:p>
    <w:p w:rsidR="00C90E7F" w:rsidRPr="00576020" w:rsidRDefault="00C90E7F" w:rsidP="00576020">
      <w:pPr>
        <w:pStyle w:val="Akapitzlist"/>
        <w:numPr>
          <w:ilvl w:val="0"/>
          <w:numId w:val="48"/>
        </w:numPr>
        <w:spacing w:after="200"/>
        <w:jc w:val="left"/>
        <w:rPr>
          <w:color w:val="000000" w:themeColor="text1"/>
          <w:sz w:val="24"/>
        </w:rPr>
      </w:pPr>
      <w:r w:rsidRPr="00576020">
        <w:rPr>
          <w:color w:val="000000" w:themeColor="text1"/>
          <w:sz w:val="24"/>
        </w:rPr>
        <w:t>w pierwszej kolejności: gotowość aplikacyjną projektu</w:t>
      </w:r>
    </w:p>
    <w:p w:rsidR="00C90E7F" w:rsidRPr="00576020" w:rsidRDefault="00C90E7F" w:rsidP="00576020">
      <w:pPr>
        <w:pStyle w:val="Akapitzlist"/>
        <w:numPr>
          <w:ilvl w:val="0"/>
          <w:numId w:val="48"/>
        </w:numPr>
        <w:spacing w:after="200"/>
        <w:jc w:val="left"/>
        <w:rPr>
          <w:color w:val="000000" w:themeColor="text1"/>
          <w:sz w:val="24"/>
        </w:rPr>
      </w:pPr>
      <w:r w:rsidRPr="00576020">
        <w:rPr>
          <w:color w:val="000000" w:themeColor="text1"/>
          <w:sz w:val="24"/>
        </w:rPr>
        <w:t>w drugiej kolejności planowany, deklarowany na etapie przyjmowania Strategii ZIT termin zakończenia rzeczowej realizacji projektu</w:t>
      </w:r>
      <w:r w:rsidRPr="00576020">
        <w:rPr>
          <w:color w:val="000000" w:themeColor="text1"/>
          <w:sz w:val="24"/>
          <w:vertAlign w:val="superscript"/>
        </w:rPr>
        <w:footnoteReference w:id="123"/>
      </w:r>
      <w:r w:rsidRPr="00576020">
        <w:rPr>
          <w:color w:val="000000" w:themeColor="text1"/>
          <w:sz w:val="24"/>
        </w:rPr>
        <w:t>,</w:t>
      </w:r>
    </w:p>
    <w:p w:rsidR="00C90E7F" w:rsidRPr="00576020" w:rsidRDefault="00C90E7F" w:rsidP="00576020">
      <w:pPr>
        <w:pStyle w:val="Akapitzlist"/>
        <w:numPr>
          <w:ilvl w:val="0"/>
          <w:numId w:val="48"/>
        </w:numPr>
        <w:spacing w:after="200"/>
        <w:jc w:val="left"/>
        <w:rPr>
          <w:color w:val="000000" w:themeColor="text1"/>
          <w:sz w:val="24"/>
        </w:rPr>
      </w:pPr>
      <w:r w:rsidRPr="00576020">
        <w:rPr>
          <w:color w:val="000000" w:themeColor="text1"/>
          <w:sz w:val="24"/>
        </w:rPr>
        <w:t>na końcu: planowany termin rozpoczęcia rzeczowej realizacji projektu.</w:t>
      </w:r>
    </w:p>
    <w:p w:rsidR="00241AEE" w:rsidRPr="00576020" w:rsidRDefault="00241AEE" w:rsidP="00576020">
      <w:pPr>
        <w:jc w:val="left"/>
        <w:rPr>
          <w:color w:val="000000" w:themeColor="text1"/>
          <w:sz w:val="24"/>
        </w:rPr>
      </w:pPr>
      <w:r w:rsidRPr="00576020">
        <w:rPr>
          <w:rFonts w:cs="Helv"/>
          <w:color w:val="000000" w:themeColor="text1"/>
          <w:sz w:val="24"/>
        </w:rPr>
        <w:t>W sytuacji pojawienia się wolnych środków w ramach Działania rekomendowany do dofinansowania będzie projekt wskazany na liście rezerwowej wg stopnia zaawansow</w:t>
      </w:r>
      <w:r w:rsidR="00CF1B43" w:rsidRPr="00576020">
        <w:rPr>
          <w:rFonts w:cs="Helv"/>
          <w:color w:val="000000" w:themeColor="text1"/>
          <w:sz w:val="24"/>
        </w:rPr>
        <w:t>ania prac w projekcie. Opinię w </w:t>
      </w:r>
      <w:r w:rsidRPr="00576020">
        <w:rPr>
          <w:rFonts w:cs="Helv"/>
          <w:color w:val="000000" w:themeColor="text1"/>
          <w:sz w:val="24"/>
        </w:rPr>
        <w:t>tej sprawie będzie wydawało Biuro ZIT WrOF.</w:t>
      </w:r>
    </w:p>
    <w:p w:rsidR="00C90E7F" w:rsidRPr="00576020" w:rsidRDefault="00C90E7F" w:rsidP="00576020">
      <w:pPr>
        <w:jc w:val="left"/>
        <w:rPr>
          <w:color w:val="000000" w:themeColor="text1"/>
          <w:sz w:val="24"/>
        </w:rPr>
      </w:pPr>
      <w:r w:rsidRPr="00576020">
        <w:rPr>
          <w:color w:val="000000" w:themeColor="text1"/>
          <w:sz w:val="24"/>
        </w:rPr>
        <w:t>Dopuszcza się także możliwość zwiększenia dofinansowania projektom wybranym do dofinansowania</w:t>
      </w:r>
      <w:r w:rsidR="00CE6362" w:rsidRPr="00576020">
        <w:rPr>
          <w:color w:val="000000" w:themeColor="text1"/>
          <w:sz w:val="24"/>
        </w:rPr>
        <w:t>, np.</w:t>
      </w:r>
      <w:r w:rsidRPr="00576020">
        <w:rPr>
          <w:color w:val="000000" w:themeColor="text1"/>
          <w:sz w:val="24"/>
        </w:rPr>
        <w:t xml:space="preserve"> w sytuacji zwiększenia wartości całkowitej projektów na skutek rozstrzygnięcia procedury przetargowej. </w:t>
      </w:r>
    </w:p>
    <w:p w:rsidR="00C90E7F" w:rsidRPr="00576020" w:rsidRDefault="00C90E7F" w:rsidP="00576020">
      <w:pPr>
        <w:spacing w:before="240"/>
        <w:jc w:val="left"/>
        <w:rPr>
          <w:color w:val="000000" w:themeColor="text1"/>
          <w:sz w:val="24"/>
        </w:rPr>
      </w:pPr>
      <w:r w:rsidRPr="00576020">
        <w:rPr>
          <w:color w:val="000000" w:themeColor="text1"/>
          <w:sz w:val="24"/>
        </w:rPr>
        <w:t>W przypadku projektów dotyczących inwestycji wodno-kanalizacyjnych lista zost</w:t>
      </w:r>
      <w:r w:rsidR="00236834" w:rsidRPr="00576020">
        <w:rPr>
          <w:color w:val="000000" w:themeColor="text1"/>
          <w:sz w:val="24"/>
        </w:rPr>
        <w:t>ała przygotowana w </w:t>
      </w:r>
      <w:r w:rsidRPr="00576020">
        <w:rPr>
          <w:color w:val="000000" w:themeColor="text1"/>
          <w:sz w:val="24"/>
        </w:rPr>
        <w:t>oparciu o zapisy FEDS 2021-2027. W pierwszej kolejności rekomendowane do dofinansowania są projekty realizowane w aglomeracjach od 10 tys. do 15 tys. RLM, następnie w aglomeracjach od 2 tys. do poniżej 10 tys. RLM. Wszystkie projekty muszą wynikać z VI Aktualizacji Krajowego Programu Oczy</w:t>
      </w:r>
      <w:r w:rsidR="00857609">
        <w:rPr>
          <w:color w:val="000000" w:themeColor="text1"/>
          <w:sz w:val="24"/>
        </w:rPr>
        <w:t>szczania Ścieków Komunalnych (z </w:t>
      </w:r>
      <w:r w:rsidRPr="00576020">
        <w:rPr>
          <w:color w:val="000000" w:themeColor="text1"/>
          <w:sz w:val="24"/>
        </w:rPr>
        <w:t>późniejszymi zmianami).</w:t>
      </w:r>
    </w:p>
    <w:p w:rsidR="006E2097" w:rsidRPr="00576020" w:rsidRDefault="006E2097" w:rsidP="00576020">
      <w:pPr>
        <w:jc w:val="left"/>
        <w:rPr>
          <w:color w:val="000000" w:themeColor="text1"/>
          <w:sz w:val="24"/>
        </w:rPr>
      </w:pPr>
      <w:r w:rsidRPr="00576020">
        <w:rPr>
          <w:color w:val="000000" w:themeColor="text1"/>
          <w:sz w:val="24"/>
        </w:rPr>
        <w:t xml:space="preserve">Ponadto zastrzega się, że w przypadku, w którym rekomendowany projekt danego wnioskodawcy zostanie usunięty z listy podstawowej w </w:t>
      </w:r>
      <w:r w:rsidR="00626455" w:rsidRPr="00576020">
        <w:rPr>
          <w:color w:val="000000" w:themeColor="text1"/>
          <w:sz w:val="24"/>
        </w:rPr>
        <w:t>wyniku nie</w:t>
      </w:r>
      <w:r w:rsidRPr="00576020">
        <w:rPr>
          <w:color w:val="000000" w:themeColor="text1"/>
          <w:sz w:val="24"/>
        </w:rPr>
        <w:t>uwzględnienia po negocjacjach z KE zmiany Programu FEDS 2021-2027 zgodnie z potrzebami ZIT</w:t>
      </w:r>
      <w:r w:rsidR="00AE1747" w:rsidRPr="00576020">
        <w:rPr>
          <w:color w:val="000000" w:themeColor="text1"/>
          <w:sz w:val="24"/>
        </w:rPr>
        <w:t>,</w:t>
      </w:r>
      <w:r w:rsidRPr="00576020">
        <w:rPr>
          <w:color w:val="000000" w:themeColor="text1"/>
          <w:sz w:val="24"/>
        </w:rPr>
        <w:t xml:space="preserve"> wówczas wnioskodawca ten ma prawo do zgłoszenia innego projektu do dofinansowania w miejsce powyższego.</w:t>
      </w:r>
    </w:p>
    <w:p w:rsidR="00E25FFB" w:rsidRDefault="001A6486" w:rsidP="00576020">
      <w:pPr>
        <w:jc w:val="left"/>
      </w:pPr>
      <w:r w:rsidRPr="00576020">
        <w:rPr>
          <w:color w:val="000000" w:themeColor="text1"/>
          <w:sz w:val="24"/>
        </w:rPr>
        <w:t xml:space="preserve">Biorąc pod uwagę powyższe zapisy należy </w:t>
      </w:r>
      <w:r w:rsidR="00A41746" w:rsidRPr="00576020">
        <w:rPr>
          <w:color w:val="000000" w:themeColor="text1"/>
          <w:sz w:val="24"/>
        </w:rPr>
        <w:t xml:space="preserve">uznać, że wybór projektów </w:t>
      </w:r>
      <w:r w:rsidR="002A5957" w:rsidRPr="00576020">
        <w:rPr>
          <w:color w:val="000000" w:themeColor="text1"/>
          <w:sz w:val="24"/>
        </w:rPr>
        <w:t>do dofinansowania jest zgodny z </w:t>
      </w:r>
      <w:r w:rsidR="00A41746" w:rsidRPr="00576020">
        <w:rPr>
          <w:color w:val="000000" w:themeColor="text1"/>
          <w:sz w:val="24"/>
        </w:rPr>
        <w:t xml:space="preserve">art. 8 Rozporządzania Ogólnego. </w:t>
      </w:r>
    </w:p>
    <w:p w:rsidR="00506E64" w:rsidRPr="002F3FDC" w:rsidRDefault="00E131BA" w:rsidP="00750A76">
      <w:pPr>
        <w:pStyle w:val="Nagwek2"/>
        <w:spacing w:before="120"/>
      </w:pPr>
      <w:bookmarkStart w:id="180" w:name="_Toc143673236"/>
      <w:r w:rsidRPr="002F3FDC">
        <w:t>V.2</w:t>
      </w:r>
      <w:r w:rsidR="00ED0CA4" w:rsidRPr="002F3FDC">
        <w:t xml:space="preserve"> Monitoring i ewaluacja</w:t>
      </w:r>
      <w:bookmarkEnd w:id="180"/>
    </w:p>
    <w:p w:rsidR="00506E64" w:rsidRPr="009F3EE6" w:rsidRDefault="00E131BA" w:rsidP="00576020">
      <w:pPr>
        <w:pStyle w:val="Nagwek3"/>
      </w:pPr>
      <w:bookmarkStart w:id="181" w:name="_Toc143673237"/>
      <w:r w:rsidRPr="009F3EE6">
        <w:t>V.2</w:t>
      </w:r>
      <w:r w:rsidR="00F04780" w:rsidRPr="009F3EE6">
        <w:t xml:space="preserve">.1 </w:t>
      </w:r>
      <w:r w:rsidR="00506E64" w:rsidRPr="009F3EE6">
        <w:t>Monitoring</w:t>
      </w:r>
      <w:r w:rsidR="004415F0" w:rsidRPr="009F3EE6">
        <w:t xml:space="preserve"> i </w:t>
      </w:r>
      <w:r w:rsidR="004B0E74" w:rsidRPr="009F3EE6">
        <w:t>rezultaty planowanych działań</w:t>
      </w:r>
      <w:bookmarkEnd w:id="181"/>
    </w:p>
    <w:p w:rsidR="00F10467" w:rsidRPr="00576020" w:rsidRDefault="00506E64" w:rsidP="00576020">
      <w:pPr>
        <w:jc w:val="left"/>
        <w:rPr>
          <w:sz w:val="24"/>
        </w:rPr>
      </w:pPr>
      <w:r w:rsidRPr="00576020">
        <w:rPr>
          <w:spacing w:val="2"/>
          <w:sz w:val="24"/>
        </w:rPr>
        <w:t>Monitoring ma na celu</w:t>
      </w:r>
      <w:r w:rsidR="00A74852" w:rsidRPr="00576020">
        <w:rPr>
          <w:spacing w:val="2"/>
          <w:sz w:val="24"/>
        </w:rPr>
        <w:t xml:space="preserve"> zapewnienie prawidłowego i efektywnego wdrażania zaplanowanej</w:t>
      </w:r>
      <w:r w:rsidR="00A74852" w:rsidRPr="00576020">
        <w:rPr>
          <w:spacing w:val="-2"/>
          <w:sz w:val="24"/>
        </w:rPr>
        <w:t xml:space="preserve"> interwencji. Pozwala wykrywać na wczesnym etapie zagrożenia oraz </w:t>
      </w:r>
      <w:r w:rsidR="00EE7594" w:rsidRPr="00576020">
        <w:rPr>
          <w:spacing w:val="-2"/>
          <w:sz w:val="24"/>
        </w:rPr>
        <w:t>ewentualną</w:t>
      </w:r>
      <w:r w:rsidR="00A74852" w:rsidRPr="00576020">
        <w:rPr>
          <w:spacing w:val="-2"/>
          <w:sz w:val="24"/>
        </w:rPr>
        <w:t xml:space="preserve"> konieczność wprowadzenia korekt w dokumencie z uwagi na </w:t>
      </w:r>
      <w:r w:rsidR="00EE7594" w:rsidRPr="00576020">
        <w:rPr>
          <w:spacing w:val="-2"/>
          <w:sz w:val="24"/>
        </w:rPr>
        <w:t xml:space="preserve">zmieniające się uwarunkowania </w:t>
      </w:r>
      <w:r w:rsidR="00225296" w:rsidRPr="00576020">
        <w:rPr>
          <w:spacing w:val="-2"/>
          <w:sz w:val="24"/>
        </w:rPr>
        <w:t>i </w:t>
      </w:r>
      <w:r w:rsidR="00FC5314" w:rsidRPr="00576020">
        <w:rPr>
          <w:spacing w:val="-2"/>
          <w:sz w:val="24"/>
        </w:rPr>
        <w:t>sytuację</w:t>
      </w:r>
      <w:r w:rsidR="009714B2" w:rsidRPr="00576020">
        <w:rPr>
          <w:spacing w:val="-2"/>
          <w:sz w:val="24"/>
        </w:rPr>
        <w:t>,</w:t>
      </w:r>
      <w:r w:rsidR="00FC5314" w:rsidRPr="00576020">
        <w:rPr>
          <w:spacing w:val="-2"/>
          <w:sz w:val="24"/>
        </w:rPr>
        <w:t xml:space="preserve"> zarówno w</w:t>
      </w:r>
      <w:r w:rsidR="0064750E" w:rsidRPr="00576020">
        <w:rPr>
          <w:spacing w:val="-2"/>
          <w:sz w:val="24"/>
        </w:rPr>
        <w:t> </w:t>
      </w:r>
      <w:r w:rsidR="00FC5314" w:rsidRPr="00576020">
        <w:rPr>
          <w:spacing w:val="-2"/>
          <w:sz w:val="24"/>
        </w:rPr>
        <w:t>poszczególnych gminach, j</w:t>
      </w:r>
      <w:r w:rsidR="00F71057" w:rsidRPr="00576020">
        <w:rPr>
          <w:spacing w:val="-2"/>
          <w:sz w:val="24"/>
        </w:rPr>
        <w:t xml:space="preserve">ak i </w:t>
      </w:r>
      <w:r w:rsidR="009714B2" w:rsidRPr="00576020">
        <w:rPr>
          <w:spacing w:val="-2"/>
          <w:sz w:val="24"/>
        </w:rPr>
        <w:t xml:space="preserve">w </w:t>
      </w:r>
      <w:r w:rsidR="00F71057" w:rsidRPr="00576020">
        <w:rPr>
          <w:spacing w:val="-2"/>
          <w:sz w:val="24"/>
        </w:rPr>
        <w:t>województwie, kraju czy na </w:t>
      </w:r>
      <w:r w:rsidR="00FC5314" w:rsidRPr="00576020">
        <w:rPr>
          <w:spacing w:val="-2"/>
          <w:sz w:val="24"/>
        </w:rPr>
        <w:t>świecie</w:t>
      </w:r>
      <w:r w:rsidR="00FC5314" w:rsidRPr="00576020">
        <w:rPr>
          <w:sz w:val="24"/>
        </w:rPr>
        <w:t>. Umożliwia dokonanie</w:t>
      </w:r>
      <w:r w:rsidR="00AE1747" w:rsidRPr="00576020">
        <w:rPr>
          <w:sz w:val="24"/>
        </w:rPr>
        <w:t xml:space="preserve"> </w:t>
      </w:r>
      <w:r w:rsidR="00EE7594" w:rsidRPr="00576020">
        <w:rPr>
          <w:sz w:val="24"/>
        </w:rPr>
        <w:t>modyfik</w:t>
      </w:r>
      <w:r w:rsidR="00F10467" w:rsidRPr="00576020">
        <w:rPr>
          <w:sz w:val="24"/>
        </w:rPr>
        <w:t xml:space="preserve">acji zakresu działań czy zmian </w:t>
      </w:r>
      <w:r w:rsidR="00EE7594" w:rsidRPr="00576020">
        <w:rPr>
          <w:sz w:val="24"/>
        </w:rPr>
        <w:t xml:space="preserve">podmiotów odpowiedzialnych za ich realizację. </w:t>
      </w:r>
      <w:r w:rsidR="00B51CD0" w:rsidRPr="00576020">
        <w:rPr>
          <w:sz w:val="24"/>
        </w:rPr>
        <w:t>W </w:t>
      </w:r>
      <w:r w:rsidR="006C1C05" w:rsidRPr="00576020">
        <w:rPr>
          <w:sz w:val="24"/>
        </w:rPr>
        <w:t>odniesieniu do </w:t>
      </w:r>
      <w:r w:rsidR="00A261E2" w:rsidRPr="00576020">
        <w:rPr>
          <w:sz w:val="24"/>
        </w:rPr>
        <w:t>niniejszego dokumentu, monitoring będzie prowadzony na dwóch poziomach: strategicznym</w:t>
      </w:r>
      <w:r w:rsidR="009714B2" w:rsidRPr="00576020">
        <w:rPr>
          <w:sz w:val="24"/>
        </w:rPr>
        <w:t xml:space="preserve"> </w:t>
      </w:r>
      <w:r w:rsidR="00CF1B43" w:rsidRPr="00576020">
        <w:rPr>
          <w:sz w:val="24"/>
        </w:rPr>
        <w:br/>
      </w:r>
      <w:r w:rsidR="009714B2" w:rsidRPr="00576020">
        <w:rPr>
          <w:sz w:val="24"/>
        </w:rPr>
        <w:t xml:space="preserve">– </w:t>
      </w:r>
      <w:r w:rsidR="00A261E2" w:rsidRPr="00576020">
        <w:rPr>
          <w:sz w:val="24"/>
        </w:rPr>
        <w:t>w</w:t>
      </w:r>
      <w:r w:rsidR="0064750E" w:rsidRPr="00576020">
        <w:rPr>
          <w:sz w:val="24"/>
        </w:rPr>
        <w:t> </w:t>
      </w:r>
      <w:r w:rsidR="00A261E2" w:rsidRPr="00576020">
        <w:rPr>
          <w:sz w:val="24"/>
        </w:rPr>
        <w:t>odniesieniu do planowanych kierunków działań oraz operacyjnym</w:t>
      </w:r>
      <w:r w:rsidR="009714B2" w:rsidRPr="00576020">
        <w:rPr>
          <w:sz w:val="24"/>
        </w:rPr>
        <w:t xml:space="preserve"> – </w:t>
      </w:r>
      <w:r w:rsidR="00A261E2" w:rsidRPr="00576020">
        <w:rPr>
          <w:sz w:val="24"/>
        </w:rPr>
        <w:t>uwzględniając</w:t>
      </w:r>
      <w:r w:rsidR="009714B2" w:rsidRPr="00576020">
        <w:rPr>
          <w:sz w:val="24"/>
        </w:rPr>
        <w:t>ym</w:t>
      </w:r>
      <w:r w:rsidR="00A261E2" w:rsidRPr="00576020">
        <w:rPr>
          <w:sz w:val="24"/>
        </w:rPr>
        <w:t xml:space="preserve"> przedsięwzięcia zintegrowane w ramach instrumentu ZIT. </w:t>
      </w:r>
    </w:p>
    <w:p w:rsidR="00D82730" w:rsidRPr="00576020" w:rsidRDefault="00506E64" w:rsidP="00576020">
      <w:pPr>
        <w:jc w:val="left"/>
        <w:rPr>
          <w:sz w:val="24"/>
        </w:rPr>
      </w:pPr>
      <w:r w:rsidRPr="00576020">
        <w:rPr>
          <w:sz w:val="24"/>
        </w:rPr>
        <w:t>W ramach m</w:t>
      </w:r>
      <w:r w:rsidR="00EE7594" w:rsidRPr="00576020">
        <w:rPr>
          <w:sz w:val="24"/>
        </w:rPr>
        <w:t>onitoringu poziomu strategicznego</w:t>
      </w:r>
      <w:r w:rsidRPr="00576020">
        <w:rPr>
          <w:sz w:val="24"/>
        </w:rPr>
        <w:t xml:space="preserve"> ocenie pod</w:t>
      </w:r>
      <w:r w:rsidR="009714B2" w:rsidRPr="00576020">
        <w:rPr>
          <w:sz w:val="24"/>
        </w:rPr>
        <w:t>legać będzie katalog wskaźników</w:t>
      </w:r>
      <w:r w:rsidRPr="00576020">
        <w:rPr>
          <w:sz w:val="24"/>
        </w:rPr>
        <w:t xml:space="preserve"> przyporządkowanych do posz</w:t>
      </w:r>
      <w:r w:rsidR="00437AD2" w:rsidRPr="00576020">
        <w:rPr>
          <w:sz w:val="24"/>
        </w:rPr>
        <w:t>czególnych kierunków działania.</w:t>
      </w:r>
    </w:p>
    <w:p w:rsidR="00D82730" w:rsidRPr="00576020" w:rsidRDefault="00D82730" w:rsidP="00576020">
      <w:pPr>
        <w:jc w:val="left"/>
        <w:rPr>
          <w:sz w:val="24"/>
        </w:rPr>
      </w:pPr>
      <w:r w:rsidRPr="00576020">
        <w:rPr>
          <w:sz w:val="24"/>
        </w:rPr>
        <w:t>Monitoring prowadzony na poziomie operacyjnym dotyczy</w:t>
      </w:r>
      <w:r w:rsidR="00B51CD0" w:rsidRPr="00576020">
        <w:rPr>
          <w:sz w:val="24"/>
        </w:rPr>
        <w:t>ć będzie wskaźników rezultatu i </w:t>
      </w:r>
      <w:r w:rsidR="002E51B6" w:rsidRPr="00576020">
        <w:rPr>
          <w:sz w:val="24"/>
        </w:rPr>
        <w:t xml:space="preserve">produktów zdefiniowanych w </w:t>
      </w:r>
      <w:r w:rsidR="002C5E34" w:rsidRPr="00576020">
        <w:rPr>
          <w:sz w:val="24"/>
        </w:rPr>
        <w:t>niniejszej</w:t>
      </w:r>
      <w:r w:rsidR="002E51B6" w:rsidRPr="00576020">
        <w:rPr>
          <w:sz w:val="24"/>
        </w:rPr>
        <w:t xml:space="preserve"> Strategii. </w:t>
      </w:r>
    </w:p>
    <w:p w:rsidR="00F674FE" w:rsidRPr="00576020" w:rsidRDefault="00A261E2" w:rsidP="00576020">
      <w:pPr>
        <w:jc w:val="left"/>
        <w:rPr>
          <w:sz w:val="24"/>
        </w:rPr>
      </w:pPr>
      <w:r w:rsidRPr="00576020">
        <w:rPr>
          <w:sz w:val="24"/>
        </w:rPr>
        <w:t>Monitoring jest procesem ciągłym, a analiza wskaźnikow</w:t>
      </w:r>
      <w:r w:rsidR="00857609">
        <w:rPr>
          <w:sz w:val="24"/>
        </w:rPr>
        <w:t>a prowadzona jest minimum raz w </w:t>
      </w:r>
      <w:r w:rsidRPr="00576020">
        <w:rPr>
          <w:sz w:val="24"/>
        </w:rPr>
        <w:t xml:space="preserve">roku. </w:t>
      </w:r>
      <w:r w:rsidR="00B51CD0" w:rsidRPr="00576020">
        <w:rPr>
          <w:sz w:val="24"/>
        </w:rPr>
        <w:t>Jego prowadzenie ma na celu uzyskanie informacji o stopniu realizacji zaplanowanych przedsięwzięć oraz dokonywani</w:t>
      </w:r>
      <w:r w:rsidR="005D01AE" w:rsidRPr="00576020">
        <w:rPr>
          <w:sz w:val="24"/>
        </w:rPr>
        <w:t>e</w:t>
      </w:r>
      <w:r w:rsidR="00B51CD0" w:rsidRPr="00576020">
        <w:rPr>
          <w:sz w:val="24"/>
        </w:rPr>
        <w:t xml:space="preserve"> korekt podczas wdrażania interwencji. </w:t>
      </w:r>
    </w:p>
    <w:p w:rsidR="00F674FE" w:rsidRPr="00576020" w:rsidRDefault="00F674FE" w:rsidP="00576020">
      <w:pPr>
        <w:jc w:val="left"/>
        <w:rPr>
          <w:sz w:val="24"/>
        </w:rPr>
      </w:pPr>
      <w:r w:rsidRPr="00576020">
        <w:rPr>
          <w:sz w:val="24"/>
        </w:rPr>
        <w:t xml:space="preserve">Systematyczny monitoring powinien przyczynić się do zapewnienia stałej kontroli jakości  zarządzania środowiskiem i realizacji Kierunków działań przewidzianych w Strategii ZIT WrOF na lata 2021-2027. Ocena skuteczności przedsięwzięć realizowanych w ramach Kierunków działań określonych w Strategii odbywa się w odniesieniu do potrzeb obszaru ZIT WrOF oraz </w:t>
      </w:r>
      <w:r w:rsidR="00AE1747" w:rsidRPr="00576020">
        <w:rPr>
          <w:sz w:val="24"/>
        </w:rPr>
        <w:t>wpływu zaplanowanych działań na </w:t>
      </w:r>
      <w:r w:rsidRPr="00576020">
        <w:rPr>
          <w:sz w:val="24"/>
        </w:rPr>
        <w:t xml:space="preserve">środowisko przyrodnicze. </w:t>
      </w:r>
    </w:p>
    <w:p w:rsidR="00D56AAA" w:rsidRPr="00576020" w:rsidRDefault="00B51CD0" w:rsidP="00576020">
      <w:pPr>
        <w:jc w:val="left"/>
        <w:rPr>
          <w:sz w:val="24"/>
        </w:rPr>
      </w:pPr>
      <w:r w:rsidRPr="00576020">
        <w:rPr>
          <w:sz w:val="24"/>
        </w:rPr>
        <w:t>Podmiotem odpowiedzialnym za prowadzenie procesu monitorowania (zarówno na poziomie strategicznym</w:t>
      </w:r>
      <w:r w:rsidR="007A7A90" w:rsidRPr="00576020">
        <w:rPr>
          <w:sz w:val="24"/>
        </w:rPr>
        <w:t>,</w:t>
      </w:r>
      <w:r w:rsidRPr="00576020">
        <w:rPr>
          <w:sz w:val="24"/>
        </w:rPr>
        <w:t xml:space="preserve"> jak i operacyjnym) </w:t>
      </w:r>
      <w:r w:rsidR="007A7A90" w:rsidRPr="00576020">
        <w:rPr>
          <w:sz w:val="24"/>
        </w:rPr>
        <w:t xml:space="preserve">jest </w:t>
      </w:r>
      <w:r w:rsidRPr="00576020">
        <w:rPr>
          <w:sz w:val="24"/>
        </w:rPr>
        <w:t>Biuro ZIT WrOF. Podmiot ten odpowiedzialny będzie za zbieranie i gromadzenie w postaci baz danych zmian poszczególnych wskaźnik</w:t>
      </w:r>
      <w:r w:rsidR="00AE1747" w:rsidRPr="00576020">
        <w:rPr>
          <w:sz w:val="24"/>
        </w:rPr>
        <w:t>ów oraz ich analizę ilościową w </w:t>
      </w:r>
      <w:r w:rsidRPr="00576020">
        <w:rPr>
          <w:sz w:val="24"/>
        </w:rPr>
        <w:t>celu identyfikacji postępów i tendencji rozwojowych obszaru.</w:t>
      </w:r>
    </w:p>
    <w:p w:rsidR="00DE0363" w:rsidRDefault="00DE0363" w:rsidP="00DE0363">
      <w:pPr>
        <w:pStyle w:val="nadWrOF"/>
      </w:pPr>
      <w:bookmarkStart w:id="182" w:name="_Toc143606973"/>
      <w:r>
        <w:t xml:space="preserve">Tabela </w:t>
      </w:r>
      <w:r w:rsidR="00C73793">
        <w:fldChar w:fldCharType="begin"/>
      </w:r>
      <w:r>
        <w:instrText xml:space="preserve"> SEQ Tabela \* ARABIC </w:instrText>
      </w:r>
      <w:r w:rsidR="00C73793">
        <w:fldChar w:fldCharType="separate"/>
      </w:r>
      <w:r w:rsidR="00C96A96">
        <w:rPr>
          <w:noProof/>
        </w:rPr>
        <w:t>16</w:t>
      </w:r>
      <w:r w:rsidR="00C73793">
        <w:rPr>
          <w:noProof/>
        </w:rPr>
        <w:fldChar w:fldCharType="end"/>
      </w:r>
      <w:r>
        <w:t xml:space="preserve"> Monitoring Strategii ZIT WrOF</w:t>
      </w:r>
      <w:r w:rsidR="00806FE4">
        <w:t xml:space="preserve"> </w:t>
      </w:r>
      <w:r w:rsidRPr="007B16A1">
        <w:t>2021-2027</w:t>
      </w:r>
      <w:r w:rsidR="00576020">
        <w:t xml:space="preserve"> - </w:t>
      </w:r>
      <w:r w:rsidR="00576020" w:rsidRPr="00576020">
        <w:rPr>
          <w:lang w:eastAsia="pl-PL"/>
        </w:rPr>
        <w:t>FEDS - wykaz planowanych wskaźników do realizacji</w:t>
      </w:r>
      <w:bookmarkEnd w:id="182"/>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FEDS - wykaz planowanych wskaźników do realizacji"/>
        <w:tblDescription w:val="FEDS - wykaz planowanych wskaźników do realizacji"/>
      </w:tblPr>
      <w:tblGrid>
        <w:gridCol w:w="5290"/>
        <w:gridCol w:w="2037"/>
        <w:gridCol w:w="1735"/>
      </w:tblGrid>
      <w:tr w:rsidR="00DE0363" w:rsidRPr="00576020" w:rsidTr="00576020">
        <w:trPr>
          <w:trHeight w:val="397"/>
          <w:tblHeader/>
          <w:jc w:val="center"/>
        </w:trPr>
        <w:tc>
          <w:tcPr>
            <w:tcW w:w="2919"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Wskaźniki produktu</w:t>
            </w:r>
          </w:p>
        </w:tc>
        <w:tc>
          <w:tcPr>
            <w:tcW w:w="1124"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Wartość</w:t>
            </w:r>
          </w:p>
        </w:tc>
        <w:tc>
          <w:tcPr>
            <w:tcW w:w="957"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Jednostka miary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Budynki publiczne o lepszej charakterystyce energetycznej</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9 907,18</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m</w:t>
            </w:r>
            <w:r w:rsidRPr="00576020">
              <w:rPr>
                <w:color w:val="000000"/>
                <w:vertAlign w:val="superscript"/>
              </w:rPr>
              <w:t>2</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Długość nowych lub zmodernizowanych sieci kanalizacyjnych w ramach zbiorowych systemów odprowadzania ścieków</w:t>
            </w:r>
          </w:p>
        </w:tc>
        <w:tc>
          <w:tcPr>
            <w:tcW w:w="1124" w:type="pct"/>
            <w:shd w:val="clear" w:color="auto" w:fill="auto"/>
            <w:noWrap/>
            <w:vAlign w:val="center"/>
            <w:hideMark/>
          </w:tcPr>
          <w:p w:rsidR="002C09DB" w:rsidRPr="00576020" w:rsidRDefault="00B0624D" w:rsidP="00576020">
            <w:pPr>
              <w:spacing w:after="0" w:line="240" w:lineRule="auto"/>
              <w:jc w:val="left"/>
              <w:rPr>
                <w:bCs/>
                <w:color w:val="000000"/>
              </w:rPr>
            </w:pPr>
            <w:r w:rsidRPr="00576020">
              <w:rPr>
                <w:bCs/>
                <w:color w:val="000000"/>
              </w:rPr>
              <w:t>38,17</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km</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dofinansowanych miejsc wychowania przedszkolnego</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297,00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działań informacyjno-promocyjnych o szerokim zasięgu</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dzieci objętych dodatkowymi zajęciami zwiększającymi ich szanse edukacyjne w edukacji przedszkolnej</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866,00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obiektów kulturalnych i turystycznych objętych wsparciem</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10,00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 xml:space="preserve">obiekty kulturalne </w:t>
            </w:r>
            <w:r w:rsidR="00AE1747" w:rsidRPr="00576020">
              <w:rPr>
                <w:color w:val="000000"/>
              </w:rPr>
              <w:br/>
            </w:r>
            <w:r w:rsidRPr="00576020">
              <w:rPr>
                <w:color w:val="000000"/>
              </w:rPr>
              <w:t>i turystyczne</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opracowanych ekspertyz</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5,00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 xml:space="preserve">Liczba osób objętych usługami świadczonymi w społeczności lokalnej </w:t>
            </w:r>
            <w:r w:rsidR="00CF1B43" w:rsidRPr="00576020">
              <w:rPr>
                <w:bCs/>
                <w:color w:val="000000"/>
              </w:rPr>
              <w:br/>
            </w:r>
            <w:r w:rsidRPr="00576020">
              <w:rPr>
                <w:bCs/>
                <w:color w:val="000000"/>
              </w:rPr>
              <w:t>w programie</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295,00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posiedzeń komitetów, sieci grup oraz innych spotkań w celu wymiany doświadczeń z partnerami</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24,00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przedstawicieli kadry szkół i placówek systemu oświaty objętych wsparciem</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30,00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przeprowadzonych ewaluacji</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uczestników form szkoleniowych dla beneficjentów</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361,00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uczestników form szkoleniowych dla instytucji</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43,00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uczniów i słuchaczy szkół i placówek kształcenia zawodowego objętych wsparciem</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975,00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uczniów szkół i placówek kształcenia zawodowego uczestniczących w stażach uczniowskich</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655,00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Liczba wspartych form ochrony przyrody</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14,00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Ludność objęta projektami w ramach strategii zintegrowanego rozwoju terytorialnego</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1 006 202,00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osoby</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Otwarta przestrzeń utworzona lub rekultywowana na obszarach miejskich</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191 232,95</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m</w:t>
            </w:r>
            <w:r w:rsidRPr="00576020">
              <w:rPr>
                <w:color w:val="000000"/>
                <w:vertAlign w:val="superscript"/>
              </w:rPr>
              <w:t>2</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Wspierana infrastruktura rowerowa</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41,93</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km</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Wspierane strategie zintegrowanego rozwoju terytorialnego</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1,00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wkłady na rzecz strategii / szt.</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Wydajność nowo wybudowanych lub zmodernizowanych instalacji oczyszczania ścieków</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25 000,00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RLM</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Zielona infrastruktura wybudowana lub zmodernizowana w celu przystosowania się do zmian klimatu</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7,50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ha</w:t>
            </w:r>
          </w:p>
        </w:tc>
      </w:tr>
      <w:tr w:rsidR="002C09DB" w:rsidRPr="00576020" w:rsidTr="00576020">
        <w:trPr>
          <w:trHeight w:val="20"/>
          <w:jc w:val="center"/>
        </w:trPr>
        <w:tc>
          <w:tcPr>
            <w:tcW w:w="2919" w:type="pct"/>
            <w:shd w:val="clear" w:color="auto" w:fill="auto"/>
            <w:vAlign w:val="center"/>
            <w:hideMark/>
          </w:tcPr>
          <w:p w:rsidR="002C09DB" w:rsidRPr="00576020" w:rsidRDefault="002C09DB" w:rsidP="00576020">
            <w:pPr>
              <w:spacing w:after="0" w:line="240" w:lineRule="auto"/>
              <w:jc w:val="left"/>
              <w:rPr>
                <w:bCs/>
                <w:color w:val="000000"/>
              </w:rPr>
            </w:pPr>
            <w:r w:rsidRPr="00576020">
              <w:rPr>
                <w:bCs/>
                <w:color w:val="000000"/>
              </w:rPr>
              <w:t>Zintegrowane projekty rozwoju terytorialnego</w:t>
            </w:r>
          </w:p>
        </w:tc>
        <w:tc>
          <w:tcPr>
            <w:tcW w:w="1124" w:type="pct"/>
            <w:shd w:val="clear" w:color="auto" w:fill="auto"/>
            <w:noWrap/>
            <w:vAlign w:val="center"/>
            <w:hideMark/>
          </w:tcPr>
          <w:p w:rsidR="002C09DB" w:rsidRPr="00576020" w:rsidRDefault="002C09DB" w:rsidP="00576020">
            <w:pPr>
              <w:spacing w:after="0" w:line="240" w:lineRule="auto"/>
              <w:jc w:val="left"/>
              <w:rPr>
                <w:bCs/>
                <w:color w:val="000000"/>
              </w:rPr>
            </w:pPr>
            <w:r w:rsidRPr="00576020">
              <w:rPr>
                <w:bCs/>
                <w:color w:val="000000"/>
              </w:rPr>
              <w:t>28,00</w:t>
            </w:r>
          </w:p>
        </w:tc>
        <w:tc>
          <w:tcPr>
            <w:tcW w:w="957" w:type="pct"/>
            <w:shd w:val="clear" w:color="auto" w:fill="auto"/>
            <w:vAlign w:val="center"/>
            <w:hideMark/>
          </w:tcPr>
          <w:p w:rsidR="002C09DB" w:rsidRPr="00576020" w:rsidRDefault="002C09DB" w:rsidP="00576020">
            <w:pPr>
              <w:spacing w:after="0" w:line="240" w:lineRule="auto"/>
              <w:jc w:val="left"/>
              <w:rPr>
                <w:color w:val="000000"/>
              </w:rPr>
            </w:pPr>
            <w:r w:rsidRPr="00576020">
              <w:rPr>
                <w:color w:val="000000"/>
              </w:rPr>
              <w:t>szt.</w:t>
            </w:r>
          </w:p>
        </w:tc>
      </w:tr>
      <w:tr w:rsidR="00C43E35" w:rsidRPr="00576020" w:rsidTr="00576020">
        <w:trPr>
          <w:trHeight w:val="397"/>
          <w:jc w:val="center"/>
        </w:trPr>
        <w:tc>
          <w:tcPr>
            <w:tcW w:w="2919" w:type="pct"/>
            <w:shd w:val="clear" w:color="auto" w:fill="F2F2F2" w:themeFill="background1" w:themeFillShade="F2"/>
            <w:vAlign w:val="center"/>
            <w:hideMark/>
          </w:tcPr>
          <w:p w:rsidR="00C43E35" w:rsidRPr="00576020" w:rsidRDefault="00C43E35"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Wskaźniki rezultatu</w:t>
            </w:r>
          </w:p>
        </w:tc>
        <w:tc>
          <w:tcPr>
            <w:tcW w:w="1124" w:type="pct"/>
            <w:shd w:val="clear" w:color="auto" w:fill="F2F2F2" w:themeFill="background1" w:themeFillShade="F2"/>
            <w:vAlign w:val="center"/>
            <w:hideMark/>
          </w:tcPr>
          <w:p w:rsidR="00C43E35" w:rsidRPr="00576020" w:rsidRDefault="00C43E35"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Wartość</w:t>
            </w:r>
          </w:p>
        </w:tc>
        <w:tc>
          <w:tcPr>
            <w:tcW w:w="957" w:type="pct"/>
            <w:shd w:val="clear" w:color="auto" w:fill="F2F2F2" w:themeFill="background1" w:themeFillShade="F2"/>
            <w:vAlign w:val="center"/>
            <w:hideMark/>
          </w:tcPr>
          <w:p w:rsidR="00C43E35" w:rsidRPr="00576020" w:rsidRDefault="00C43E35" w:rsidP="00576020">
            <w:pPr>
              <w:spacing w:after="0" w:line="240" w:lineRule="auto"/>
              <w:jc w:val="left"/>
              <w:rPr>
                <w:rFonts w:eastAsia="Times New Roman" w:cs="Arial"/>
                <w:bCs/>
                <w:color w:val="000000"/>
                <w:lang w:eastAsia="pl-PL"/>
              </w:rPr>
            </w:pPr>
            <w:r w:rsidRPr="00576020">
              <w:rPr>
                <w:rFonts w:eastAsia="Times New Roman" w:cs="Arial"/>
                <w:bCs/>
                <w:color w:val="000000"/>
                <w:lang w:eastAsia="pl-PL"/>
              </w:rPr>
              <w:t>Jednostka miary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 xml:space="preserve">Liczba miejsc wychowania przedszkolnego, które funkcjonują przez </w:t>
            </w:r>
            <w:r w:rsidR="00CF1B43" w:rsidRPr="00576020">
              <w:rPr>
                <w:color w:val="000000"/>
              </w:rPr>
              <w:br/>
            </w:r>
            <w:r w:rsidRPr="00576020">
              <w:rPr>
                <w:color w:val="000000"/>
              </w:rPr>
              <w:t>co najmniej 24 miesiące po zakończeniu projektu</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297,00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osoby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Liczba osób odwiedzających obiekty kulturalne i turystyczne objęte wsparciem</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569 302,00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osoby odwiedzające/rok</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Liczba podmiotów, które rozszerzyły ofertę wsparcia lub podniosły jakość oferowanych usług</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12,00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podmioty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Liczba uczniów, którzy nabyli kompetencje lub umiejętności po opuszczeniu programu</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829,00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osoby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Liczba utworzonych miejsc świadczenia usług w społeczności lokalnej</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223,00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szt.</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Ludność mająca dostęp do nowej lub udoskonalonej zielonej infrastruktury</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755 719,00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osoby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 xml:space="preserve">Ludność przyłączona do zbiorowych systemów oczyszczania ścieków </w:t>
            </w:r>
            <w:r w:rsidR="00CF1B43" w:rsidRPr="00576020">
              <w:rPr>
                <w:color w:val="000000"/>
              </w:rPr>
              <w:br/>
            </w:r>
            <w:r w:rsidRPr="00576020">
              <w:rPr>
                <w:color w:val="000000"/>
              </w:rPr>
              <w:t>co najmniej II stopnia</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19 520,00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osoby</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Powierzchnia wspartych obszarów chronionych</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4,00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ha</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Roczna liczba użytkowników infrastruktury rowerowej</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190 996,00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użytkownicy/rok</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Roczna liczba użytkowników nowego lub zmodernizowanego transportu publicznego</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605 666,00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użytkownicy/rok</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Roczne zużycie energii pierwotnej (w tym: w lokalach mieszkalnych, budynkach publicznych, przedsiębiorstwach, innych)</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1 225,44</w:t>
            </w:r>
          </w:p>
        </w:tc>
        <w:tc>
          <w:tcPr>
            <w:tcW w:w="957" w:type="pct"/>
            <w:shd w:val="clear" w:color="auto" w:fill="auto"/>
            <w:vAlign w:val="center"/>
            <w:hideMark/>
          </w:tcPr>
          <w:p w:rsidR="0024036B" w:rsidRPr="00576020" w:rsidRDefault="0024036B" w:rsidP="00576020">
            <w:pPr>
              <w:spacing w:after="0" w:line="240" w:lineRule="auto"/>
              <w:jc w:val="left"/>
              <w:rPr>
                <w:color w:val="000000"/>
              </w:rPr>
            </w:pPr>
            <w:proofErr w:type="spellStart"/>
            <w:r w:rsidRPr="00576020">
              <w:rPr>
                <w:color w:val="000000"/>
              </w:rPr>
              <w:t>MWh</w:t>
            </w:r>
            <w:proofErr w:type="spellEnd"/>
            <w:r w:rsidRPr="00576020">
              <w:rPr>
                <w:color w:val="000000"/>
              </w:rPr>
              <w:t>/rok</w:t>
            </w:r>
          </w:p>
        </w:tc>
      </w:tr>
      <w:tr w:rsidR="0024036B" w:rsidRPr="00576020" w:rsidTr="00576020">
        <w:trPr>
          <w:trHeight w:val="20"/>
          <w:jc w:val="center"/>
        </w:trPr>
        <w:tc>
          <w:tcPr>
            <w:tcW w:w="2919"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Szacowana emisja gazów cieplarnianych*</w:t>
            </w:r>
          </w:p>
        </w:tc>
        <w:tc>
          <w:tcPr>
            <w:tcW w:w="1124"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3 841,90</w:t>
            </w:r>
          </w:p>
        </w:tc>
        <w:tc>
          <w:tcPr>
            <w:tcW w:w="957" w:type="pct"/>
            <w:shd w:val="clear" w:color="auto" w:fill="auto"/>
            <w:vAlign w:val="center"/>
            <w:hideMark/>
          </w:tcPr>
          <w:p w:rsidR="0024036B" w:rsidRPr="00576020" w:rsidRDefault="0024036B" w:rsidP="00576020">
            <w:pPr>
              <w:spacing w:after="0" w:line="240" w:lineRule="auto"/>
              <w:jc w:val="left"/>
              <w:rPr>
                <w:color w:val="000000"/>
              </w:rPr>
            </w:pPr>
            <w:r w:rsidRPr="00576020">
              <w:rPr>
                <w:color w:val="000000"/>
              </w:rPr>
              <w:t>tony równoważnika CO</w:t>
            </w:r>
            <w:r w:rsidRPr="00576020">
              <w:rPr>
                <w:color w:val="000000"/>
                <w:vertAlign w:val="subscript"/>
              </w:rPr>
              <w:t>2</w:t>
            </w:r>
            <w:r w:rsidRPr="00576020">
              <w:rPr>
                <w:color w:val="000000"/>
              </w:rPr>
              <w:t>/rok</w:t>
            </w:r>
          </w:p>
        </w:tc>
      </w:tr>
    </w:tbl>
    <w:p w:rsidR="00576020" w:rsidRPr="00576020" w:rsidRDefault="00576020" w:rsidP="00576020">
      <w:pPr>
        <w:pStyle w:val="PODWrof"/>
        <w:spacing w:after="0"/>
        <w:rPr>
          <w:i w:val="0"/>
          <w:sz w:val="20"/>
        </w:rPr>
      </w:pPr>
      <w:r w:rsidRPr="00576020">
        <w:rPr>
          <w:rFonts w:cs="Calibri"/>
          <w:i w:val="0"/>
          <w:color w:val="000000"/>
          <w:sz w:val="20"/>
        </w:rPr>
        <w:t>*Wartość wskaźnika ma charakter tymczasowy i będzie podlegał rewizji w ramach przeglądu śródokresowego</w:t>
      </w:r>
    </w:p>
    <w:p w:rsidR="00DE0363" w:rsidRPr="00DE0363" w:rsidRDefault="00DE0363" w:rsidP="00DE0363">
      <w:pPr>
        <w:pStyle w:val="PODWrof"/>
      </w:pPr>
      <w:r w:rsidRPr="007B71EC">
        <w:t>Źródło: opracowanie własne.</w:t>
      </w:r>
    </w:p>
    <w:p w:rsidR="00B51CD0" w:rsidRPr="00ED30DB" w:rsidRDefault="00065ED5" w:rsidP="00576020">
      <w:pPr>
        <w:pStyle w:val="nadWrOF"/>
      </w:pPr>
      <w:bookmarkStart w:id="183" w:name="_Toc143606974"/>
      <w:r>
        <w:t xml:space="preserve">Tabela </w:t>
      </w:r>
      <w:fldSimple w:instr=" SEQ Tabela \* ARABIC ">
        <w:r w:rsidR="00C96A96">
          <w:rPr>
            <w:noProof/>
          </w:rPr>
          <w:t>17</w:t>
        </w:r>
      </w:fldSimple>
      <w:r w:rsidR="00AD45E8">
        <w:t xml:space="preserve"> Moni</w:t>
      </w:r>
      <w:r w:rsidR="00DE0363" w:rsidRPr="00ED30DB">
        <w:t>toring Strategii ZIT WrOF</w:t>
      </w:r>
      <w:r w:rsidR="00806FE4">
        <w:t xml:space="preserve"> </w:t>
      </w:r>
      <w:r w:rsidR="00DE0363" w:rsidRPr="00ED30DB">
        <w:t>2021-2027</w:t>
      </w:r>
      <w:r w:rsidR="00576020">
        <w:t xml:space="preserve"> - </w:t>
      </w:r>
      <w:proofErr w:type="spellStart"/>
      <w:r w:rsidR="00576020" w:rsidRPr="00576020">
        <w:t>FEnIKS</w:t>
      </w:r>
      <w:proofErr w:type="spellEnd"/>
      <w:r w:rsidR="00576020" w:rsidRPr="00576020">
        <w:t xml:space="preserve"> 2021-2027  - wykaz planowanych wskaźników do realizacji</w:t>
      </w:r>
      <w:bookmarkEnd w:id="183"/>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CellMar>
          <w:left w:w="70" w:type="dxa"/>
          <w:right w:w="70" w:type="dxa"/>
        </w:tblCellMar>
        <w:tblLook w:val="04A0" w:firstRow="1" w:lastRow="0" w:firstColumn="1" w:lastColumn="0" w:noHBand="0" w:noVBand="1"/>
        <w:tblCaption w:val="FEnIKS 2021-2027  - wykaz planowanych wskaźników do realizacji"/>
        <w:tblDescription w:val="FEnIKS 2021-2027  - wykaz planowanych wskaźników do realizacji"/>
      </w:tblPr>
      <w:tblGrid>
        <w:gridCol w:w="5827"/>
        <w:gridCol w:w="1258"/>
        <w:gridCol w:w="1977"/>
      </w:tblGrid>
      <w:tr w:rsidR="00DE0363" w:rsidRPr="00576020" w:rsidTr="00576020">
        <w:trPr>
          <w:trHeight w:val="624"/>
        </w:trPr>
        <w:tc>
          <w:tcPr>
            <w:tcW w:w="3215"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bCs/>
                <w:color w:val="000000"/>
                <w:szCs w:val="18"/>
                <w:lang w:eastAsia="pl-PL"/>
              </w:rPr>
            </w:pPr>
            <w:r w:rsidRPr="00576020">
              <w:rPr>
                <w:rFonts w:eastAsia="Times New Roman" w:cs="Arial"/>
                <w:bCs/>
                <w:color w:val="000000"/>
                <w:szCs w:val="18"/>
                <w:lang w:eastAsia="pl-PL"/>
              </w:rPr>
              <w:t>Wskaźniki produktu</w:t>
            </w:r>
          </w:p>
        </w:tc>
        <w:tc>
          <w:tcPr>
            <w:tcW w:w="694"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color w:val="000000"/>
                <w:szCs w:val="18"/>
                <w:lang w:eastAsia="pl-PL"/>
              </w:rPr>
            </w:pPr>
            <w:r w:rsidRPr="00576020">
              <w:rPr>
                <w:rFonts w:eastAsia="Times New Roman" w:cs="Arial"/>
                <w:color w:val="000000"/>
                <w:szCs w:val="18"/>
                <w:lang w:eastAsia="pl-PL"/>
              </w:rPr>
              <w:t>Wartość</w:t>
            </w:r>
          </w:p>
        </w:tc>
        <w:tc>
          <w:tcPr>
            <w:tcW w:w="1091" w:type="pct"/>
            <w:shd w:val="clear" w:color="auto" w:fill="F2F2F2" w:themeFill="background1" w:themeFillShade="F2"/>
            <w:vAlign w:val="center"/>
            <w:hideMark/>
          </w:tcPr>
          <w:p w:rsidR="00DE0363" w:rsidRPr="00576020" w:rsidRDefault="00DE0363" w:rsidP="00576020">
            <w:pPr>
              <w:spacing w:after="0" w:line="240" w:lineRule="auto"/>
              <w:jc w:val="left"/>
              <w:rPr>
                <w:rFonts w:eastAsia="Times New Roman" w:cs="Arial"/>
                <w:color w:val="000000"/>
                <w:szCs w:val="18"/>
                <w:lang w:eastAsia="pl-PL"/>
              </w:rPr>
            </w:pPr>
            <w:r w:rsidRPr="00576020">
              <w:rPr>
                <w:rFonts w:eastAsia="Times New Roman" w:cs="Arial"/>
                <w:color w:val="000000"/>
                <w:szCs w:val="18"/>
                <w:lang w:eastAsia="pl-PL"/>
              </w:rPr>
              <w:t>Jednostka miary</w:t>
            </w:r>
          </w:p>
        </w:tc>
      </w:tr>
      <w:tr w:rsidR="005B6E3E" w:rsidRPr="00576020" w:rsidTr="00576020">
        <w:trPr>
          <w:trHeight w:val="624"/>
        </w:trPr>
        <w:tc>
          <w:tcPr>
            <w:tcW w:w="3215" w:type="pct"/>
            <w:shd w:val="clear" w:color="auto" w:fill="FFFFFF" w:themeFill="background1"/>
            <w:vAlign w:val="center"/>
            <w:hideMark/>
          </w:tcPr>
          <w:p w:rsidR="005B6E3E" w:rsidRPr="00576020" w:rsidRDefault="005B6E3E" w:rsidP="00576020">
            <w:pPr>
              <w:spacing w:after="0" w:line="240" w:lineRule="auto"/>
              <w:jc w:val="left"/>
              <w:rPr>
                <w:rFonts w:ascii="Calibri" w:hAnsi="Calibri" w:cs="Arial"/>
                <w:color w:val="000000"/>
                <w:szCs w:val="18"/>
              </w:rPr>
            </w:pPr>
            <w:proofErr w:type="spellStart"/>
            <w:r w:rsidRPr="00576020">
              <w:rPr>
                <w:rFonts w:ascii="Calibri" w:hAnsi="Calibri" w:cs="Arial"/>
                <w:color w:val="000000"/>
                <w:szCs w:val="18"/>
              </w:rPr>
              <w:t>Pojemnośc</w:t>
            </w:r>
            <w:proofErr w:type="spellEnd"/>
            <w:r w:rsidRPr="00576020">
              <w:rPr>
                <w:rFonts w:ascii="Calibri" w:hAnsi="Calibri" w:cs="Arial"/>
                <w:color w:val="000000"/>
                <w:szCs w:val="18"/>
              </w:rPr>
              <w:t>́ ekologicznego taboru do zbiorowego transportu publicznego</w:t>
            </w:r>
          </w:p>
        </w:tc>
        <w:tc>
          <w:tcPr>
            <w:tcW w:w="694" w:type="pct"/>
            <w:shd w:val="clear" w:color="auto" w:fill="FFFFFF" w:themeFill="background1"/>
            <w:vAlign w:val="center"/>
            <w:hideMark/>
          </w:tcPr>
          <w:p w:rsidR="005B6E3E" w:rsidRPr="00576020" w:rsidRDefault="005B6E3E" w:rsidP="00576020">
            <w:pPr>
              <w:spacing w:after="0" w:line="240" w:lineRule="auto"/>
              <w:jc w:val="left"/>
              <w:rPr>
                <w:rFonts w:ascii="Calibri" w:hAnsi="Calibri" w:cs="Arial"/>
                <w:color w:val="000000"/>
                <w:szCs w:val="18"/>
              </w:rPr>
            </w:pPr>
            <w:r w:rsidRPr="00576020">
              <w:rPr>
                <w:rFonts w:ascii="Calibri" w:hAnsi="Calibri" w:cs="Arial"/>
                <w:color w:val="000000"/>
                <w:szCs w:val="18"/>
              </w:rPr>
              <w:t>7 163,00</w:t>
            </w:r>
          </w:p>
        </w:tc>
        <w:tc>
          <w:tcPr>
            <w:tcW w:w="1091" w:type="pct"/>
            <w:shd w:val="clear" w:color="auto" w:fill="FFFFFF" w:themeFill="background1"/>
            <w:vAlign w:val="center"/>
            <w:hideMark/>
          </w:tcPr>
          <w:p w:rsidR="005B6E3E" w:rsidRPr="00576020" w:rsidRDefault="005B6E3E" w:rsidP="00576020">
            <w:pPr>
              <w:spacing w:after="0" w:line="240" w:lineRule="auto"/>
              <w:jc w:val="left"/>
              <w:rPr>
                <w:rFonts w:ascii="Calibri" w:hAnsi="Calibri" w:cs="Arial"/>
                <w:color w:val="000000"/>
                <w:szCs w:val="18"/>
              </w:rPr>
            </w:pPr>
            <w:r w:rsidRPr="00576020">
              <w:rPr>
                <w:rFonts w:ascii="Calibri" w:hAnsi="Calibri" w:cs="Arial"/>
                <w:color w:val="000000"/>
                <w:szCs w:val="18"/>
              </w:rPr>
              <w:t>osoba</w:t>
            </w:r>
          </w:p>
        </w:tc>
      </w:tr>
      <w:tr w:rsidR="00F45588" w:rsidRPr="00576020" w:rsidTr="00576020">
        <w:trPr>
          <w:trHeight w:val="624"/>
        </w:trPr>
        <w:tc>
          <w:tcPr>
            <w:tcW w:w="3215" w:type="pct"/>
            <w:shd w:val="clear" w:color="auto" w:fill="F2F2F2" w:themeFill="background1" w:themeFillShade="F2"/>
            <w:vAlign w:val="center"/>
            <w:hideMark/>
          </w:tcPr>
          <w:p w:rsidR="00F45588" w:rsidRPr="00576020" w:rsidRDefault="00F45588" w:rsidP="00576020">
            <w:pPr>
              <w:spacing w:after="0" w:line="240" w:lineRule="auto"/>
              <w:jc w:val="left"/>
              <w:rPr>
                <w:rFonts w:eastAsia="Times New Roman" w:cs="Arial"/>
                <w:bCs/>
                <w:color w:val="000000"/>
                <w:szCs w:val="18"/>
                <w:lang w:eastAsia="pl-PL"/>
              </w:rPr>
            </w:pPr>
            <w:r w:rsidRPr="00576020">
              <w:rPr>
                <w:rFonts w:eastAsia="Times New Roman" w:cs="Arial"/>
                <w:bCs/>
                <w:color w:val="000000"/>
                <w:szCs w:val="18"/>
                <w:lang w:eastAsia="pl-PL"/>
              </w:rPr>
              <w:t>Wskaźniki rezultatu</w:t>
            </w:r>
          </w:p>
        </w:tc>
        <w:tc>
          <w:tcPr>
            <w:tcW w:w="694" w:type="pct"/>
            <w:shd w:val="clear" w:color="auto" w:fill="F2F2F2" w:themeFill="background1" w:themeFillShade="F2"/>
            <w:vAlign w:val="center"/>
            <w:hideMark/>
          </w:tcPr>
          <w:p w:rsidR="00F45588" w:rsidRPr="00576020" w:rsidRDefault="00F45588" w:rsidP="00576020">
            <w:pPr>
              <w:spacing w:after="0" w:line="240" w:lineRule="auto"/>
              <w:jc w:val="left"/>
              <w:rPr>
                <w:rFonts w:eastAsia="Times New Roman" w:cs="Arial"/>
                <w:bCs/>
                <w:color w:val="000000"/>
                <w:szCs w:val="18"/>
                <w:lang w:eastAsia="pl-PL"/>
              </w:rPr>
            </w:pPr>
            <w:r w:rsidRPr="00576020">
              <w:rPr>
                <w:rFonts w:eastAsia="Times New Roman" w:cs="Arial"/>
                <w:bCs/>
                <w:color w:val="000000"/>
                <w:szCs w:val="18"/>
                <w:lang w:eastAsia="pl-PL"/>
              </w:rPr>
              <w:t>Wartość</w:t>
            </w:r>
          </w:p>
        </w:tc>
        <w:tc>
          <w:tcPr>
            <w:tcW w:w="1091" w:type="pct"/>
            <w:shd w:val="clear" w:color="auto" w:fill="F2F2F2" w:themeFill="background1" w:themeFillShade="F2"/>
            <w:vAlign w:val="center"/>
            <w:hideMark/>
          </w:tcPr>
          <w:p w:rsidR="00F45588" w:rsidRPr="00576020" w:rsidRDefault="00F45588" w:rsidP="00576020">
            <w:pPr>
              <w:spacing w:after="0" w:line="240" w:lineRule="auto"/>
              <w:jc w:val="left"/>
              <w:rPr>
                <w:rFonts w:eastAsia="Times New Roman" w:cs="Arial"/>
                <w:bCs/>
                <w:color w:val="000000"/>
                <w:szCs w:val="18"/>
                <w:lang w:eastAsia="pl-PL"/>
              </w:rPr>
            </w:pPr>
            <w:r w:rsidRPr="00576020">
              <w:rPr>
                <w:rFonts w:eastAsia="Times New Roman" w:cs="Arial"/>
                <w:bCs/>
                <w:color w:val="000000"/>
                <w:szCs w:val="18"/>
                <w:lang w:eastAsia="pl-PL"/>
              </w:rPr>
              <w:t>Jednostka miary</w:t>
            </w:r>
          </w:p>
        </w:tc>
      </w:tr>
      <w:tr w:rsidR="00E240A3" w:rsidRPr="00576020" w:rsidTr="00576020">
        <w:trPr>
          <w:trHeight w:val="624"/>
        </w:trPr>
        <w:tc>
          <w:tcPr>
            <w:tcW w:w="3215" w:type="pct"/>
            <w:shd w:val="clear" w:color="auto" w:fill="FFFFFF" w:themeFill="background1"/>
            <w:vAlign w:val="center"/>
            <w:hideMark/>
          </w:tcPr>
          <w:p w:rsidR="00E240A3" w:rsidRPr="00576020" w:rsidRDefault="00E240A3" w:rsidP="00576020">
            <w:pPr>
              <w:spacing w:after="0" w:line="240" w:lineRule="auto"/>
              <w:jc w:val="left"/>
              <w:rPr>
                <w:color w:val="000000"/>
                <w:szCs w:val="18"/>
              </w:rPr>
            </w:pPr>
            <w:r w:rsidRPr="00576020">
              <w:rPr>
                <w:color w:val="000000"/>
                <w:szCs w:val="18"/>
              </w:rPr>
              <w:t>Emisja CO</w:t>
            </w:r>
            <w:r w:rsidRPr="00576020">
              <w:rPr>
                <w:color w:val="000000"/>
                <w:szCs w:val="18"/>
                <w:vertAlign w:val="subscript"/>
              </w:rPr>
              <w:t>2</w:t>
            </w:r>
            <w:r w:rsidRPr="00576020">
              <w:rPr>
                <w:color w:val="000000"/>
                <w:szCs w:val="18"/>
              </w:rPr>
              <w:t xml:space="preserve"> w </w:t>
            </w:r>
            <w:r w:rsidRPr="00576020">
              <w:rPr>
                <w:rFonts w:cs="Arial"/>
                <w:color w:val="000000"/>
                <w:szCs w:val="18"/>
              </w:rPr>
              <w:t>transporcie</w:t>
            </w:r>
            <w:r w:rsidRPr="00576020">
              <w:rPr>
                <w:color w:val="000000"/>
                <w:szCs w:val="18"/>
              </w:rPr>
              <w:t xml:space="preserve"> pasażerskim</w:t>
            </w:r>
          </w:p>
        </w:tc>
        <w:tc>
          <w:tcPr>
            <w:tcW w:w="694" w:type="pct"/>
            <w:shd w:val="clear" w:color="auto" w:fill="FFFFFF" w:themeFill="background1"/>
            <w:vAlign w:val="center"/>
            <w:hideMark/>
          </w:tcPr>
          <w:p w:rsidR="00E240A3" w:rsidRPr="00576020" w:rsidRDefault="00E240A3" w:rsidP="00576020">
            <w:pPr>
              <w:spacing w:after="0" w:line="240" w:lineRule="auto"/>
              <w:jc w:val="left"/>
              <w:rPr>
                <w:rFonts w:cs="Arial"/>
                <w:color w:val="000000"/>
                <w:szCs w:val="18"/>
              </w:rPr>
            </w:pPr>
            <w:r w:rsidRPr="00576020">
              <w:rPr>
                <w:rFonts w:cs="Arial"/>
                <w:color w:val="000000"/>
                <w:szCs w:val="18"/>
              </w:rPr>
              <w:t>137,60</w:t>
            </w:r>
          </w:p>
        </w:tc>
        <w:tc>
          <w:tcPr>
            <w:tcW w:w="1091" w:type="pct"/>
            <w:shd w:val="clear" w:color="auto" w:fill="FFFFFF" w:themeFill="background1"/>
            <w:vAlign w:val="center"/>
            <w:hideMark/>
          </w:tcPr>
          <w:p w:rsidR="00E240A3" w:rsidRPr="00576020" w:rsidRDefault="00E240A3" w:rsidP="00576020">
            <w:pPr>
              <w:spacing w:after="0" w:line="240" w:lineRule="auto"/>
              <w:jc w:val="left"/>
              <w:rPr>
                <w:rFonts w:cs="Arial"/>
                <w:color w:val="000000"/>
                <w:szCs w:val="18"/>
              </w:rPr>
            </w:pPr>
            <w:r w:rsidRPr="00576020">
              <w:rPr>
                <w:rFonts w:cs="Arial"/>
                <w:color w:val="000000"/>
                <w:szCs w:val="18"/>
              </w:rPr>
              <w:t>tony ekwiwalentu CO</w:t>
            </w:r>
            <w:r w:rsidRPr="00576020">
              <w:rPr>
                <w:rFonts w:cs="Arial"/>
                <w:color w:val="000000"/>
                <w:szCs w:val="18"/>
                <w:vertAlign w:val="subscript"/>
              </w:rPr>
              <w:t>2</w:t>
            </w:r>
            <w:r w:rsidRPr="00576020">
              <w:rPr>
                <w:rFonts w:cs="Arial"/>
                <w:color w:val="000000"/>
                <w:szCs w:val="18"/>
              </w:rPr>
              <w:t>/rok</w:t>
            </w:r>
          </w:p>
        </w:tc>
      </w:tr>
      <w:tr w:rsidR="00E240A3" w:rsidRPr="00576020" w:rsidTr="00576020">
        <w:trPr>
          <w:trHeight w:val="624"/>
        </w:trPr>
        <w:tc>
          <w:tcPr>
            <w:tcW w:w="3215" w:type="pct"/>
            <w:shd w:val="clear" w:color="auto" w:fill="FFFFFF" w:themeFill="background1"/>
            <w:vAlign w:val="center"/>
          </w:tcPr>
          <w:p w:rsidR="00E240A3" w:rsidRPr="00576020" w:rsidRDefault="00E240A3" w:rsidP="00576020">
            <w:pPr>
              <w:spacing w:after="0" w:line="240" w:lineRule="auto"/>
              <w:jc w:val="left"/>
              <w:rPr>
                <w:color w:val="000000"/>
                <w:szCs w:val="18"/>
              </w:rPr>
            </w:pPr>
            <w:r w:rsidRPr="00576020">
              <w:rPr>
                <w:color w:val="000000"/>
                <w:szCs w:val="18"/>
              </w:rPr>
              <w:t xml:space="preserve">Roczna liczba </w:t>
            </w:r>
            <w:r w:rsidR="006D3080" w:rsidRPr="00576020">
              <w:rPr>
                <w:color w:val="000000"/>
                <w:szCs w:val="18"/>
              </w:rPr>
              <w:t xml:space="preserve">użytkowników </w:t>
            </w:r>
            <w:r w:rsidRPr="00576020">
              <w:rPr>
                <w:color w:val="000000"/>
                <w:szCs w:val="18"/>
              </w:rPr>
              <w:t>nowych lub zmodernizowanych linii tramwajowych i linii metra</w:t>
            </w:r>
          </w:p>
        </w:tc>
        <w:tc>
          <w:tcPr>
            <w:tcW w:w="694" w:type="pct"/>
            <w:shd w:val="clear" w:color="auto" w:fill="FFFFFF" w:themeFill="background1"/>
            <w:vAlign w:val="center"/>
          </w:tcPr>
          <w:p w:rsidR="00E240A3" w:rsidRPr="00576020" w:rsidRDefault="00E240A3" w:rsidP="00576020">
            <w:pPr>
              <w:spacing w:after="0" w:line="240" w:lineRule="auto"/>
              <w:jc w:val="left"/>
              <w:rPr>
                <w:color w:val="000000"/>
                <w:szCs w:val="18"/>
              </w:rPr>
            </w:pPr>
            <w:r w:rsidRPr="00576020">
              <w:rPr>
                <w:color w:val="000000"/>
                <w:szCs w:val="18"/>
              </w:rPr>
              <w:t>2 078 572,00</w:t>
            </w:r>
          </w:p>
        </w:tc>
        <w:tc>
          <w:tcPr>
            <w:tcW w:w="1091" w:type="pct"/>
            <w:shd w:val="clear" w:color="auto" w:fill="FFFFFF" w:themeFill="background1"/>
            <w:vAlign w:val="center"/>
          </w:tcPr>
          <w:p w:rsidR="00E240A3" w:rsidRPr="00576020" w:rsidRDefault="00E240A3" w:rsidP="00576020">
            <w:pPr>
              <w:spacing w:after="0" w:line="240" w:lineRule="auto"/>
              <w:jc w:val="left"/>
              <w:rPr>
                <w:color w:val="000000"/>
                <w:szCs w:val="18"/>
              </w:rPr>
            </w:pPr>
            <w:r w:rsidRPr="00576020">
              <w:rPr>
                <w:color w:val="000000"/>
                <w:szCs w:val="18"/>
              </w:rPr>
              <w:t>użytkownicy/rok</w:t>
            </w:r>
          </w:p>
        </w:tc>
      </w:tr>
    </w:tbl>
    <w:p w:rsidR="00DE0363" w:rsidRPr="007B71EC" w:rsidRDefault="00DE0363" w:rsidP="00DE0363">
      <w:pPr>
        <w:pStyle w:val="PODWrof"/>
      </w:pPr>
      <w:r w:rsidRPr="007B71EC">
        <w:t>Źródło: opracowanie własne.</w:t>
      </w:r>
    </w:p>
    <w:p w:rsidR="00506E64" w:rsidRPr="009F3EE6" w:rsidRDefault="00E131BA" w:rsidP="00576020">
      <w:pPr>
        <w:pStyle w:val="Nagwek3"/>
      </w:pPr>
      <w:bookmarkStart w:id="184" w:name="_Toc143673238"/>
      <w:r w:rsidRPr="009F3EE6">
        <w:t>V.2</w:t>
      </w:r>
      <w:r w:rsidR="00F04780" w:rsidRPr="009F3EE6">
        <w:t xml:space="preserve">.2 </w:t>
      </w:r>
      <w:r w:rsidR="00506E64" w:rsidRPr="009F3EE6">
        <w:t>Ewaluacja</w:t>
      </w:r>
      <w:bookmarkEnd w:id="184"/>
    </w:p>
    <w:p w:rsidR="00104744" w:rsidRPr="00576020" w:rsidRDefault="008B4A2E" w:rsidP="00576020">
      <w:pPr>
        <w:jc w:val="left"/>
        <w:rPr>
          <w:sz w:val="24"/>
        </w:rPr>
      </w:pPr>
      <w:r w:rsidRPr="00576020">
        <w:rPr>
          <w:sz w:val="24"/>
        </w:rPr>
        <w:t xml:space="preserve">Skuteczne wdrażanie zaplanowanych działań możliwe jest dzięki </w:t>
      </w:r>
      <w:r w:rsidR="00A8452E" w:rsidRPr="00576020">
        <w:rPr>
          <w:sz w:val="24"/>
        </w:rPr>
        <w:t>posiadaniu wiedzy na temat postępów związa</w:t>
      </w:r>
      <w:r w:rsidR="00F84863" w:rsidRPr="00576020">
        <w:rPr>
          <w:sz w:val="24"/>
        </w:rPr>
        <w:t xml:space="preserve">nych z realizacją przedsięwzięć. </w:t>
      </w:r>
      <w:r w:rsidR="007070AE" w:rsidRPr="00576020">
        <w:rPr>
          <w:sz w:val="24"/>
        </w:rPr>
        <w:t>Możliwe jest to dzięki konsekwentnie prowadzonemu monitoringowi oraz ewaluacji.</w:t>
      </w:r>
      <w:r w:rsidR="002A5957" w:rsidRPr="00576020">
        <w:rPr>
          <w:sz w:val="24"/>
        </w:rPr>
        <w:t xml:space="preserve"> </w:t>
      </w:r>
      <w:r w:rsidR="00E64D03" w:rsidRPr="00576020">
        <w:rPr>
          <w:sz w:val="24"/>
        </w:rPr>
        <w:t>Ewaluacja</w:t>
      </w:r>
      <w:r w:rsidR="002A5957" w:rsidRPr="00576020">
        <w:rPr>
          <w:sz w:val="24"/>
        </w:rPr>
        <w:t xml:space="preserve"> </w:t>
      </w:r>
      <w:r w:rsidR="00E64D03" w:rsidRPr="00576020">
        <w:rPr>
          <w:sz w:val="24"/>
        </w:rPr>
        <w:t>stanowi</w:t>
      </w:r>
      <w:r w:rsidR="002A5957" w:rsidRPr="00576020">
        <w:rPr>
          <w:sz w:val="24"/>
        </w:rPr>
        <w:t xml:space="preserve"> </w:t>
      </w:r>
      <w:r w:rsidR="007070AE" w:rsidRPr="00576020">
        <w:rPr>
          <w:sz w:val="24"/>
        </w:rPr>
        <w:t>standard w systemie zarządzania polityką spójności</w:t>
      </w:r>
      <w:r w:rsidR="007070AE" w:rsidRPr="00576020">
        <w:rPr>
          <w:rStyle w:val="Odwoanieprzypisudolnego"/>
          <w:sz w:val="24"/>
        </w:rPr>
        <w:footnoteReference w:id="124"/>
      </w:r>
      <w:r w:rsidR="00ED6E21" w:rsidRPr="00576020">
        <w:rPr>
          <w:sz w:val="24"/>
        </w:rPr>
        <w:t>. R</w:t>
      </w:r>
      <w:r w:rsidR="00DB1276" w:rsidRPr="00576020">
        <w:rPr>
          <w:sz w:val="24"/>
        </w:rPr>
        <w:t xml:space="preserve">ealizowana jest w celu oceny jakości i efektywności prowadzonych działań. Jej celem jest nie tylko uzyskanie informacji i wiedzy teoretycznej, ale również poprawa jakości wdrażanej interwencji, która możliwa będzie poprzez aktualizację strategii, zgodnie z wynikiem ewaluacji. </w:t>
      </w:r>
      <w:r w:rsidR="008B5D32" w:rsidRPr="00576020">
        <w:rPr>
          <w:sz w:val="24"/>
        </w:rPr>
        <w:t>Wśród kry</w:t>
      </w:r>
      <w:r w:rsidR="00403ADF" w:rsidRPr="00576020">
        <w:rPr>
          <w:sz w:val="24"/>
        </w:rPr>
        <w:t>teriów ewaluacji wskazuje się w</w:t>
      </w:r>
      <w:r w:rsidR="00857609">
        <w:rPr>
          <w:sz w:val="24"/>
        </w:rPr>
        <w:t> </w:t>
      </w:r>
      <w:r w:rsidR="00403ADF" w:rsidRPr="00576020">
        <w:rPr>
          <w:sz w:val="24"/>
        </w:rPr>
        <w:t>szczególności s</w:t>
      </w:r>
      <w:r w:rsidR="008B5D32" w:rsidRPr="00576020">
        <w:rPr>
          <w:sz w:val="24"/>
        </w:rPr>
        <w:t>kuteczność, efe</w:t>
      </w:r>
      <w:r w:rsidR="00F07BDA" w:rsidRPr="00576020">
        <w:rPr>
          <w:sz w:val="24"/>
        </w:rPr>
        <w:t>kt</w:t>
      </w:r>
      <w:r w:rsidR="00E64D03" w:rsidRPr="00576020">
        <w:rPr>
          <w:sz w:val="24"/>
        </w:rPr>
        <w:t>ywność, użyteczność, trwałość i </w:t>
      </w:r>
      <w:r w:rsidR="00F07BDA" w:rsidRPr="00576020">
        <w:rPr>
          <w:sz w:val="24"/>
        </w:rPr>
        <w:t>t</w:t>
      </w:r>
      <w:r w:rsidR="008B5D32" w:rsidRPr="00576020">
        <w:rPr>
          <w:sz w:val="24"/>
        </w:rPr>
        <w:t>rafność</w:t>
      </w:r>
      <w:r w:rsidR="00F07BDA" w:rsidRPr="00576020">
        <w:rPr>
          <w:sz w:val="24"/>
        </w:rPr>
        <w:t xml:space="preserve">. </w:t>
      </w:r>
      <w:r w:rsidR="003F04AC" w:rsidRPr="00576020">
        <w:rPr>
          <w:sz w:val="24"/>
        </w:rPr>
        <w:t>Rekomenduje się, aby ewaluacja przeprowadzana była w połowie okres</w:t>
      </w:r>
      <w:r w:rsidR="008D4B48" w:rsidRPr="00576020">
        <w:rPr>
          <w:sz w:val="24"/>
        </w:rPr>
        <w:t>u</w:t>
      </w:r>
      <w:r w:rsidR="003F04AC" w:rsidRPr="00576020">
        <w:rPr>
          <w:sz w:val="24"/>
        </w:rPr>
        <w:t xml:space="preserve"> realizacji zapisów strategii</w:t>
      </w:r>
      <w:r w:rsidR="003D5F17" w:rsidRPr="00576020">
        <w:rPr>
          <w:sz w:val="24"/>
        </w:rPr>
        <w:t xml:space="preserve"> (ewaluacja on-going) </w:t>
      </w:r>
      <w:r w:rsidR="003F04AC" w:rsidRPr="00576020">
        <w:rPr>
          <w:sz w:val="24"/>
        </w:rPr>
        <w:t xml:space="preserve">oraz na koniec </w:t>
      </w:r>
      <w:r w:rsidR="00E64D03" w:rsidRPr="00576020">
        <w:rPr>
          <w:sz w:val="24"/>
        </w:rPr>
        <w:t>realizacji jej obowiązywania</w:t>
      </w:r>
      <w:r w:rsidR="0043130F" w:rsidRPr="00576020">
        <w:rPr>
          <w:sz w:val="24"/>
        </w:rPr>
        <w:t>(ewaluacja ex-post), a</w:t>
      </w:r>
      <w:r w:rsidR="00E64D03" w:rsidRPr="00576020">
        <w:rPr>
          <w:sz w:val="24"/>
        </w:rPr>
        <w:t> </w:t>
      </w:r>
      <w:r w:rsidR="0043130F" w:rsidRPr="00576020">
        <w:rPr>
          <w:sz w:val="24"/>
        </w:rPr>
        <w:t>p</w:t>
      </w:r>
      <w:r w:rsidR="008D4B48" w:rsidRPr="00576020">
        <w:rPr>
          <w:sz w:val="24"/>
        </w:rPr>
        <w:t xml:space="preserve">odmiotem </w:t>
      </w:r>
      <w:r w:rsidR="0043130F" w:rsidRPr="00576020">
        <w:rPr>
          <w:sz w:val="24"/>
        </w:rPr>
        <w:t xml:space="preserve">dokonującym ewaluację byli </w:t>
      </w:r>
      <w:r w:rsidR="008D4B48" w:rsidRPr="00576020">
        <w:rPr>
          <w:sz w:val="24"/>
        </w:rPr>
        <w:t xml:space="preserve">zewnętrzni i niezależni eksperci (ewaluacja zewnętrzna). </w:t>
      </w:r>
      <w:r w:rsidR="001B2644" w:rsidRPr="00576020">
        <w:rPr>
          <w:sz w:val="24"/>
        </w:rPr>
        <w:t>Podczas oceny bada się efekty interwencji publicznej,</w:t>
      </w:r>
      <w:r w:rsidR="003D5F17" w:rsidRPr="00576020">
        <w:rPr>
          <w:sz w:val="24"/>
        </w:rPr>
        <w:t xml:space="preserve"> w celu sformułowania wniosków i </w:t>
      </w:r>
      <w:r w:rsidR="00ED6D93" w:rsidRPr="00576020">
        <w:rPr>
          <w:sz w:val="24"/>
        </w:rPr>
        <w:t>rekomendacji, które pozwolą na </w:t>
      </w:r>
      <w:r w:rsidR="001B2644" w:rsidRPr="00576020">
        <w:rPr>
          <w:sz w:val="24"/>
        </w:rPr>
        <w:t xml:space="preserve">podniesienie jakości </w:t>
      </w:r>
      <w:r w:rsidR="00647EFA" w:rsidRPr="00576020">
        <w:rPr>
          <w:sz w:val="24"/>
        </w:rPr>
        <w:t>realizowanej</w:t>
      </w:r>
      <w:r w:rsidR="002A5957" w:rsidRPr="00576020">
        <w:rPr>
          <w:sz w:val="24"/>
        </w:rPr>
        <w:t xml:space="preserve"> </w:t>
      </w:r>
      <w:r w:rsidR="00647EFA" w:rsidRPr="00576020">
        <w:rPr>
          <w:sz w:val="24"/>
        </w:rPr>
        <w:t>interwencji</w:t>
      </w:r>
      <w:r w:rsidR="001B2644" w:rsidRPr="00576020">
        <w:rPr>
          <w:sz w:val="24"/>
        </w:rPr>
        <w:t xml:space="preserve">. </w:t>
      </w:r>
    </w:p>
    <w:p w:rsidR="0095676A" w:rsidRPr="00750A76" w:rsidRDefault="00B76684" w:rsidP="00ED30DB">
      <w:pPr>
        <w:pStyle w:val="Nagwek2"/>
      </w:pPr>
      <w:bookmarkStart w:id="185" w:name="_Toc143673239"/>
      <w:r w:rsidRPr="00750A76">
        <w:t>V.3 Strategiczna ocena oddziaływania na środowisko i konsultacje społeczne</w:t>
      </w:r>
      <w:bookmarkEnd w:id="185"/>
    </w:p>
    <w:p w:rsidR="006E776B" w:rsidRPr="00576020" w:rsidRDefault="006E776B" w:rsidP="00576020">
      <w:pPr>
        <w:spacing w:after="120"/>
        <w:jc w:val="left"/>
        <w:rPr>
          <w:b/>
          <w:sz w:val="24"/>
        </w:rPr>
      </w:pPr>
      <w:r w:rsidRPr="00576020">
        <w:rPr>
          <w:sz w:val="24"/>
        </w:rPr>
        <w:t>Konsultacje mają na celu uzyskanie opinii na temat opracowanego projektu Strategii ZIT WrOF</w:t>
      </w:r>
      <w:r w:rsidRPr="00576020">
        <w:rPr>
          <w:sz w:val="24"/>
        </w:rPr>
        <w:br/>
        <w:t xml:space="preserve">2021-2027. W konsultacje i opiniowanie dokumentu zaangażowany został  szeroki katalog interesariuszy. Proces konsultacji był zgodny z zasadą partnerstwa opisaną w art. 8 Rozporządzenia Ogólnego.  Poniżej opisano szczegółowo proces Strategicznej oceny oddziaływania na środowisko oraz konsultacji społecznych. </w:t>
      </w:r>
    </w:p>
    <w:p w:rsidR="006E776B" w:rsidRPr="00576020" w:rsidRDefault="006E776B" w:rsidP="00576020">
      <w:pPr>
        <w:pStyle w:val="Default"/>
        <w:spacing w:after="120" w:line="360" w:lineRule="auto"/>
        <w:rPr>
          <w:szCs w:val="22"/>
        </w:rPr>
      </w:pPr>
      <w:r w:rsidRPr="00576020">
        <w:rPr>
          <w:szCs w:val="22"/>
        </w:rPr>
        <w:t>Projekt Strategii ZIT WrOF 2021-2027 zgodnie z ustawą z dnia 3 października 2008 r. o</w:t>
      </w:r>
      <w:r w:rsidR="00857609">
        <w:rPr>
          <w:szCs w:val="22"/>
        </w:rPr>
        <w:t> </w:t>
      </w:r>
      <w:r w:rsidRPr="00576020">
        <w:rPr>
          <w:szCs w:val="22"/>
        </w:rPr>
        <w:t xml:space="preserve">udostępnianiu informacji o środowisku i jego ochronie, udziale społeczeństwa w ochronie środowiska oraz ocenach oddziaływania na środowisko, podlega strategicznej ocenie oddziaływania na środowisko (SOOŚ) oraz weryfikacji przez Regionalną Dyrekcję Ochrony Środowiska we Wrocławiu i Dolnośląskiego Państwowego Wojewódzkiego </w:t>
      </w:r>
      <w:r w:rsidRPr="00576020">
        <w:rPr>
          <w:iCs/>
          <w:szCs w:val="22"/>
        </w:rPr>
        <w:t>Inspektora</w:t>
      </w:r>
      <w:r w:rsidRPr="00576020">
        <w:rPr>
          <w:szCs w:val="22"/>
        </w:rPr>
        <w:t xml:space="preserve"> Sanitarnego </w:t>
      </w:r>
      <w:r w:rsidRPr="00576020">
        <w:rPr>
          <w:iCs/>
          <w:szCs w:val="22"/>
        </w:rPr>
        <w:t>we Wrocławiu.</w:t>
      </w:r>
    </w:p>
    <w:p w:rsidR="006E776B" w:rsidRPr="00576020" w:rsidRDefault="006E776B" w:rsidP="00576020">
      <w:pPr>
        <w:autoSpaceDE w:val="0"/>
        <w:autoSpaceDN w:val="0"/>
        <w:adjustRightInd w:val="0"/>
        <w:spacing w:before="120"/>
        <w:jc w:val="left"/>
        <w:rPr>
          <w:rFonts w:cstheme="minorHAnsi"/>
          <w:sz w:val="24"/>
        </w:rPr>
      </w:pPr>
      <w:r w:rsidRPr="00576020">
        <w:rPr>
          <w:rFonts w:cstheme="minorHAnsi"/>
          <w:sz w:val="24"/>
        </w:rPr>
        <w:t>Na podstawie art. 46 ust. 1 pkt 2 dnia 22 listopada 2022 roku wystąpiono do Regionalnego Dyrektora Ochrony Środowiska we Wrocławiu oraz do Dolnośląskiego Państwowego Wojewódzkiego Inspektora Sanitarnego we Wrocławiu o uzgodnienie zakresu i stopnia szczegółowości informacji wymaganych w prognozie oddziaływania na środowisko dla „Strategii Zintegrowanych Inwestycji Terytorialnych Wrocławskiego Obszaru Funkcjonalnego na lata 2021-2027”.</w:t>
      </w:r>
    </w:p>
    <w:p w:rsidR="006E776B" w:rsidRPr="00576020" w:rsidRDefault="006E776B" w:rsidP="00576020">
      <w:pPr>
        <w:pStyle w:val="Default"/>
        <w:spacing w:after="120" w:line="360" w:lineRule="auto"/>
        <w:rPr>
          <w:rFonts w:asciiTheme="minorHAnsi" w:hAnsiTheme="minorHAnsi" w:cstheme="minorHAnsi"/>
          <w:szCs w:val="22"/>
        </w:rPr>
      </w:pPr>
      <w:r w:rsidRPr="00576020">
        <w:rPr>
          <w:rFonts w:asciiTheme="minorHAnsi" w:hAnsiTheme="minorHAnsi" w:cstheme="minorHAnsi"/>
          <w:szCs w:val="22"/>
        </w:rPr>
        <w:t xml:space="preserve">Regionalny Dyrektor Ochrony Środowiska we Wrocławiu uzgodnił zakres pismem </w:t>
      </w:r>
      <w:r w:rsidRPr="00576020">
        <w:rPr>
          <w:rFonts w:asciiTheme="minorHAnsi" w:hAnsiTheme="minorHAnsi" w:cstheme="minorHAnsi"/>
          <w:szCs w:val="22"/>
          <w:lang w:bidi="pl-PL"/>
        </w:rPr>
        <w:t>z dnia 16 grudnia 2022 r.</w:t>
      </w:r>
      <w:r w:rsidR="00AE1747" w:rsidRPr="00576020">
        <w:rPr>
          <w:rFonts w:asciiTheme="minorHAnsi" w:hAnsiTheme="minorHAnsi" w:cstheme="minorHAnsi"/>
          <w:szCs w:val="22"/>
          <w:lang w:bidi="pl-PL"/>
        </w:rPr>
        <w:t xml:space="preserve"> </w:t>
      </w:r>
      <w:r w:rsidRPr="00576020">
        <w:rPr>
          <w:rFonts w:asciiTheme="minorHAnsi" w:hAnsiTheme="minorHAnsi" w:cstheme="minorHAnsi"/>
          <w:szCs w:val="22"/>
          <w:lang w:bidi="pl-PL"/>
        </w:rPr>
        <w:t xml:space="preserve">(znak pisma: </w:t>
      </w:r>
      <w:r w:rsidRPr="00576020">
        <w:rPr>
          <w:rFonts w:asciiTheme="minorHAnsi" w:hAnsiTheme="minorHAnsi" w:cstheme="minorHAnsi"/>
          <w:szCs w:val="22"/>
        </w:rPr>
        <w:t>WSI.411.479.2022.KM</w:t>
      </w:r>
      <w:r w:rsidRPr="00576020">
        <w:rPr>
          <w:rFonts w:asciiTheme="minorHAnsi" w:hAnsiTheme="minorHAnsi" w:cstheme="minorHAnsi"/>
          <w:szCs w:val="22"/>
          <w:lang w:bidi="pl-PL"/>
        </w:rPr>
        <w:t>),</w:t>
      </w:r>
      <w:r w:rsidR="00AE1747" w:rsidRPr="00576020">
        <w:rPr>
          <w:rFonts w:asciiTheme="minorHAnsi" w:hAnsiTheme="minorHAnsi" w:cstheme="minorHAnsi"/>
          <w:szCs w:val="22"/>
          <w:lang w:bidi="pl-PL"/>
        </w:rPr>
        <w:t xml:space="preserve"> </w:t>
      </w:r>
      <w:r w:rsidRPr="00576020">
        <w:rPr>
          <w:rFonts w:asciiTheme="minorHAnsi" w:hAnsiTheme="minorHAnsi" w:cstheme="minorHAnsi"/>
          <w:szCs w:val="22"/>
        </w:rPr>
        <w:t>Dolnośląski Państwowy Wojewódzki Inspektor Sanitarny we Wrocławiu uzgodnił zakres pismem</w:t>
      </w:r>
      <w:r w:rsidRPr="00576020">
        <w:rPr>
          <w:rFonts w:asciiTheme="minorHAnsi" w:hAnsiTheme="minorHAnsi" w:cstheme="minorHAnsi"/>
          <w:szCs w:val="22"/>
          <w:lang w:bidi="pl-PL"/>
        </w:rPr>
        <w:t xml:space="preserve"> z dnia 24 listopada 2022 r. </w:t>
      </w:r>
      <w:r w:rsidRPr="00576020">
        <w:rPr>
          <w:rFonts w:asciiTheme="minorHAnsi" w:hAnsiTheme="minorHAnsi" w:cstheme="minorHAnsi"/>
          <w:szCs w:val="22"/>
        </w:rPr>
        <w:t>(znak pisma: ZNS.9022.4.115.2022.DG).</w:t>
      </w:r>
    </w:p>
    <w:p w:rsidR="006E776B" w:rsidRPr="00576020" w:rsidRDefault="006E776B" w:rsidP="00576020">
      <w:pPr>
        <w:pStyle w:val="Tekstpodstawowy"/>
        <w:spacing w:line="360" w:lineRule="auto"/>
        <w:rPr>
          <w:rFonts w:asciiTheme="minorHAnsi" w:hAnsiTheme="minorHAnsi" w:cstheme="minorHAnsi"/>
          <w:sz w:val="24"/>
        </w:rPr>
      </w:pPr>
      <w:r w:rsidRPr="00576020">
        <w:rPr>
          <w:rFonts w:asciiTheme="minorHAnsi" w:hAnsiTheme="minorHAnsi" w:cstheme="minorHAnsi"/>
          <w:sz w:val="24"/>
        </w:rPr>
        <w:t xml:space="preserve">Pismem z dnia 24 kwietnia 2023 r. Regionalny Dyrektor Ochrony Środowiska we Wrocławiu zaopiniował pozytywnie „Strategię Zintegrowanych Inwestycji Terytorialnych Wrocławskiego Obszaru Funkcjonalnego na lata 2021-2027” wraz z prognozą oddziaływania na środowisko (znak pisma: WSI.410.124.2023. KM). </w:t>
      </w:r>
    </w:p>
    <w:p w:rsidR="006E776B" w:rsidRPr="00576020" w:rsidRDefault="006E776B" w:rsidP="00576020">
      <w:pPr>
        <w:pStyle w:val="Tekstpodstawowy"/>
        <w:spacing w:line="360" w:lineRule="auto"/>
        <w:rPr>
          <w:rFonts w:asciiTheme="minorHAnsi" w:hAnsiTheme="minorHAnsi" w:cstheme="minorHAnsi"/>
          <w:sz w:val="24"/>
        </w:rPr>
      </w:pPr>
      <w:r w:rsidRPr="00576020">
        <w:rPr>
          <w:rFonts w:asciiTheme="minorHAnsi" w:hAnsiTheme="minorHAnsi" w:cstheme="minorHAnsi"/>
          <w:sz w:val="24"/>
        </w:rPr>
        <w:t>Pismem z dnia 3 kwietnia 2023 r. Dolnośląski Państwowy Wo</w:t>
      </w:r>
      <w:r w:rsidR="00AE1747" w:rsidRPr="00576020">
        <w:rPr>
          <w:rFonts w:asciiTheme="minorHAnsi" w:hAnsiTheme="minorHAnsi" w:cstheme="minorHAnsi"/>
          <w:sz w:val="24"/>
        </w:rPr>
        <w:t>jewódzki Inspektor Sanitarny we </w:t>
      </w:r>
      <w:r w:rsidRPr="00576020">
        <w:rPr>
          <w:rFonts w:asciiTheme="minorHAnsi" w:hAnsiTheme="minorHAnsi" w:cstheme="minorHAnsi"/>
          <w:sz w:val="24"/>
        </w:rPr>
        <w:t>Wrocławiu zaopiniował pozytywnie „Strategię Zintegrowanych Inwestycji Terytorialnych Wrocławskiego Obszaru Funkcjonalnego na lata 2021-2027” w</w:t>
      </w:r>
      <w:r w:rsidR="00CF1B43" w:rsidRPr="00576020">
        <w:rPr>
          <w:rFonts w:asciiTheme="minorHAnsi" w:hAnsiTheme="minorHAnsi" w:cstheme="minorHAnsi"/>
          <w:sz w:val="24"/>
        </w:rPr>
        <w:t>raz z prognozą oddziaływania na </w:t>
      </w:r>
      <w:r w:rsidRPr="00576020">
        <w:rPr>
          <w:rFonts w:asciiTheme="minorHAnsi" w:hAnsiTheme="minorHAnsi" w:cstheme="minorHAnsi"/>
          <w:sz w:val="24"/>
        </w:rPr>
        <w:t>środowisko (znak pisma: ZNS.9022.4.21.2023).</w:t>
      </w:r>
    </w:p>
    <w:p w:rsidR="006E776B" w:rsidRPr="00576020" w:rsidRDefault="006E776B" w:rsidP="00576020">
      <w:pPr>
        <w:autoSpaceDE w:val="0"/>
        <w:autoSpaceDN w:val="0"/>
        <w:adjustRightInd w:val="0"/>
        <w:jc w:val="left"/>
        <w:rPr>
          <w:rFonts w:cstheme="minorHAnsi"/>
          <w:sz w:val="24"/>
        </w:rPr>
      </w:pPr>
      <w:r w:rsidRPr="00576020">
        <w:rPr>
          <w:rFonts w:cstheme="minorHAnsi"/>
          <w:sz w:val="24"/>
        </w:rPr>
        <w:t xml:space="preserve">Ponadto zgodnie z art. 30, art. 39 ust 1 i ust 2 oraz art. 40 ustawy </w:t>
      </w:r>
      <w:r w:rsidR="00AE1747" w:rsidRPr="00576020">
        <w:rPr>
          <w:rFonts w:cstheme="minorHAnsi"/>
          <w:sz w:val="24"/>
        </w:rPr>
        <w:t>z dnia 3 października 2008 r. o </w:t>
      </w:r>
      <w:r w:rsidRPr="00576020">
        <w:rPr>
          <w:rFonts w:cstheme="minorHAnsi"/>
          <w:sz w:val="24"/>
        </w:rPr>
        <w:t>udostępnieniu informacji o środowisku i jego ochronie, udziale społeczeństwa w ochronie środowiska oraz o ocenach oddziaływania na środowisko (Dz. U. z 2022 r. poz. 1029 z </w:t>
      </w:r>
      <w:proofErr w:type="spellStart"/>
      <w:r w:rsidRPr="00576020">
        <w:rPr>
          <w:rFonts w:cstheme="minorHAnsi"/>
          <w:sz w:val="24"/>
        </w:rPr>
        <w:t>późn</w:t>
      </w:r>
      <w:proofErr w:type="spellEnd"/>
      <w:r w:rsidRPr="00576020">
        <w:rPr>
          <w:rFonts w:cstheme="minorHAnsi"/>
          <w:sz w:val="24"/>
        </w:rPr>
        <w:t xml:space="preserve">. zm.) Prezydent Wrocławia zawiadomił o możliwości zapoznania się z projektem dokumentu pn. </w:t>
      </w:r>
      <w:r w:rsidRPr="00576020">
        <w:rPr>
          <w:rFonts w:cstheme="minorHAnsi"/>
          <w:i/>
          <w:sz w:val="24"/>
        </w:rPr>
        <w:t>„Strategia Zintegrowanych Inwestycji Terytorialnych Wrocławskiego Obszaru Funkcjonalnego na lata 2021-2027”</w:t>
      </w:r>
      <w:r w:rsidRPr="00576020">
        <w:rPr>
          <w:rFonts w:cstheme="minorHAnsi"/>
          <w:sz w:val="24"/>
        </w:rPr>
        <w:t xml:space="preserve"> wraz z prognozą oddziaływania na środowisko.</w:t>
      </w:r>
    </w:p>
    <w:p w:rsidR="006E776B" w:rsidRPr="00576020" w:rsidRDefault="006E776B" w:rsidP="00576020">
      <w:pPr>
        <w:jc w:val="left"/>
        <w:rPr>
          <w:sz w:val="24"/>
        </w:rPr>
      </w:pPr>
      <w:r w:rsidRPr="00576020">
        <w:rPr>
          <w:sz w:val="24"/>
        </w:rPr>
        <w:t>Celem konsultacji społecznych było zebranie uwag i opinii do projektu dokumentu „Strategia Zintegrowanych Inwestycji Terytorialnych Wrocławskiego Obszaru Funkcjonalnego 2021-20207”</w:t>
      </w:r>
      <w:r w:rsidR="00AE1747" w:rsidRPr="00576020">
        <w:rPr>
          <w:sz w:val="24"/>
        </w:rPr>
        <w:t xml:space="preserve"> </w:t>
      </w:r>
      <w:r w:rsidRPr="00576020">
        <w:rPr>
          <w:sz w:val="24"/>
        </w:rPr>
        <w:t>wraz z Prognozą oddziaływania na środowisko w celu wypracowania ostatecznej wersji dokumentów. Konsultacje skierowane były do mieszkańców gmin Wrocławskiego Obszaru Funkcjonalnego, partnerów społecznych i gospodarczych.</w:t>
      </w:r>
    </w:p>
    <w:p w:rsidR="006E776B" w:rsidRPr="00576020" w:rsidRDefault="006E776B" w:rsidP="00576020">
      <w:pPr>
        <w:jc w:val="left"/>
        <w:rPr>
          <w:iCs/>
          <w:sz w:val="24"/>
        </w:rPr>
      </w:pPr>
      <w:r w:rsidRPr="00576020">
        <w:rPr>
          <w:sz w:val="24"/>
        </w:rPr>
        <w:t xml:space="preserve">W ramach konsultacji społecznych podjęto współpracę z utworzonym w dniu 13 września 2022r. organem doradczym – Rada ZIT WrOF. Jest to organ składający się </w:t>
      </w:r>
      <w:r w:rsidRPr="00576020">
        <w:rPr>
          <w:iCs/>
          <w:sz w:val="24"/>
        </w:rPr>
        <w:t>z przedstawicieli władz regionalnych, lokalnych i miejskich oraz innych instytucji publicznych, partnerów gospodarczych i społecznych, właściwych podmiotów reprezentujących społeczeństwo obywatelskie, takich jak partnerzy działający na rzecz środowiska, organizacji pozarządowych, oraz podmiotów odpowiedzialnych za promowanie włączenia społecznego, praw podstawowych, praw osób z niepełnosprawno</w:t>
      </w:r>
      <w:r w:rsidR="00857609">
        <w:rPr>
          <w:iCs/>
          <w:sz w:val="24"/>
        </w:rPr>
        <w:t>ściami, równouprawnienia płci i </w:t>
      </w:r>
      <w:r w:rsidRPr="00576020">
        <w:rPr>
          <w:iCs/>
          <w:sz w:val="24"/>
        </w:rPr>
        <w:t xml:space="preserve">niedyskryminacji w stosownych przypadkach, jednostki badawcze i uczelnie wyższe. Zadaniem powstałego organu jest opiniowanie dokumentu wraz z monitoringiem jego realizacji. </w:t>
      </w:r>
    </w:p>
    <w:p w:rsidR="006E776B" w:rsidRPr="00576020" w:rsidRDefault="006E776B" w:rsidP="00576020">
      <w:pPr>
        <w:autoSpaceDE w:val="0"/>
        <w:autoSpaceDN w:val="0"/>
        <w:adjustRightInd w:val="0"/>
        <w:jc w:val="left"/>
        <w:rPr>
          <w:rFonts w:cstheme="minorHAnsi"/>
          <w:sz w:val="24"/>
        </w:rPr>
      </w:pPr>
      <w:r w:rsidRPr="00576020">
        <w:rPr>
          <w:rFonts w:cstheme="minorHAnsi"/>
          <w:sz w:val="24"/>
        </w:rPr>
        <w:t xml:space="preserve">Zapoznanie się z treścią dokumentów </w:t>
      </w:r>
      <w:r w:rsidRPr="00576020">
        <w:rPr>
          <w:sz w:val="24"/>
        </w:rPr>
        <w:t xml:space="preserve">tj. projektem Strategii Zintegrowanych Inwestycji Terytorialnych Wrocławskiego Obszaru Funkcjonalnego 2021-2027 oraz Prognozy oddziaływania na środowisko </w:t>
      </w:r>
      <w:r w:rsidRPr="00576020">
        <w:rPr>
          <w:rFonts w:cstheme="minorHAnsi"/>
          <w:sz w:val="24"/>
        </w:rPr>
        <w:t xml:space="preserve">oraz składanie opinii do nich było możliwe w dniach od 28 marca do 18 kwietnia 2023 r. (tj. przez 21 dni). </w:t>
      </w:r>
    </w:p>
    <w:p w:rsidR="006E776B" w:rsidRPr="00576020" w:rsidRDefault="006E776B" w:rsidP="00576020">
      <w:pPr>
        <w:autoSpaceDE w:val="0"/>
        <w:autoSpaceDN w:val="0"/>
        <w:adjustRightInd w:val="0"/>
        <w:spacing w:after="0"/>
        <w:jc w:val="left"/>
        <w:rPr>
          <w:rFonts w:cstheme="minorHAnsi"/>
          <w:sz w:val="24"/>
        </w:rPr>
      </w:pPr>
      <w:r w:rsidRPr="00576020">
        <w:rPr>
          <w:rFonts w:cstheme="minorHAnsi"/>
          <w:sz w:val="24"/>
        </w:rPr>
        <w:t>Opinie do dokumentów można było składać w formie:</w:t>
      </w:r>
    </w:p>
    <w:p w:rsidR="006E776B" w:rsidRPr="00576020" w:rsidRDefault="006E776B" w:rsidP="00576020">
      <w:pPr>
        <w:pStyle w:val="Akapitzlist"/>
        <w:numPr>
          <w:ilvl w:val="0"/>
          <w:numId w:val="48"/>
        </w:numPr>
        <w:spacing w:after="200"/>
        <w:jc w:val="left"/>
        <w:rPr>
          <w:sz w:val="24"/>
        </w:rPr>
      </w:pPr>
      <w:r w:rsidRPr="00576020">
        <w:rPr>
          <w:sz w:val="24"/>
        </w:rPr>
        <w:t>elektronicznej za pomocą formularza,</w:t>
      </w:r>
    </w:p>
    <w:p w:rsidR="006E776B" w:rsidRPr="00576020" w:rsidRDefault="006E776B" w:rsidP="00576020">
      <w:pPr>
        <w:pStyle w:val="Akapitzlist"/>
        <w:numPr>
          <w:ilvl w:val="0"/>
          <w:numId w:val="48"/>
        </w:numPr>
        <w:spacing w:after="200"/>
        <w:jc w:val="left"/>
        <w:rPr>
          <w:sz w:val="24"/>
        </w:rPr>
      </w:pPr>
      <w:r w:rsidRPr="00576020">
        <w:rPr>
          <w:sz w:val="24"/>
        </w:rPr>
        <w:t>pisemnej,</w:t>
      </w:r>
    </w:p>
    <w:p w:rsidR="006E776B" w:rsidRPr="00576020" w:rsidRDefault="006E776B" w:rsidP="00576020">
      <w:pPr>
        <w:pStyle w:val="Akapitzlist"/>
        <w:numPr>
          <w:ilvl w:val="0"/>
          <w:numId w:val="48"/>
        </w:numPr>
        <w:spacing w:after="200"/>
        <w:jc w:val="left"/>
        <w:rPr>
          <w:sz w:val="24"/>
        </w:rPr>
      </w:pPr>
      <w:r w:rsidRPr="00576020">
        <w:rPr>
          <w:sz w:val="24"/>
        </w:rPr>
        <w:t>ustnie do protokołu w miejscu wyłożenia dokumentów,</w:t>
      </w:r>
    </w:p>
    <w:p w:rsidR="006E776B" w:rsidRPr="00576020" w:rsidRDefault="006E776B" w:rsidP="00576020">
      <w:pPr>
        <w:pStyle w:val="Akapitzlist"/>
        <w:numPr>
          <w:ilvl w:val="0"/>
          <w:numId w:val="48"/>
        </w:numPr>
        <w:spacing w:after="200"/>
        <w:jc w:val="left"/>
        <w:rPr>
          <w:sz w:val="24"/>
        </w:rPr>
      </w:pPr>
      <w:r w:rsidRPr="00576020">
        <w:rPr>
          <w:sz w:val="24"/>
        </w:rPr>
        <w:t>ustnie podczas spotkań konsultacyjnych.</w:t>
      </w:r>
    </w:p>
    <w:p w:rsidR="006E776B" w:rsidRPr="00576020" w:rsidRDefault="006E776B" w:rsidP="00576020">
      <w:pPr>
        <w:autoSpaceDE w:val="0"/>
        <w:autoSpaceDN w:val="0"/>
        <w:adjustRightInd w:val="0"/>
        <w:spacing w:before="120" w:after="0"/>
        <w:jc w:val="left"/>
        <w:rPr>
          <w:rFonts w:cstheme="minorHAnsi"/>
          <w:sz w:val="24"/>
        </w:rPr>
      </w:pPr>
      <w:r w:rsidRPr="00576020">
        <w:rPr>
          <w:rFonts w:cstheme="minorHAnsi"/>
          <w:sz w:val="24"/>
        </w:rPr>
        <w:t xml:space="preserve">Zainteresowani mieszkańcy mieli możliwość bezpośredniego udziału w konsultacjach społecznych. </w:t>
      </w:r>
      <w:r w:rsidRPr="00576020">
        <w:rPr>
          <w:rFonts w:cstheme="minorHAnsi"/>
          <w:sz w:val="24"/>
        </w:rPr>
        <w:br/>
        <w:t>W ramach konsultacji odbyły się 4 otwarte spotkania konsultacyjne:</w:t>
      </w:r>
    </w:p>
    <w:p w:rsidR="006E776B" w:rsidRPr="00576020" w:rsidRDefault="006E776B" w:rsidP="00576020">
      <w:pPr>
        <w:pStyle w:val="Akapitzlist"/>
        <w:numPr>
          <w:ilvl w:val="0"/>
          <w:numId w:val="48"/>
        </w:numPr>
        <w:spacing w:after="200"/>
        <w:jc w:val="left"/>
        <w:rPr>
          <w:sz w:val="24"/>
        </w:rPr>
      </w:pPr>
      <w:r w:rsidRPr="00576020">
        <w:rPr>
          <w:sz w:val="24"/>
        </w:rPr>
        <w:t xml:space="preserve">we Wrocławiu, </w:t>
      </w:r>
    </w:p>
    <w:p w:rsidR="006E776B" w:rsidRPr="00576020" w:rsidRDefault="006E776B" w:rsidP="00576020">
      <w:pPr>
        <w:pStyle w:val="Akapitzlist"/>
        <w:numPr>
          <w:ilvl w:val="0"/>
          <w:numId w:val="48"/>
        </w:numPr>
        <w:spacing w:after="200"/>
        <w:jc w:val="left"/>
        <w:rPr>
          <w:sz w:val="24"/>
        </w:rPr>
      </w:pPr>
      <w:r w:rsidRPr="00576020">
        <w:rPr>
          <w:sz w:val="24"/>
        </w:rPr>
        <w:t xml:space="preserve">w Oleśnicy, </w:t>
      </w:r>
    </w:p>
    <w:p w:rsidR="006E776B" w:rsidRPr="00576020" w:rsidRDefault="006E776B" w:rsidP="00576020">
      <w:pPr>
        <w:pStyle w:val="Akapitzlist"/>
        <w:numPr>
          <w:ilvl w:val="0"/>
          <w:numId w:val="48"/>
        </w:numPr>
        <w:spacing w:after="200"/>
        <w:jc w:val="left"/>
        <w:rPr>
          <w:sz w:val="24"/>
        </w:rPr>
      </w:pPr>
      <w:r w:rsidRPr="00576020">
        <w:rPr>
          <w:sz w:val="24"/>
        </w:rPr>
        <w:t xml:space="preserve">w Obornikach Śląskich, </w:t>
      </w:r>
    </w:p>
    <w:p w:rsidR="006E776B" w:rsidRPr="00576020" w:rsidRDefault="006E776B" w:rsidP="00576020">
      <w:pPr>
        <w:pStyle w:val="Akapitzlist"/>
        <w:numPr>
          <w:ilvl w:val="0"/>
          <w:numId w:val="48"/>
        </w:numPr>
        <w:spacing w:after="0"/>
        <w:ind w:left="714" w:hanging="357"/>
        <w:jc w:val="left"/>
        <w:rPr>
          <w:sz w:val="24"/>
        </w:rPr>
      </w:pPr>
      <w:r w:rsidRPr="00576020">
        <w:rPr>
          <w:sz w:val="24"/>
        </w:rPr>
        <w:t>w Kobierzycach,</w:t>
      </w:r>
    </w:p>
    <w:p w:rsidR="006E776B" w:rsidRPr="00576020" w:rsidRDefault="006E776B" w:rsidP="00576020">
      <w:pPr>
        <w:autoSpaceDE w:val="0"/>
        <w:autoSpaceDN w:val="0"/>
        <w:adjustRightInd w:val="0"/>
        <w:jc w:val="left"/>
        <w:rPr>
          <w:rFonts w:cstheme="minorHAnsi"/>
          <w:sz w:val="24"/>
        </w:rPr>
      </w:pPr>
      <w:r w:rsidRPr="00576020">
        <w:rPr>
          <w:rFonts w:cstheme="minorHAnsi"/>
          <w:sz w:val="24"/>
        </w:rPr>
        <w:t>w trakcie których zaprezentowane zostały projekty dokumentów, udzielano szczegółowych informacji i odpowiadano na pytania.</w:t>
      </w:r>
    </w:p>
    <w:p w:rsidR="006E776B" w:rsidRPr="00576020" w:rsidRDefault="006E776B" w:rsidP="00576020">
      <w:pPr>
        <w:jc w:val="left"/>
        <w:rPr>
          <w:sz w:val="24"/>
        </w:rPr>
      </w:pPr>
      <w:r w:rsidRPr="00576020">
        <w:rPr>
          <w:sz w:val="24"/>
        </w:rPr>
        <w:t>Konsultacje pisemne za pośrednictwem poczty elektronicznej, podanej na stronie zawierającej ogłoszenie o konsultacjach, stanowiły uzupełnienie stacjonarnych spotkań konsultacyjnych oraz pozwoliły na włączenie w proces partycypacyjny większej l</w:t>
      </w:r>
      <w:r w:rsidR="00AE1747" w:rsidRPr="00576020">
        <w:rPr>
          <w:sz w:val="24"/>
        </w:rPr>
        <w:t>iczby mieszkańców, w tym osób z </w:t>
      </w:r>
      <w:r w:rsidRPr="00576020">
        <w:rPr>
          <w:sz w:val="24"/>
        </w:rPr>
        <w:t>niepełnosprawnościami.</w:t>
      </w:r>
    </w:p>
    <w:p w:rsidR="006E776B" w:rsidRPr="00576020" w:rsidRDefault="006E776B" w:rsidP="00576020">
      <w:pPr>
        <w:autoSpaceDE w:val="0"/>
        <w:autoSpaceDN w:val="0"/>
        <w:adjustRightInd w:val="0"/>
        <w:jc w:val="left"/>
        <w:rPr>
          <w:rFonts w:cstheme="minorHAnsi"/>
          <w:sz w:val="24"/>
        </w:rPr>
      </w:pPr>
      <w:r w:rsidRPr="00576020">
        <w:rPr>
          <w:rFonts w:cstheme="minorHAnsi"/>
          <w:sz w:val="24"/>
        </w:rPr>
        <w:t>Konsultowane dokumenty</w:t>
      </w:r>
      <w:r w:rsidR="00AE1747" w:rsidRPr="00576020">
        <w:rPr>
          <w:rFonts w:cstheme="minorHAnsi"/>
          <w:sz w:val="24"/>
        </w:rPr>
        <w:t xml:space="preserve"> </w:t>
      </w:r>
      <w:r w:rsidRPr="00576020">
        <w:rPr>
          <w:rFonts w:cstheme="minorHAnsi"/>
          <w:sz w:val="24"/>
        </w:rPr>
        <w:t>oraz ogłoszenia o konsultacjach zostały udostępnione w wersji elektronicznej na stronie internetowej Biuletynu Informacji Publicznej Urzędu Miejskiego Wrocławia, na stronie Biura ZIT WrOF oraz na stronach</w:t>
      </w:r>
      <w:r w:rsidR="00857609">
        <w:rPr>
          <w:rFonts w:cstheme="minorHAnsi"/>
          <w:sz w:val="24"/>
        </w:rPr>
        <w:t xml:space="preserve"> internetowych gmin ZIT WrOF. W </w:t>
      </w:r>
      <w:r w:rsidRPr="00576020">
        <w:rPr>
          <w:rFonts w:cstheme="minorHAnsi"/>
          <w:sz w:val="24"/>
        </w:rPr>
        <w:t>wersji papierowej dokumenty</w:t>
      </w:r>
      <w:r w:rsidR="00AE1747" w:rsidRPr="00576020">
        <w:rPr>
          <w:rFonts w:cstheme="minorHAnsi"/>
          <w:sz w:val="24"/>
        </w:rPr>
        <w:t xml:space="preserve"> </w:t>
      </w:r>
      <w:r w:rsidRPr="00576020">
        <w:rPr>
          <w:rFonts w:cstheme="minorHAnsi"/>
          <w:sz w:val="24"/>
        </w:rPr>
        <w:t>oraz ogłoszenie były dostępne w siedzibie Urzędu Miejskiego Wrocławia przy ul. Komuny Paryskiej 39-41, 50-451 Wrocław.</w:t>
      </w:r>
    </w:p>
    <w:p w:rsidR="006E776B" w:rsidRPr="00576020" w:rsidRDefault="006E776B" w:rsidP="00576020">
      <w:pPr>
        <w:jc w:val="left"/>
        <w:rPr>
          <w:sz w:val="24"/>
        </w:rPr>
      </w:pPr>
      <w:r w:rsidRPr="00576020">
        <w:rPr>
          <w:sz w:val="24"/>
        </w:rPr>
        <w:t>Przeprowadzone działania informacyjno-promocyjne miały na celu poinformowanie oraz zainteresowanie prowadzonymi konsultacjami wszystkie grupy interesariuszy, w tym przede wszystkim mieszkańców, przedsiębiorców oraz przedstawicieli organizacji pozarządowych.</w:t>
      </w:r>
    </w:p>
    <w:p w:rsidR="006E776B" w:rsidRPr="00576020" w:rsidRDefault="006E776B" w:rsidP="00576020">
      <w:pPr>
        <w:jc w:val="left"/>
        <w:rPr>
          <w:sz w:val="24"/>
        </w:rPr>
      </w:pPr>
      <w:r w:rsidRPr="00576020">
        <w:rPr>
          <w:sz w:val="24"/>
        </w:rPr>
        <w:t>Ponadto, mailowo zaproszenia do udziału w konsultacjach społecznych skierowano do ponad 100 przedstawicieli podmiotów społecznych, gospodarczych, pracowników jednostek organizacyjnych samorządu terytorialnego, placówek oświatowych, przedstawicieli organizacji pozarządowych, przedsiębiorców oraz e</w:t>
      </w:r>
      <w:r w:rsidR="00857609">
        <w:rPr>
          <w:sz w:val="24"/>
        </w:rPr>
        <w:t>kspertów, którzy brali udział w </w:t>
      </w:r>
      <w:r w:rsidRPr="00576020">
        <w:rPr>
          <w:sz w:val="24"/>
        </w:rPr>
        <w:t>zogniskowanych wywiadach grupowych przeprowadzonych we wrześniu 2022 r. w ramach prowadzonych badań społecznych, których wynik znalazł odzwierciedlenie w części diagnostycznej projektu Strategii Zintegrowanych Inwestycji Terytorialnych Wrocławskiego Obszaru Funkcjonalnego na lata 2021-2027.  Zaproszenia skierowane zostały do ekspertów merytorycznych z gmin i powiatów zlokalizowanych na terenie Wrocławskiego Obszaru</w:t>
      </w:r>
      <w:r w:rsidR="006D3080" w:rsidRPr="00576020">
        <w:rPr>
          <w:sz w:val="24"/>
        </w:rPr>
        <w:t xml:space="preserve"> </w:t>
      </w:r>
      <w:r w:rsidRPr="00576020">
        <w:rPr>
          <w:sz w:val="24"/>
        </w:rPr>
        <w:t>Funkcjonalnego oraz z Urzędu Marszałkowskiego Województwa Dolnośląskiego i</w:t>
      </w:r>
      <w:r w:rsidR="00AE1747" w:rsidRPr="00576020">
        <w:rPr>
          <w:sz w:val="24"/>
        </w:rPr>
        <w:t> </w:t>
      </w:r>
      <w:r w:rsidRPr="00576020">
        <w:rPr>
          <w:sz w:val="24"/>
        </w:rPr>
        <w:t>Dolnośląskiego Urzędu Wojewódzkiego. Ponadto do przedstawicieli Dolnośląskich Pracodawców, Dolnośląskiej Federacji Organizacji Pozarządowych, Dolnośląskiej Izby Gospodarczej, Dolnośląskiej Służby Dróg i Kolei, Dolnośląskiego Ośrodka Polityki Społecznej, Dolnośląskiego Wojewódzkiego Urzędu Pracy, Gener</w:t>
      </w:r>
      <w:r w:rsidR="00857609">
        <w:rPr>
          <w:sz w:val="24"/>
        </w:rPr>
        <w:t>alnej Dyrekcji Dróg Krajowych i </w:t>
      </w:r>
      <w:r w:rsidRPr="00576020">
        <w:rPr>
          <w:sz w:val="24"/>
        </w:rPr>
        <w:t>Autostrad, Instytutu Rozwoju Terytorialnego, Państwowego Funduszy Rehabilitacji Osób Niepełnosprawnych, Loży Dolnośląskiej BCC, organizacji pozarządowych, uczelni wyższych, instytucji k</w:t>
      </w:r>
      <w:r w:rsidR="00AE1747" w:rsidRPr="00576020">
        <w:rPr>
          <w:sz w:val="24"/>
        </w:rPr>
        <w:t xml:space="preserve">ultury i placówek oświatowych. </w:t>
      </w:r>
    </w:p>
    <w:p w:rsidR="006E776B" w:rsidRPr="00576020" w:rsidRDefault="006E776B" w:rsidP="00576020">
      <w:pPr>
        <w:jc w:val="left"/>
        <w:rPr>
          <w:sz w:val="24"/>
        </w:rPr>
      </w:pPr>
      <w:r w:rsidRPr="00576020">
        <w:rPr>
          <w:sz w:val="24"/>
        </w:rPr>
        <w:t xml:space="preserve">W ramach konsultacji społecznych zgłoszono 97 opinii. Do projektu dokumentu pn. Strategia Zintegrowanych Inwestycji Terytorialnych Wrocławskiego Obszaru Funkcjonalnego na lata 2021-2027 zgłoszono 94 opinii, w tym uwzględniono 36, częściowo uwzględniono 13, </w:t>
      </w:r>
      <w:proofErr w:type="spellStart"/>
      <w:r w:rsidRPr="00576020">
        <w:rPr>
          <w:sz w:val="24"/>
        </w:rPr>
        <w:t>nieuwzględniono</w:t>
      </w:r>
      <w:proofErr w:type="spellEnd"/>
      <w:r w:rsidRPr="00576020">
        <w:rPr>
          <w:sz w:val="24"/>
        </w:rPr>
        <w:t xml:space="preserve"> 44, jedna opinia została zgłoszona w formie pytania. Do projektu </w:t>
      </w:r>
      <w:r w:rsidRPr="00576020">
        <w:rPr>
          <w:rFonts w:eastAsia="Times New Roman" w:cs="Arial"/>
          <w:bCs/>
          <w:sz w:val="24"/>
          <w:lang w:eastAsia="pl-PL"/>
        </w:rPr>
        <w:t xml:space="preserve">Prognozy oddziaływania na środowisko zgłoszono 3 opinie, żadnej </w:t>
      </w:r>
      <w:proofErr w:type="spellStart"/>
      <w:r w:rsidRPr="00576020">
        <w:rPr>
          <w:rFonts w:eastAsia="Times New Roman" w:cs="Arial"/>
          <w:bCs/>
          <w:sz w:val="24"/>
          <w:lang w:eastAsia="pl-PL"/>
        </w:rPr>
        <w:t>nieuwzględniono</w:t>
      </w:r>
      <w:proofErr w:type="spellEnd"/>
      <w:r w:rsidRPr="00576020">
        <w:rPr>
          <w:rFonts w:eastAsia="Times New Roman" w:cs="Arial"/>
          <w:bCs/>
          <w:sz w:val="24"/>
          <w:lang w:eastAsia="pl-PL"/>
        </w:rPr>
        <w:t xml:space="preserve">. </w:t>
      </w:r>
    </w:p>
    <w:p w:rsidR="006E776B" w:rsidRPr="00576020" w:rsidRDefault="006E776B" w:rsidP="00576020">
      <w:pPr>
        <w:tabs>
          <w:tab w:val="left" w:pos="360"/>
        </w:tabs>
        <w:autoSpaceDE w:val="0"/>
        <w:autoSpaceDN w:val="0"/>
        <w:adjustRightInd w:val="0"/>
        <w:spacing w:before="120"/>
        <w:jc w:val="left"/>
        <w:rPr>
          <w:rFonts w:cstheme="minorHAnsi"/>
          <w:i/>
          <w:sz w:val="24"/>
        </w:rPr>
      </w:pPr>
      <w:r w:rsidRPr="00576020">
        <w:rPr>
          <w:rFonts w:cstheme="minorHAnsi"/>
          <w:sz w:val="24"/>
        </w:rPr>
        <w:t xml:space="preserve">Uzyskane stanowiska oraz opinie organów wykorzystano przy konstruowaniu ostatecznej wersji </w:t>
      </w:r>
      <w:r w:rsidRPr="00576020">
        <w:rPr>
          <w:rFonts w:cstheme="minorHAnsi"/>
          <w:i/>
          <w:sz w:val="24"/>
        </w:rPr>
        <w:t>„Strategii Zintegrowanych Inwestycji Terytorialnych Wrocławskiego Obszaru Funkcjonalnego na lata 2021-2027”</w:t>
      </w:r>
      <w:r w:rsidRPr="00576020">
        <w:rPr>
          <w:rFonts w:cstheme="minorHAnsi"/>
          <w:sz w:val="24"/>
        </w:rPr>
        <w:t xml:space="preserve"> wraz z prognozą oddziaływania na środowisko</w:t>
      </w:r>
      <w:r w:rsidRPr="00576020">
        <w:rPr>
          <w:rFonts w:cstheme="minorHAnsi"/>
          <w:i/>
          <w:sz w:val="24"/>
        </w:rPr>
        <w:t xml:space="preserve">. </w:t>
      </w:r>
    </w:p>
    <w:p w:rsidR="00230BD6" w:rsidRPr="000E6CDE" w:rsidRDefault="00E131BA" w:rsidP="00ED30DB">
      <w:pPr>
        <w:pStyle w:val="Nagwek2"/>
      </w:pPr>
      <w:bookmarkStart w:id="186" w:name="_Toc143673240"/>
      <w:r w:rsidRPr="000E6CDE">
        <w:t>V.</w:t>
      </w:r>
      <w:r w:rsidR="00B3486A" w:rsidRPr="000E6CDE">
        <w:t>4</w:t>
      </w:r>
      <w:r w:rsidR="00AE1747">
        <w:t xml:space="preserve"> </w:t>
      </w:r>
      <w:r w:rsidR="00230BD6" w:rsidRPr="000E6CDE">
        <w:t>Komplementarność opracowania</w:t>
      </w:r>
      <w:bookmarkEnd w:id="186"/>
    </w:p>
    <w:p w:rsidR="00AE6B45" w:rsidRPr="00576020" w:rsidRDefault="00AE6B45" w:rsidP="00576020">
      <w:pPr>
        <w:jc w:val="left"/>
        <w:rPr>
          <w:sz w:val="24"/>
        </w:rPr>
      </w:pPr>
      <w:r w:rsidRPr="00576020">
        <w:rPr>
          <w:sz w:val="24"/>
        </w:rPr>
        <w:t>Zgodnie z zasadami planowania strategicznego, sformułowane w niniejszej strategii założenia planistyczne i cele oraz kierunki działań powi</w:t>
      </w:r>
      <w:r w:rsidR="00196CCE" w:rsidRPr="00576020">
        <w:rPr>
          <w:sz w:val="24"/>
        </w:rPr>
        <w:t>nny wpisywać się i być spójne z </w:t>
      </w:r>
      <w:r w:rsidRPr="00576020">
        <w:rPr>
          <w:sz w:val="24"/>
        </w:rPr>
        <w:t>założeniami dokumentów wyższego</w:t>
      </w:r>
      <w:r w:rsidR="00BA562C" w:rsidRPr="00576020">
        <w:rPr>
          <w:sz w:val="24"/>
        </w:rPr>
        <w:t xml:space="preserve"> rzędu: europejskimi, krajowymi czy</w:t>
      </w:r>
      <w:r w:rsidRPr="00576020">
        <w:rPr>
          <w:sz w:val="24"/>
        </w:rPr>
        <w:t xml:space="preserve"> regionalnymi. </w:t>
      </w:r>
    </w:p>
    <w:p w:rsidR="009B5DD6" w:rsidRPr="00576020" w:rsidRDefault="007F11E6" w:rsidP="00576020">
      <w:pPr>
        <w:spacing w:before="240"/>
        <w:jc w:val="left"/>
        <w:rPr>
          <w:sz w:val="24"/>
        </w:rPr>
      </w:pPr>
      <w:r w:rsidRPr="00576020">
        <w:rPr>
          <w:spacing w:val="-2"/>
          <w:kern w:val="22"/>
          <w:sz w:val="24"/>
        </w:rPr>
        <w:t>Poniżej wskazano dokument</w:t>
      </w:r>
      <w:r w:rsidR="00C65FB7" w:rsidRPr="00576020">
        <w:rPr>
          <w:spacing w:val="-2"/>
          <w:kern w:val="22"/>
          <w:sz w:val="24"/>
        </w:rPr>
        <w:t>y</w:t>
      </w:r>
      <w:r w:rsidR="009A31BD" w:rsidRPr="00576020">
        <w:rPr>
          <w:spacing w:val="-2"/>
          <w:kern w:val="22"/>
          <w:sz w:val="24"/>
        </w:rPr>
        <w:t>,</w:t>
      </w:r>
      <w:r w:rsidRPr="00576020">
        <w:rPr>
          <w:spacing w:val="-2"/>
          <w:kern w:val="22"/>
          <w:sz w:val="24"/>
        </w:rPr>
        <w:t xml:space="preserve"> z którymi spójna jest Strategia Zintegrowanych Inwestycji Terytorialnych</w:t>
      </w:r>
      <w:r w:rsidRPr="00576020">
        <w:rPr>
          <w:sz w:val="24"/>
        </w:rPr>
        <w:t xml:space="preserve"> Wrocławskiego Obszaru Funkcjonalnego na lata </w:t>
      </w:r>
      <w:r w:rsidR="006A0D7F" w:rsidRPr="00576020">
        <w:rPr>
          <w:sz w:val="24"/>
        </w:rPr>
        <w:t xml:space="preserve">2021-2027 oraz wykazano komplementarność </w:t>
      </w:r>
      <w:r w:rsidR="00363BE7" w:rsidRPr="00576020">
        <w:rPr>
          <w:sz w:val="24"/>
        </w:rPr>
        <w:t xml:space="preserve">celów strategicznych </w:t>
      </w:r>
      <w:r w:rsidR="006A0D7F" w:rsidRPr="00576020">
        <w:rPr>
          <w:sz w:val="24"/>
        </w:rPr>
        <w:t xml:space="preserve">Strategii ZIT WrOF 2021-2027 z przytoczonymi dokumentami. </w:t>
      </w:r>
    </w:p>
    <w:p w:rsidR="0010188D" w:rsidRPr="00576020" w:rsidRDefault="00BE6F51" w:rsidP="002C6E4B">
      <w:pPr>
        <w:spacing w:before="120" w:after="0"/>
        <w:jc w:val="left"/>
        <w:rPr>
          <w:b/>
          <w:color w:val="000000" w:themeColor="text1"/>
          <w:sz w:val="24"/>
        </w:rPr>
      </w:pPr>
      <w:r w:rsidRPr="00576020">
        <w:rPr>
          <w:rFonts w:cstheme="minorHAnsi"/>
          <w:b/>
          <w:color w:val="000000" w:themeColor="text1"/>
          <w:sz w:val="24"/>
        </w:rPr>
        <w:t>Europejski Zielony Ład</w:t>
      </w:r>
      <w:r w:rsidR="00786722" w:rsidRPr="00576020">
        <w:rPr>
          <w:rStyle w:val="Odwoanieprzypisudolnego"/>
          <w:b/>
          <w:color w:val="000000" w:themeColor="text1"/>
          <w:sz w:val="24"/>
        </w:rPr>
        <w:footnoteReference w:id="125"/>
      </w:r>
    </w:p>
    <w:p w:rsidR="008E4203" w:rsidRPr="00576020" w:rsidRDefault="00AC37BD" w:rsidP="00576020">
      <w:pPr>
        <w:jc w:val="left"/>
        <w:rPr>
          <w:sz w:val="24"/>
        </w:rPr>
      </w:pPr>
      <w:r w:rsidRPr="00576020">
        <w:rPr>
          <w:sz w:val="24"/>
        </w:rPr>
        <w:t>D</w:t>
      </w:r>
      <w:r w:rsidR="008E4203" w:rsidRPr="00576020">
        <w:rPr>
          <w:sz w:val="24"/>
        </w:rPr>
        <w:t>okument wskazuje plan działań mających na celu umożliwienie efektywnego wykorzystana zasobów dzięki wdrażaniu koncepcji czyste</w:t>
      </w:r>
      <w:r w:rsidR="00861A27" w:rsidRPr="00576020">
        <w:rPr>
          <w:sz w:val="24"/>
        </w:rPr>
        <w:t>j</w:t>
      </w:r>
      <w:r w:rsidR="008E4203" w:rsidRPr="00576020">
        <w:rPr>
          <w:sz w:val="24"/>
        </w:rPr>
        <w:t xml:space="preserve"> gospodarki o obiegu zamkniętym oraz wz</w:t>
      </w:r>
      <w:r w:rsidR="00ED6D93" w:rsidRPr="00576020">
        <w:rPr>
          <w:sz w:val="24"/>
        </w:rPr>
        <w:t>macnianiu i </w:t>
      </w:r>
      <w:r w:rsidR="008E4203" w:rsidRPr="00576020">
        <w:rPr>
          <w:sz w:val="24"/>
        </w:rPr>
        <w:t>ochronie bioróżnor</w:t>
      </w:r>
      <w:r w:rsidR="00BE2D32" w:rsidRPr="00576020">
        <w:rPr>
          <w:sz w:val="24"/>
        </w:rPr>
        <w:t>od</w:t>
      </w:r>
      <w:r w:rsidR="008E4203" w:rsidRPr="00576020">
        <w:rPr>
          <w:sz w:val="24"/>
        </w:rPr>
        <w:t xml:space="preserve">ności oraz ograniczeniu ilości zanieczyszczeń. </w:t>
      </w:r>
      <w:r w:rsidR="00BE2D32" w:rsidRPr="00576020">
        <w:rPr>
          <w:sz w:val="24"/>
        </w:rPr>
        <w:t>Założenia w </w:t>
      </w:r>
      <w:r w:rsidR="00ED6D93" w:rsidRPr="00576020">
        <w:rPr>
          <w:sz w:val="24"/>
        </w:rPr>
        <w:t>niniejszej strategii, w </w:t>
      </w:r>
      <w:r w:rsidR="00BE2D32" w:rsidRPr="00576020">
        <w:rPr>
          <w:sz w:val="24"/>
        </w:rPr>
        <w:t xml:space="preserve">szczególności Cel strategiczny 3. </w:t>
      </w:r>
      <w:r w:rsidR="00B02843" w:rsidRPr="00576020">
        <w:rPr>
          <w:sz w:val="24"/>
        </w:rPr>
        <w:t>O</w:t>
      </w:r>
      <w:r w:rsidR="00857609">
        <w:rPr>
          <w:sz w:val="24"/>
        </w:rPr>
        <w:t>chrona środowiska naturalnego i </w:t>
      </w:r>
      <w:r w:rsidR="00B02843" w:rsidRPr="00576020">
        <w:rPr>
          <w:sz w:val="24"/>
        </w:rPr>
        <w:t>adaptacja WrOF do zmian klimatu</w:t>
      </w:r>
      <w:r w:rsidR="00861A27" w:rsidRPr="00576020">
        <w:rPr>
          <w:sz w:val="24"/>
        </w:rPr>
        <w:t xml:space="preserve">, a w tym </w:t>
      </w:r>
      <w:r w:rsidR="00D758EF" w:rsidRPr="00576020">
        <w:rPr>
          <w:sz w:val="24"/>
        </w:rPr>
        <w:t>Priorytet 9</w:t>
      </w:r>
      <w:r w:rsidR="00BE2D32" w:rsidRPr="00576020">
        <w:rPr>
          <w:sz w:val="24"/>
        </w:rPr>
        <w:t>. Gospodarka</w:t>
      </w:r>
      <w:r w:rsidR="00AE1747" w:rsidRPr="00576020">
        <w:rPr>
          <w:sz w:val="24"/>
        </w:rPr>
        <w:t xml:space="preserve"> </w:t>
      </w:r>
      <w:r w:rsidR="006F57AD" w:rsidRPr="00576020">
        <w:rPr>
          <w:sz w:val="24"/>
        </w:rPr>
        <w:t>o</w:t>
      </w:r>
      <w:r w:rsidR="00AE1747" w:rsidRPr="00576020">
        <w:rPr>
          <w:sz w:val="24"/>
        </w:rPr>
        <w:t xml:space="preserve"> </w:t>
      </w:r>
      <w:r w:rsidR="00ED6D93" w:rsidRPr="00576020">
        <w:rPr>
          <w:sz w:val="24"/>
        </w:rPr>
        <w:t>obiegu zamknięt</w:t>
      </w:r>
      <w:r w:rsidR="006F57AD" w:rsidRPr="00576020">
        <w:rPr>
          <w:sz w:val="24"/>
        </w:rPr>
        <w:t>ym</w:t>
      </w:r>
      <w:r w:rsidR="00ED6D93" w:rsidRPr="00576020">
        <w:rPr>
          <w:sz w:val="24"/>
        </w:rPr>
        <w:t xml:space="preserve"> są spójne z </w:t>
      </w:r>
      <w:r w:rsidR="00BE2D32" w:rsidRPr="00576020">
        <w:rPr>
          <w:sz w:val="24"/>
        </w:rPr>
        <w:t>założeniami dokumentu Europejski Zielony Ład.</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Europejski Zielony Ład a Strategia ZIT WrOF 2021-2027"/>
      </w:tblPr>
      <w:tblGrid>
        <w:gridCol w:w="4539"/>
        <w:gridCol w:w="4523"/>
      </w:tblGrid>
      <w:tr w:rsidR="00275A47" w:rsidRPr="00576020" w:rsidTr="00F25E70">
        <w:trPr>
          <w:trHeight w:val="510"/>
          <w:tblHeader/>
        </w:trPr>
        <w:tc>
          <w:tcPr>
            <w:tcW w:w="4606" w:type="dxa"/>
            <w:shd w:val="clear" w:color="auto" w:fill="F2F2F2" w:themeFill="background1" w:themeFillShade="F2"/>
            <w:vAlign w:val="center"/>
          </w:tcPr>
          <w:p w:rsidR="00275A47" w:rsidRPr="00576020" w:rsidRDefault="00275A47" w:rsidP="00576020">
            <w:pPr>
              <w:spacing w:line="259" w:lineRule="auto"/>
              <w:jc w:val="left"/>
              <w:rPr>
                <w:szCs w:val="20"/>
              </w:rPr>
            </w:pPr>
            <w:r w:rsidRPr="00576020">
              <w:rPr>
                <w:szCs w:val="20"/>
              </w:rPr>
              <w:t>Europejski Zielony Ład</w:t>
            </w:r>
          </w:p>
        </w:tc>
        <w:tc>
          <w:tcPr>
            <w:tcW w:w="4606" w:type="dxa"/>
            <w:shd w:val="clear" w:color="auto" w:fill="F2F2F2" w:themeFill="background1" w:themeFillShade="F2"/>
            <w:vAlign w:val="center"/>
          </w:tcPr>
          <w:p w:rsidR="00275A47" w:rsidRPr="00576020" w:rsidRDefault="00BE2D32" w:rsidP="00576020">
            <w:pPr>
              <w:spacing w:line="259" w:lineRule="auto"/>
              <w:jc w:val="left"/>
              <w:rPr>
                <w:szCs w:val="20"/>
              </w:rPr>
            </w:pPr>
            <w:r w:rsidRPr="00576020">
              <w:rPr>
                <w:szCs w:val="20"/>
              </w:rPr>
              <w:t>Strategia ZIT WrOF 2021-2027</w:t>
            </w:r>
          </w:p>
        </w:tc>
      </w:tr>
      <w:tr w:rsidR="00363BE7" w:rsidRPr="00576020" w:rsidTr="00576020">
        <w:trPr>
          <w:trHeight w:val="2438"/>
        </w:trPr>
        <w:tc>
          <w:tcPr>
            <w:tcW w:w="4606" w:type="dxa"/>
            <w:vAlign w:val="center"/>
          </w:tcPr>
          <w:p w:rsidR="00363BE7" w:rsidRPr="00576020" w:rsidRDefault="00363BE7" w:rsidP="00576020">
            <w:pPr>
              <w:pStyle w:val="Default"/>
              <w:numPr>
                <w:ilvl w:val="0"/>
                <w:numId w:val="3"/>
              </w:numPr>
              <w:spacing w:after="120"/>
              <w:ind w:left="357" w:hanging="357"/>
              <w:rPr>
                <w:sz w:val="22"/>
                <w:szCs w:val="20"/>
              </w:rPr>
            </w:pPr>
            <w:r w:rsidRPr="00576020">
              <w:rPr>
                <w:sz w:val="22"/>
                <w:szCs w:val="20"/>
              </w:rPr>
              <w:t xml:space="preserve">inwestycje w technologie przyjazne dla środowiska </w:t>
            </w:r>
          </w:p>
          <w:p w:rsidR="00363BE7" w:rsidRPr="00576020" w:rsidRDefault="00363BE7" w:rsidP="00576020">
            <w:pPr>
              <w:pStyle w:val="Default"/>
              <w:numPr>
                <w:ilvl w:val="0"/>
                <w:numId w:val="3"/>
              </w:numPr>
              <w:spacing w:after="120"/>
              <w:ind w:left="357" w:hanging="357"/>
              <w:rPr>
                <w:sz w:val="22"/>
                <w:szCs w:val="20"/>
              </w:rPr>
            </w:pPr>
            <w:r w:rsidRPr="00576020">
              <w:rPr>
                <w:sz w:val="22"/>
                <w:szCs w:val="20"/>
              </w:rPr>
              <w:t xml:space="preserve">wspieranie innowacji przemysłowych </w:t>
            </w:r>
          </w:p>
          <w:p w:rsidR="00363BE7" w:rsidRPr="00576020" w:rsidRDefault="00363BE7" w:rsidP="00576020">
            <w:pPr>
              <w:pStyle w:val="Default"/>
              <w:numPr>
                <w:ilvl w:val="0"/>
                <w:numId w:val="3"/>
              </w:numPr>
              <w:spacing w:after="120"/>
              <w:ind w:left="357" w:hanging="357"/>
              <w:rPr>
                <w:sz w:val="22"/>
                <w:szCs w:val="20"/>
              </w:rPr>
            </w:pPr>
            <w:r w:rsidRPr="00576020">
              <w:rPr>
                <w:sz w:val="22"/>
                <w:szCs w:val="20"/>
              </w:rPr>
              <w:t xml:space="preserve">wprowadzanie czystszych, tańszych i zdrowszych form transportu prywatnego i publicznego </w:t>
            </w:r>
          </w:p>
          <w:p w:rsidR="00B02829" w:rsidRPr="00576020" w:rsidRDefault="00363BE7" w:rsidP="00576020">
            <w:pPr>
              <w:pStyle w:val="Default"/>
              <w:numPr>
                <w:ilvl w:val="0"/>
                <w:numId w:val="3"/>
              </w:numPr>
              <w:spacing w:after="120"/>
              <w:ind w:left="357" w:hanging="357"/>
              <w:rPr>
                <w:sz w:val="22"/>
                <w:szCs w:val="20"/>
              </w:rPr>
            </w:pPr>
            <w:r w:rsidRPr="00576020">
              <w:rPr>
                <w:sz w:val="22"/>
                <w:szCs w:val="20"/>
              </w:rPr>
              <w:t xml:space="preserve">obniżenie emisyjności sektora energii </w:t>
            </w:r>
          </w:p>
          <w:p w:rsidR="00363BE7" w:rsidRPr="00576020" w:rsidRDefault="00363BE7" w:rsidP="00576020">
            <w:pPr>
              <w:pStyle w:val="Default"/>
              <w:numPr>
                <w:ilvl w:val="0"/>
                <w:numId w:val="3"/>
              </w:numPr>
              <w:spacing w:after="120"/>
              <w:ind w:left="357" w:hanging="357"/>
              <w:rPr>
                <w:sz w:val="22"/>
                <w:szCs w:val="20"/>
              </w:rPr>
            </w:pPr>
            <w:r w:rsidRPr="00576020">
              <w:rPr>
                <w:sz w:val="22"/>
                <w:szCs w:val="20"/>
              </w:rPr>
              <w:t>zapewnienie większej efektywności energetycznej budynków</w:t>
            </w:r>
          </w:p>
        </w:tc>
        <w:tc>
          <w:tcPr>
            <w:tcW w:w="4606" w:type="dxa"/>
            <w:vAlign w:val="center"/>
          </w:tcPr>
          <w:p w:rsidR="00363BE7" w:rsidRPr="00576020" w:rsidRDefault="00363BE7" w:rsidP="00576020">
            <w:pPr>
              <w:spacing w:line="259" w:lineRule="auto"/>
              <w:jc w:val="left"/>
              <w:rPr>
                <w:rFonts w:ascii="Calibri" w:hAnsi="Calibri" w:cs="Calibri"/>
                <w:color w:val="000000"/>
                <w:szCs w:val="20"/>
              </w:rPr>
            </w:pPr>
            <w:r w:rsidRPr="00576020">
              <w:rPr>
                <w:rFonts w:ascii="Calibri" w:hAnsi="Calibri" w:cs="Calibri"/>
                <w:color w:val="000000"/>
                <w:szCs w:val="20"/>
              </w:rPr>
              <w:t xml:space="preserve">Cel </w:t>
            </w:r>
            <w:r w:rsidR="00E15CD9" w:rsidRPr="00576020">
              <w:rPr>
                <w:rFonts w:ascii="Calibri" w:hAnsi="Calibri" w:cs="Calibri"/>
                <w:color w:val="000000"/>
                <w:szCs w:val="20"/>
              </w:rPr>
              <w:t>strategiczny</w:t>
            </w:r>
            <w:r w:rsidRPr="00576020">
              <w:rPr>
                <w:rFonts w:ascii="Calibri" w:hAnsi="Calibri" w:cs="Calibri"/>
                <w:color w:val="000000"/>
                <w:szCs w:val="20"/>
              </w:rPr>
              <w:t xml:space="preserve"> 3. </w:t>
            </w:r>
            <w:r w:rsidR="00B02843" w:rsidRPr="00576020">
              <w:rPr>
                <w:rFonts w:ascii="Calibri" w:hAnsi="Calibri" w:cs="Calibri"/>
                <w:color w:val="000000"/>
                <w:szCs w:val="20"/>
              </w:rPr>
              <w:t>Ochrona środowiska naturalnego i adaptacja WrOF do zmian klimatu</w:t>
            </w:r>
          </w:p>
        </w:tc>
      </w:tr>
    </w:tbl>
    <w:p w:rsidR="00B02829" w:rsidRDefault="00B02829">
      <w:pPr>
        <w:spacing w:line="259" w:lineRule="auto"/>
        <w:jc w:val="left"/>
      </w:pPr>
    </w:p>
    <w:p w:rsidR="00804E84" w:rsidRPr="00576020" w:rsidRDefault="00804E84" w:rsidP="002C6E4B">
      <w:pPr>
        <w:spacing w:before="120" w:after="0"/>
        <w:jc w:val="left"/>
        <w:rPr>
          <w:rFonts w:cstheme="minorHAnsi"/>
          <w:b/>
          <w:color w:val="000000" w:themeColor="text1"/>
          <w:sz w:val="24"/>
        </w:rPr>
      </w:pPr>
      <w:r w:rsidRPr="00576020">
        <w:rPr>
          <w:rFonts w:cstheme="minorHAnsi"/>
          <w:b/>
          <w:color w:val="000000" w:themeColor="text1"/>
          <w:sz w:val="24"/>
        </w:rPr>
        <w:t xml:space="preserve">Nowy Europejski </w:t>
      </w:r>
      <w:proofErr w:type="spellStart"/>
      <w:r w:rsidRPr="00576020">
        <w:rPr>
          <w:rFonts w:cstheme="minorHAnsi"/>
          <w:b/>
          <w:color w:val="000000" w:themeColor="text1"/>
          <w:sz w:val="24"/>
        </w:rPr>
        <w:t>Bauhaus</w:t>
      </w:r>
      <w:proofErr w:type="spellEnd"/>
    </w:p>
    <w:p w:rsidR="00804E84" w:rsidRPr="009F6939" w:rsidRDefault="00804E84" w:rsidP="00576020">
      <w:pPr>
        <w:jc w:val="left"/>
      </w:pPr>
      <w:r w:rsidRPr="00576020">
        <w:rPr>
          <w:sz w:val="24"/>
        </w:rPr>
        <w:t xml:space="preserve">Celem wprowadzenia nowego europejskiego </w:t>
      </w:r>
      <w:proofErr w:type="spellStart"/>
      <w:r w:rsidRPr="00576020">
        <w:rPr>
          <w:sz w:val="24"/>
        </w:rPr>
        <w:t>Bauhausu</w:t>
      </w:r>
      <w:proofErr w:type="spellEnd"/>
      <w:r w:rsidRPr="00576020">
        <w:rPr>
          <w:sz w:val="24"/>
        </w:rPr>
        <w:t xml:space="preserve"> jest zapewnienie </w:t>
      </w:r>
      <w:r w:rsidR="00BC3C3C" w:rsidRPr="00576020">
        <w:rPr>
          <w:sz w:val="24"/>
        </w:rPr>
        <w:t>społeczeństwu dostępu do towarów, które pochodzą</w:t>
      </w:r>
      <w:r w:rsidRPr="00576020">
        <w:rPr>
          <w:sz w:val="24"/>
        </w:rPr>
        <w:t xml:space="preserve"> z obiegu zamk</w:t>
      </w:r>
      <w:r w:rsidR="00BC3C3C" w:rsidRPr="00576020">
        <w:rPr>
          <w:sz w:val="24"/>
        </w:rPr>
        <w:t>niętego</w:t>
      </w:r>
      <w:r w:rsidR="00AC37BD" w:rsidRPr="00576020">
        <w:rPr>
          <w:sz w:val="24"/>
        </w:rPr>
        <w:t>,</w:t>
      </w:r>
      <w:r w:rsidR="00BC3C3C" w:rsidRPr="00576020">
        <w:rPr>
          <w:sz w:val="24"/>
        </w:rPr>
        <w:t xml:space="preserve"> są mniej emisyjne oraz takich, </w:t>
      </w:r>
      <w:r w:rsidRPr="00576020">
        <w:rPr>
          <w:sz w:val="24"/>
        </w:rPr>
        <w:t xml:space="preserve">które wspierają regenerację przyrody i chronią </w:t>
      </w:r>
      <w:r w:rsidR="00BC3C3C" w:rsidRPr="00576020">
        <w:rPr>
          <w:sz w:val="24"/>
        </w:rPr>
        <w:t xml:space="preserve">bioróżnorodność. </w:t>
      </w:r>
      <w:r w:rsidR="00A72127" w:rsidRPr="00576020">
        <w:rPr>
          <w:sz w:val="24"/>
        </w:rPr>
        <w:t xml:space="preserve">Poniżej odniesiono się do realizacji nowego europejskiego </w:t>
      </w:r>
      <w:proofErr w:type="spellStart"/>
      <w:r w:rsidR="00A72127" w:rsidRPr="00576020">
        <w:rPr>
          <w:sz w:val="24"/>
        </w:rPr>
        <w:t>Bauhausu</w:t>
      </w:r>
      <w:proofErr w:type="spellEnd"/>
      <w:r w:rsidR="00AE1747" w:rsidRPr="00576020">
        <w:rPr>
          <w:sz w:val="24"/>
        </w:rPr>
        <w:t xml:space="preserve"> </w:t>
      </w:r>
      <w:r w:rsidR="009C54C3" w:rsidRPr="00576020">
        <w:rPr>
          <w:sz w:val="24"/>
        </w:rPr>
        <w:t>poprzez</w:t>
      </w:r>
      <w:r w:rsidR="00A72127" w:rsidRPr="00576020">
        <w:rPr>
          <w:sz w:val="24"/>
        </w:rPr>
        <w:t xml:space="preserve"> wskazanie </w:t>
      </w:r>
      <w:r w:rsidR="009C54C3" w:rsidRPr="00576020">
        <w:rPr>
          <w:sz w:val="24"/>
        </w:rPr>
        <w:t xml:space="preserve">wyróżnionych w przytoczonym dokumencie </w:t>
      </w:r>
      <w:r w:rsidR="004F08FB" w:rsidRPr="00576020">
        <w:rPr>
          <w:sz w:val="24"/>
        </w:rPr>
        <w:t>osi temat</w:t>
      </w:r>
      <w:r w:rsidR="009C54C3" w:rsidRPr="00576020">
        <w:rPr>
          <w:sz w:val="24"/>
        </w:rPr>
        <w:t>ycznych</w:t>
      </w:r>
      <w:r w:rsidR="004F08FB" w:rsidRPr="00576020">
        <w:rPr>
          <w:sz w:val="24"/>
        </w:rPr>
        <w:t xml:space="preserve"> ścieżki transformacji </w:t>
      </w:r>
      <w:r w:rsidR="00A72127" w:rsidRPr="00576020">
        <w:rPr>
          <w:sz w:val="24"/>
        </w:rPr>
        <w:t>wraz z odniesieniem do celów</w:t>
      </w:r>
      <w:r w:rsidR="002840C1" w:rsidRPr="00576020">
        <w:rPr>
          <w:sz w:val="24"/>
        </w:rPr>
        <w:t xml:space="preserve"> strategicznych zaplanowanych w </w:t>
      </w:r>
      <w:r w:rsidR="00A72127" w:rsidRPr="00576020">
        <w:rPr>
          <w:sz w:val="24"/>
        </w:rPr>
        <w:t>Strategii ZIT WrOF 2021-2027</w:t>
      </w:r>
      <w:r w:rsidR="00A72127" w:rsidRPr="009F6939">
        <w:t>.</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Nowy Europejski Bauhaus a Strategia ZIT WrOF 2021-2027"/>
      </w:tblPr>
      <w:tblGrid>
        <w:gridCol w:w="4532"/>
        <w:gridCol w:w="4530"/>
      </w:tblGrid>
      <w:tr w:rsidR="00275A47" w:rsidRPr="00576020" w:rsidTr="00576020">
        <w:trPr>
          <w:trHeight w:val="624"/>
          <w:tblHeader/>
        </w:trPr>
        <w:tc>
          <w:tcPr>
            <w:tcW w:w="4606" w:type="dxa"/>
            <w:shd w:val="clear" w:color="auto" w:fill="F2F2F2" w:themeFill="background1" w:themeFillShade="F2"/>
            <w:vAlign w:val="center"/>
          </w:tcPr>
          <w:p w:rsidR="00275A47" w:rsidRPr="00576020" w:rsidRDefault="00275A47" w:rsidP="00576020">
            <w:pPr>
              <w:spacing w:line="259" w:lineRule="auto"/>
              <w:jc w:val="left"/>
              <w:rPr>
                <w:bCs/>
                <w:szCs w:val="20"/>
              </w:rPr>
            </w:pPr>
            <w:r w:rsidRPr="00576020">
              <w:rPr>
                <w:bCs/>
                <w:szCs w:val="20"/>
              </w:rPr>
              <w:t xml:space="preserve">Nowy Europejski </w:t>
            </w:r>
            <w:proofErr w:type="spellStart"/>
            <w:r w:rsidRPr="00576020">
              <w:rPr>
                <w:bCs/>
                <w:szCs w:val="20"/>
              </w:rPr>
              <w:t>Bauhaus</w:t>
            </w:r>
            <w:proofErr w:type="spellEnd"/>
          </w:p>
        </w:tc>
        <w:tc>
          <w:tcPr>
            <w:tcW w:w="4606" w:type="dxa"/>
            <w:shd w:val="clear" w:color="auto" w:fill="F2F2F2" w:themeFill="background1" w:themeFillShade="F2"/>
            <w:vAlign w:val="center"/>
          </w:tcPr>
          <w:p w:rsidR="00275A47" w:rsidRPr="00576020" w:rsidRDefault="00BE2D32" w:rsidP="00576020">
            <w:pPr>
              <w:spacing w:line="259" w:lineRule="auto"/>
              <w:jc w:val="left"/>
              <w:rPr>
                <w:bCs/>
                <w:szCs w:val="20"/>
              </w:rPr>
            </w:pPr>
            <w:r w:rsidRPr="00576020">
              <w:rPr>
                <w:bCs/>
                <w:szCs w:val="20"/>
              </w:rPr>
              <w:t>Strategia ZIT WrOF 2021-2027</w:t>
            </w:r>
          </w:p>
        </w:tc>
      </w:tr>
      <w:tr w:rsidR="00275A47" w:rsidRPr="00576020" w:rsidTr="00576020">
        <w:tc>
          <w:tcPr>
            <w:tcW w:w="4606" w:type="dxa"/>
            <w:vAlign w:val="center"/>
          </w:tcPr>
          <w:p w:rsidR="00275A47" w:rsidRPr="00576020" w:rsidRDefault="004F08FB" w:rsidP="00576020">
            <w:pPr>
              <w:spacing w:line="240" w:lineRule="auto"/>
              <w:jc w:val="left"/>
              <w:rPr>
                <w:rFonts w:ascii="Calibri" w:hAnsi="Calibri" w:cs="Calibri"/>
                <w:color w:val="000000"/>
                <w:szCs w:val="20"/>
              </w:rPr>
            </w:pPr>
            <w:r w:rsidRPr="00576020">
              <w:rPr>
                <w:rFonts w:ascii="Calibri" w:hAnsi="Calibri" w:cs="Calibri"/>
                <w:color w:val="000000"/>
                <w:szCs w:val="20"/>
              </w:rPr>
              <w:t>Powrót do natury</w:t>
            </w:r>
          </w:p>
        </w:tc>
        <w:tc>
          <w:tcPr>
            <w:tcW w:w="4606" w:type="dxa"/>
            <w:vAlign w:val="center"/>
          </w:tcPr>
          <w:p w:rsidR="00275A47" w:rsidRPr="00576020" w:rsidRDefault="004F08FB"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strategiczny 3. </w:t>
            </w:r>
            <w:r w:rsidR="00D758EF" w:rsidRPr="00576020">
              <w:rPr>
                <w:rFonts w:ascii="Calibri" w:hAnsi="Calibri" w:cs="Calibri"/>
                <w:color w:val="000000"/>
                <w:szCs w:val="20"/>
              </w:rPr>
              <w:t>O</w:t>
            </w:r>
            <w:r w:rsidR="00AC37BD" w:rsidRPr="00576020">
              <w:rPr>
                <w:rFonts w:ascii="Calibri" w:hAnsi="Calibri" w:cs="Calibri"/>
                <w:color w:val="000000"/>
                <w:szCs w:val="20"/>
              </w:rPr>
              <w:t>chrona środowiska naturalnego i </w:t>
            </w:r>
            <w:r w:rsidR="00D758EF" w:rsidRPr="00576020">
              <w:rPr>
                <w:rFonts w:ascii="Calibri" w:hAnsi="Calibri" w:cs="Calibri"/>
                <w:color w:val="000000"/>
                <w:szCs w:val="20"/>
              </w:rPr>
              <w:t>adaptacja WrOF do zmian klimatu</w:t>
            </w:r>
          </w:p>
        </w:tc>
      </w:tr>
      <w:tr w:rsidR="00E928DA" w:rsidRPr="00576020" w:rsidTr="00576020">
        <w:tc>
          <w:tcPr>
            <w:tcW w:w="4606" w:type="dxa"/>
            <w:vAlign w:val="center"/>
          </w:tcPr>
          <w:p w:rsidR="00E928DA" w:rsidRPr="00576020" w:rsidRDefault="00E928DA" w:rsidP="00576020">
            <w:pPr>
              <w:spacing w:line="240" w:lineRule="auto"/>
              <w:jc w:val="left"/>
              <w:rPr>
                <w:rFonts w:ascii="Calibri" w:hAnsi="Calibri" w:cs="Calibri"/>
                <w:color w:val="000000"/>
                <w:szCs w:val="20"/>
              </w:rPr>
            </w:pPr>
            <w:r w:rsidRPr="00576020">
              <w:rPr>
                <w:rFonts w:ascii="Calibri" w:hAnsi="Calibri" w:cs="Calibri"/>
                <w:color w:val="000000"/>
                <w:szCs w:val="20"/>
              </w:rPr>
              <w:t>Odzyskanie poczucia przynależności</w:t>
            </w:r>
          </w:p>
        </w:tc>
        <w:tc>
          <w:tcPr>
            <w:tcW w:w="4606" w:type="dxa"/>
            <w:vAlign w:val="center"/>
          </w:tcPr>
          <w:p w:rsidR="00E928DA" w:rsidRPr="00576020" w:rsidRDefault="00E928DA" w:rsidP="00576020">
            <w:pPr>
              <w:spacing w:line="240" w:lineRule="auto"/>
              <w:jc w:val="left"/>
              <w:rPr>
                <w:rFonts w:ascii="Calibri" w:hAnsi="Calibri" w:cs="Calibri"/>
                <w:color w:val="000000"/>
                <w:szCs w:val="20"/>
              </w:rPr>
            </w:pPr>
            <w:r w:rsidRPr="00576020">
              <w:rPr>
                <w:rFonts w:ascii="Calibri" w:hAnsi="Calibri" w:cs="Calibri"/>
                <w:color w:val="000000"/>
                <w:szCs w:val="20"/>
              </w:rPr>
              <w:t>Cel strategiczny 1. Poprawa jakości życia na terenie WrOF</w:t>
            </w:r>
          </w:p>
        </w:tc>
      </w:tr>
      <w:tr w:rsidR="00E928DA" w:rsidRPr="00576020" w:rsidTr="00576020">
        <w:tc>
          <w:tcPr>
            <w:tcW w:w="4606" w:type="dxa"/>
            <w:vAlign w:val="center"/>
          </w:tcPr>
          <w:p w:rsidR="00E928DA" w:rsidRPr="00576020" w:rsidRDefault="00E928DA" w:rsidP="00576020">
            <w:pPr>
              <w:spacing w:line="240" w:lineRule="auto"/>
              <w:jc w:val="left"/>
              <w:rPr>
                <w:rFonts w:ascii="Calibri" w:hAnsi="Calibri" w:cs="Calibri"/>
                <w:color w:val="000000"/>
                <w:szCs w:val="20"/>
              </w:rPr>
            </w:pPr>
            <w:r w:rsidRPr="00576020">
              <w:rPr>
                <w:rFonts w:ascii="Calibri" w:hAnsi="Calibri" w:cs="Calibri"/>
                <w:color w:val="000000"/>
                <w:szCs w:val="20"/>
              </w:rPr>
              <w:t>Nadanie priorytetu miejscom i ludziom, którzy tego najbardziej potrzebują</w:t>
            </w:r>
          </w:p>
        </w:tc>
        <w:tc>
          <w:tcPr>
            <w:tcW w:w="4606" w:type="dxa"/>
            <w:vAlign w:val="center"/>
          </w:tcPr>
          <w:p w:rsidR="00E928DA" w:rsidRPr="00576020" w:rsidRDefault="00576020" w:rsidP="00576020">
            <w:pPr>
              <w:spacing w:line="240" w:lineRule="auto"/>
              <w:jc w:val="left"/>
              <w:rPr>
                <w:rFonts w:ascii="Calibri" w:hAnsi="Calibri" w:cs="Calibri"/>
                <w:color w:val="000000"/>
                <w:szCs w:val="20"/>
              </w:rPr>
            </w:pPr>
            <w:r w:rsidRPr="00576020">
              <w:rPr>
                <w:rFonts w:ascii="Calibri" w:hAnsi="Calibri" w:cs="Calibri"/>
                <w:color w:val="000000"/>
                <w:szCs w:val="20"/>
              </w:rPr>
              <w:t>Cel strategiczny 1. Poprawa jakości życia na terenie WrOF</w:t>
            </w:r>
          </w:p>
        </w:tc>
      </w:tr>
      <w:tr w:rsidR="00275A47" w:rsidRPr="00576020" w:rsidTr="00576020">
        <w:tc>
          <w:tcPr>
            <w:tcW w:w="4606" w:type="dxa"/>
            <w:vAlign w:val="center"/>
          </w:tcPr>
          <w:p w:rsidR="00275A47" w:rsidRPr="00576020" w:rsidRDefault="007E306A"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Potrzeba zapewnienia w ekosystemach przemysłowych długoterminowego myślenia </w:t>
            </w:r>
            <w:r w:rsidR="00AE1747" w:rsidRPr="00576020">
              <w:rPr>
                <w:rFonts w:ascii="Calibri" w:hAnsi="Calibri" w:cs="Calibri"/>
                <w:color w:val="000000"/>
                <w:szCs w:val="20"/>
              </w:rPr>
              <w:br/>
            </w:r>
            <w:r w:rsidRPr="00576020">
              <w:rPr>
                <w:rFonts w:ascii="Calibri" w:hAnsi="Calibri" w:cs="Calibri"/>
                <w:color w:val="000000"/>
                <w:szCs w:val="20"/>
              </w:rPr>
              <w:t>w kategoriach cyklu życia produktu</w:t>
            </w:r>
          </w:p>
        </w:tc>
        <w:tc>
          <w:tcPr>
            <w:tcW w:w="4606" w:type="dxa"/>
            <w:vAlign w:val="center"/>
          </w:tcPr>
          <w:p w:rsidR="00275A47" w:rsidRPr="00576020" w:rsidRDefault="007E306A"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strategiczny </w:t>
            </w:r>
            <w:r w:rsidR="00AC37BD" w:rsidRPr="00576020">
              <w:rPr>
                <w:rFonts w:ascii="Calibri" w:hAnsi="Calibri" w:cs="Calibri"/>
                <w:color w:val="000000"/>
                <w:szCs w:val="20"/>
              </w:rPr>
              <w:t>2. Wzmacnianie innowacyjności i </w:t>
            </w:r>
            <w:r w:rsidRPr="00576020">
              <w:rPr>
                <w:rFonts w:ascii="Calibri" w:hAnsi="Calibri" w:cs="Calibri"/>
                <w:color w:val="000000"/>
                <w:szCs w:val="20"/>
              </w:rPr>
              <w:t>konkurencyjności gospodarki WrOF</w:t>
            </w:r>
          </w:p>
        </w:tc>
      </w:tr>
    </w:tbl>
    <w:p w:rsidR="00647692" w:rsidRDefault="00647692">
      <w:pPr>
        <w:spacing w:line="259" w:lineRule="auto"/>
        <w:jc w:val="left"/>
      </w:pPr>
    </w:p>
    <w:p w:rsidR="004F08FB" w:rsidRPr="00576020" w:rsidRDefault="00647692" w:rsidP="00576020">
      <w:pPr>
        <w:spacing w:before="120" w:after="0"/>
        <w:jc w:val="left"/>
        <w:rPr>
          <w:rFonts w:cstheme="minorHAnsi"/>
          <w:b/>
          <w:color w:val="000000" w:themeColor="text1"/>
          <w:sz w:val="24"/>
        </w:rPr>
      </w:pPr>
      <w:r w:rsidRPr="00576020">
        <w:rPr>
          <w:rFonts w:cstheme="minorHAnsi"/>
          <w:b/>
          <w:color w:val="000000" w:themeColor="text1"/>
          <w:sz w:val="24"/>
        </w:rPr>
        <w:t>Krajowa Strategia Rozwoju Regionalnego 2030</w:t>
      </w:r>
    </w:p>
    <w:p w:rsidR="00804948" w:rsidRPr="00576020" w:rsidRDefault="00536EE8" w:rsidP="00576020">
      <w:pPr>
        <w:jc w:val="left"/>
        <w:rPr>
          <w:color w:val="000000" w:themeColor="text1"/>
          <w:sz w:val="24"/>
        </w:rPr>
      </w:pPr>
      <w:r w:rsidRPr="00576020">
        <w:rPr>
          <w:color w:val="000000" w:themeColor="text1"/>
          <w:sz w:val="24"/>
        </w:rPr>
        <w:t xml:space="preserve">Krajowa Strategia Rozwoju Regionalnego 2030 stanowi podstawowy dokument strategiczny polityki regionalnej Polski do roku 2030. </w:t>
      </w:r>
      <w:r w:rsidR="00F95228" w:rsidRPr="00576020">
        <w:rPr>
          <w:color w:val="000000" w:themeColor="text1"/>
          <w:sz w:val="24"/>
        </w:rPr>
        <w:t>W przyjętej</w:t>
      </w:r>
      <w:r w:rsidR="0070363D" w:rsidRPr="00576020">
        <w:rPr>
          <w:color w:val="000000" w:themeColor="text1"/>
          <w:sz w:val="24"/>
        </w:rPr>
        <w:t xml:space="preserve"> perspektywie kładzie nacisk na zrównoważony rozwój całego kraju, w szczególności zmniejszanie dysproporcji w poziomie rozwoju społeczno-gospodarczego oraz wsparcie rozwoju obszarów, które tracą funkcje</w:t>
      </w:r>
      <w:r w:rsidR="0080191B" w:rsidRPr="00576020">
        <w:rPr>
          <w:color w:val="000000" w:themeColor="text1"/>
          <w:sz w:val="24"/>
        </w:rPr>
        <w:t xml:space="preserve"> społeczno-gospodarcze lub nie są w stanie wykorzystać i rozwinąć posiadanego potencjału rozwojowego. </w:t>
      </w:r>
      <w:r w:rsidR="00542EF2" w:rsidRPr="00576020">
        <w:rPr>
          <w:color w:val="000000" w:themeColor="text1"/>
          <w:sz w:val="24"/>
        </w:rPr>
        <w:t>Poniżej zestawiono cele Krajowej Strate</w:t>
      </w:r>
      <w:r w:rsidR="00320A03">
        <w:rPr>
          <w:color w:val="000000" w:themeColor="text1"/>
          <w:sz w:val="24"/>
        </w:rPr>
        <w:t>gii Rozwoju Regionalnego 2030 z </w:t>
      </w:r>
      <w:r w:rsidR="00542EF2" w:rsidRPr="00576020">
        <w:rPr>
          <w:color w:val="000000" w:themeColor="text1"/>
          <w:sz w:val="24"/>
        </w:rPr>
        <w:t xml:space="preserve">celami zidentyfikowanymi w niniejszej strategii. </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Krajowa Strategia Rozwoju Regionalnego 2030 a Strategia ZIT WrOF 2021-2027"/>
      </w:tblPr>
      <w:tblGrid>
        <w:gridCol w:w="4531"/>
        <w:gridCol w:w="4531"/>
      </w:tblGrid>
      <w:tr w:rsidR="00275A47" w:rsidRPr="00576020" w:rsidTr="00F25E70">
        <w:trPr>
          <w:trHeight w:val="567"/>
          <w:tblHeader/>
        </w:trPr>
        <w:tc>
          <w:tcPr>
            <w:tcW w:w="4531" w:type="dxa"/>
            <w:shd w:val="clear" w:color="auto" w:fill="F2F2F2" w:themeFill="background1" w:themeFillShade="F2"/>
            <w:vAlign w:val="center"/>
          </w:tcPr>
          <w:p w:rsidR="00275A47" w:rsidRPr="00576020" w:rsidRDefault="00275A47" w:rsidP="00576020">
            <w:pPr>
              <w:spacing w:line="240" w:lineRule="auto"/>
              <w:jc w:val="left"/>
              <w:rPr>
                <w:bCs/>
                <w:szCs w:val="20"/>
              </w:rPr>
            </w:pPr>
            <w:r w:rsidRPr="00576020">
              <w:rPr>
                <w:bCs/>
                <w:szCs w:val="20"/>
              </w:rPr>
              <w:t>Krajowa Strategia Rozwoju Regionalnego 2030</w:t>
            </w:r>
          </w:p>
        </w:tc>
        <w:tc>
          <w:tcPr>
            <w:tcW w:w="4531" w:type="dxa"/>
            <w:shd w:val="clear" w:color="auto" w:fill="F2F2F2" w:themeFill="background1" w:themeFillShade="F2"/>
            <w:vAlign w:val="center"/>
          </w:tcPr>
          <w:p w:rsidR="00275A47" w:rsidRPr="00576020" w:rsidRDefault="00BE2D32" w:rsidP="00576020">
            <w:pPr>
              <w:spacing w:line="240" w:lineRule="auto"/>
              <w:jc w:val="left"/>
              <w:rPr>
                <w:bCs/>
                <w:szCs w:val="20"/>
              </w:rPr>
            </w:pPr>
            <w:r w:rsidRPr="00576020">
              <w:rPr>
                <w:bCs/>
                <w:szCs w:val="20"/>
              </w:rPr>
              <w:t>Strategia ZIT WrOF 2021-2027</w:t>
            </w:r>
          </w:p>
        </w:tc>
      </w:tr>
      <w:tr w:rsidR="009571A1" w:rsidRPr="00576020" w:rsidTr="00576020">
        <w:trPr>
          <w:trHeight w:val="435"/>
        </w:trPr>
        <w:tc>
          <w:tcPr>
            <w:tcW w:w="4531" w:type="dxa"/>
            <w:vAlign w:val="center"/>
          </w:tcPr>
          <w:p w:rsidR="009571A1"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1. Zwiększenie spójności rozwoju kraju </w:t>
            </w:r>
            <w:r w:rsidR="00CF1B43" w:rsidRPr="00576020">
              <w:rPr>
                <w:rFonts w:ascii="Calibri" w:hAnsi="Calibri" w:cs="Calibri"/>
                <w:color w:val="000000"/>
                <w:szCs w:val="20"/>
              </w:rPr>
              <w:br/>
            </w:r>
            <w:r w:rsidRPr="00576020">
              <w:rPr>
                <w:rFonts w:ascii="Calibri" w:hAnsi="Calibri" w:cs="Calibri"/>
                <w:color w:val="000000"/>
                <w:szCs w:val="20"/>
              </w:rPr>
              <w:t>w wymiarze społecznym, gospodarczym, środowiskowym i przestrzennym</w:t>
            </w:r>
          </w:p>
        </w:tc>
        <w:tc>
          <w:tcPr>
            <w:tcW w:w="4531" w:type="dxa"/>
            <w:vAlign w:val="center"/>
          </w:tcPr>
          <w:p w:rsidR="009571A1" w:rsidRPr="00576020" w:rsidRDefault="009571A1" w:rsidP="00576020">
            <w:pPr>
              <w:spacing w:line="240" w:lineRule="auto"/>
              <w:jc w:val="left"/>
              <w:rPr>
                <w:szCs w:val="20"/>
              </w:rPr>
            </w:pPr>
            <w:r w:rsidRPr="00576020">
              <w:rPr>
                <w:rFonts w:ascii="Calibri" w:hAnsi="Calibri" w:cs="Calibri"/>
                <w:color w:val="000000"/>
                <w:szCs w:val="20"/>
              </w:rPr>
              <w:t>Cel strategiczny 1. Poprawa jakości życia na terenie WrOF</w:t>
            </w:r>
          </w:p>
        </w:tc>
      </w:tr>
      <w:tr w:rsidR="009571A1" w:rsidRPr="00576020" w:rsidTr="00576020">
        <w:trPr>
          <w:trHeight w:val="435"/>
        </w:trPr>
        <w:tc>
          <w:tcPr>
            <w:tcW w:w="4531" w:type="dxa"/>
            <w:vAlign w:val="center"/>
          </w:tcPr>
          <w:p w:rsidR="009571A1" w:rsidRPr="00576020" w:rsidRDefault="00576020"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1. Zwiększenie spójności rozwoju kraju </w:t>
            </w:r>
            <w:r w:rsidRPr="00576020">
              <w:rPr>
                <w:rFonts w:ascii="Calibri" w:hAnsi="Calibri" w:cs="Calibri"/>
                <w:color w:val="000000"/>
                <w:szCs w:val="20"/>
              </w:rPr>
              <w:br/>
              <w:t>w wymiarze społecznym, gospodarczym, środowiskowym i przestrzennym</w:t>
            </w:r>
          </w:p>
        </w:tc>
        <w:tc>
          <w:tcPr>
            <w:tcW w:w="4531" w:type="dxa"/>
            <w:vAlign w:val="center"/>
          </w:tcPr>
          <w:p w:rsidR="009571A1"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strategiczny 2. Wzmacnianie innowacyjności </w:t>
            </w:r>
            <w:r w:rsidR="00CF1B43" w:rsidRPr="00576020">
              <w:rPr>
                <w:rFonts w:ascii="Calibri" w:hAnsi="Calibri" w:cs="Calibri"/>
                <w:color w:val="000000"/>
                <w:szCs w:val="20"/>
              </w:rPr>
              <w:br/>
            </w:r>
            <w:r w:rsidRPr="00576020">
              <w:rPr>
                <w:rFonts w:ascii="Calibri" w:hAnsi="Calibri" w:cs="Calibri"/>
                <w:color w:val="000000"/>
                <w:szCs w:val="20"/>
              </w:rPr>
              <w:t>i konkurencyjności gospodarki WrOF</w:t>
            </w:r>
          </w:p>
        </w:tc>
      </w:tr>
      <w:tr w:rsidR="005177E9" w:rsidRPr="00576020" w:rsidTr="00576020">
        <w:trPr>
          <w:trHeight w:val="293"/>
        </w:trPr>
        <w:tc>
          <w:tcPr>
            <w:tcW w:w="4531" w:type="dxa"/>
            <w:vAlign w:val="center"/>
          </w:tcPr>
          <w:p w:rsidR="005177E9" w:rsidRPr="00576020" w:rsidRDefault="005177E9" w:rsidP="00576020">
            <w:pPr>
              <w:spacing w:line="240" w:lineRule="auto"/>
              <w:jc w:val="left"/>
              <w:rPr>
                <w:rFonts w:ascii="Calibri" w:hAnsi="Calibri" w:cs="Calibri"/>
                <w:color w:val="000000"/>
                <w:szCs w:val="20"/>
              </w:rPr>
            </w:pPr>
            <w:r w:rsidRPr="00576020">
              <w:rPr>
                <w:rFonts w:ascii="Calibri" w:hAnsi="Calibri" w:cs="Calibri"/>
                <w:color w:val="000000"/>
                <w:szCs w:val="20"/>
              </w:rPr>
              <w:t>Cel 2. Wzmacnianie regionalnych przewag konkurencyjnych</w:t>
            </w:r>
          </w:p>
        </w:tc>
        <w:tc>
          <w:tcPr>
            <w:tcW w:w="4531" w:type="dxa"/>
            <w:vAlign w:val="center"/>
          </w:tcPr>
          <w:p w:rsidR="005177E9" w:rsidRPr="00576020" w:rsidRDefault="005177E9" w:rsidP="00576020">
            <w:pPr>
              <w:spacing w:line="240" w:lineRule="auto"/>
              <w:jc w:val="left"/>
              <w:rPr>
                <w:szCs w:val="20"/>
              </w:rPr>
            </w:pPr>
            <w:r w:rsidRPr="00576020">
              <w:rPr>
                <w:rFonts w:ascii="Calibri" w:hAnsi="Calibri" w:cs="Calibri"/>
                <w:color w:val="000000"/>
                <w:szCs w:val="20"/>
              </w:rPr>
              <w:t>Cel strategiczny 1. Poprawa jakości życia na terenie WrOF</w:t>
            </w:r>
          </w:p>
        </w:tc>
      </w:tr>
      <w:tr w:rsidR="005177E9" w:rsidRPr="00576020" w:rsidTr="00576020">
        <w:trPr>
          <w:trHeight w:val="292"/>
        </w:trPr>
        <w:tc>
          <w:tcPr>
            <w:tcW w:w="4531" w:type="dxa"/>
            <w:vAlign w:val="center"/>
          </w:tcPr>
          <w:p w:rsidR="005177E9" w:rsidRPr="00576020" w:rsidRDefault="00576020" w:rsidP="00576020">
            <w:pPr>
              <w:spacing w:line="240" w:lineRule="auto"/>
              <w:jc w:val="left"/>
              <w:rPr>
                <w:rFonts w:ascii="Calibri" w:hAnsi="Calibri" w:cs="Calibri"/>
                <w:color w:val="000000"/>
                <w:szCs w:val="20"/>
              </w:rPr>
            </w:pPr>
            <w:r w:rsidRPr="00576020">
              <w:rPr>
                <w:rFonts w:ascii="Calibri" w:hAnsi="Calibri" w:cs="Calibri"/>
                <w:color w:val="000000"/>
                <w:szCs w:val="20"/>
              </w:rPr>
              <w:t>Cel 2. Wzmacnianie regionalnych przewag konkurencyjnych</w:t>
            </w:r>
          </w:p>
        </w:tc>
        <w:tc>
          <w:tcPr>
            <w:tcW w:w="4531" w:type="dxa"/>
            <w:vAlign w:val="center"/>
          </w:tcPr>
          <w:p w:rsidR="005177E9"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 xml:space="preserve">Cel strategiczny 2. Wzmacnianie innowacyjności </w:t>
            </w:r>
            <w:r w:rsidR="00CF1B43" w:rsidRPr="00576020">
              <w:rPr>
                <w:rFonts w:ascii="Calibri" w:hAnsi="Calibri" w:cs="Calibri"/>
                <w:color w:val="000000"/>
                <w:szCs w:val="20"/>
              </w:rPr>
              <w:br/>
            </w:r>
            <w:r w:rsidRPr="00576020">
              <w:rPr>
                <w:rFonts w:ascii="Calibri" w:hAnsi="Calibri" w:cs="Calibri"/>
                <w:color w:val="000000"/>
                <w:szCs w:val="20"/>
              </w:rPr>
              <w:t>i konkurencyjności gospodarki WrOF</w:t>
            </w:r>
          </w:p>
        </w:tc>
      </w:tr>
      <w:tr w:rsidR="009571A1" w:rsidRPr="00576020" w:rsidTr="00576020">
        <w:trPr>
          <w:trHeight w:val="293"/>
        </w:trPr>
        <w:tc>
          <w:tcPr>
            <w:tcW w:w="4531" w:type="dxa"/>
            <w:vAlign w:val="center"/>
          </w:tcPr>
          <w:p w:rsidR="009571A1"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Cel 3. Podniesienie jakości zarządzania i wdrażania polityk ukierunkowanych terytorialnie</w:t>
            </w:r>
          </w:p>
        </w:tc>
        <w:tc>
          <w:tcPr>
            <w:tcW w:w="4531" w:type="dxa"/>
            <w:vAlign w:val="center"/>
          </w:tcPr>
          <w:p w:rsidR="009571A1"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Cel strategiczny 1. Poprawa jakości życia na terenie WrOF</w:t>
            </w:r>
          </w:p>
        </w:tc>
      </w:tr>
      <w:tr w:rsidR="009571A1" w:rsidRPr="00576020" w:rsidTr="00576020">
        <w:trPr>
          <w:trHeight w:val="292"/>
        </w:trPr>
        <w:tc>
          <w:tcPr>
            <w:tcW w:w="4531" w:type="dxa"/>
            <w:vAlign w:val="center"/>
          </w:tcPr>
          <w:p w:rsidR="009571A1" w:rsidRPr="00576020" w:rsidRDefault="00576020" w:rsidP="00576020">
            <w:pPr>
              <w:spacing w:line="240" w:lineRule="auto"/>
              <w:jc w:val="left"/>
              <w:rPr>
                <w:szCs w:val="20"/>
              </w:rPr>
            </w:pPr>
            <w:r w:rsidRPr="00576020">
              <w:rPr>
                <w:rFonts w:ascii="Calibri" w:hAnsi="Calibri" w:cs="Calibri"/>
                <w:color w:val="000000"/>
                <w:szCs w:val="20"/>
              </w:rPr>
              <w:t>Cel 3. Podniesienie jakości zarządzania i wdrażania polityk ukierunkowanych terytorialnie</w:t>
            </w:r>
          </w:p>
        </w:tc>
        <w:tc>
          <w:tcPr>
            <w:tcW w:w="4531" w:type="dxa"/>
            <w:vAlign w:val="center"/>
          </w:tcPr>
          <w:p w:rsidR="009571A1" w:rsidRPr="00576020" w:rsidRDefault="009571A1" w:rsidP="00576020">
            <w:pPr>
              <w:spacing w:line="240" w:lineRule="auto"/>
              <w:jc w:val="left"/>
              <w:rPr>
                <w:rFonts w:ascii="Calibri" w:hAnsi="Calibri" w:cs="Calibri"/>
                <w:color w:val="000000"/>
                <w:szCs w:val="20"/>
              </w:rPr>
            </w:pPr>
            <w:r w:rsidRPr="00576020">
              <w:rPr>
                <w:rFonts w:ascii="Calibri" w:hAnsi="Calibri" w:cs="Calibri"/>
                <w:color w:val="000000"/>
                <w:szCs w:val="20"/>
              </w:rPr>
              <w:t>Cel strategiczny 4. Integracja i rozwój terytorialny WrOF</w:t>
            </w:r>
          </w:p>
        </w:tc>
      </w:tr>
    </w:tbl>
    <w:p w:rsidR="002C6E4B" w:rsidRDefault="002C6E4B" w:rsidP="002C6E4B"/>
    <w:p w:rsidR="00275A47" w:rsidRPr="00576020" w:rsidRDefault="00443A9B" w:rsidP="00576020">
      <w:pPr>
        <w:spacing w:before="120" w:after="0"/>
        <w:jc w:val="left"/>
        <w:rPr>
          <w:rFonts w:cstheme="minorHAnsi"/>
          <w:b/>
          <w:color w:val="000000" w:themeColor="text1"/>
          <w:sz w:val="24"/>
        </w:rPr>
      </w:pPr>
      <w:r w:rsidRPr="00576020">
        <w:rPr>
          <w:rFonts w:cstheme="minorHAnsi"/>
          <w:b/>
          <w:color w:val="000000" w:themeColor="text1"/>
          <w:sz w:val="24"/>
        </w:rPr>
        <w:t>Krajowa Polityka M</w:t>
      </w:r>
      <w:r w:rsidR="00B63739" w:rsidRPr="00576020">
        <w:rPr>
          <w:rFonts w:cstheme="minorHAnsi"/>
          <w:b/>
          <w:color w:val="000000" w:themeColor="text1"/>
          <w:sz w:val="24"/>
        </w:rPr>
        <w:t>iejska 2030</w:t>
      </w:r>
    </w:p>
    <w:p w:rsidR="00035E4B" w:rsidRPr="00576020" w:rsidRDefault="00614C3A" w:rsidP="00576020">
      <w:pPr>
        <w:spacing w:after="0"/>
        <w:jc w:val="left"/>
        <w:rPr>
          <w:color w:val="000000" w:themeColor="text1"/>
          <w:sz w:val="24"/>
        </w:rPr>
      </w:pPr>
      <w:r w:rsidRPr="00576020">
        <w:rPr>
          <w:color w:val="000000" w:themeColor="text1"/>
          <w:sz w:val="24"/>
        </w:rPr>
        <w:t>Krajowa polityka miejska 2030 jest dokumentem, który skupia się na zrównoważonym rozwoju miast oraz miejskich obszarów funkcjo</w:t>
      </w:r>
      <w:r w:rsidR="00675E9E" w:rsidRPr="00576020">
        <w:rPr>
          <w:color w:val="000000" w:themeColor="text1"/>
          <w:sz w:val="24"/>
        </w:rPr>
        <w:t xml:space="preserve">nalnych oraz wskazuje działania, </w:t>
      </w:r>
      <w:r w:rsidRPr="00576020">
        <w:rPr>
          <w:color w:val="000000" w:themeColor="text1"/>
          <w:sz w:val="24"/>
        </w:rPr>
        <w:t>narzędzia i</w:t>
      </w:r>
      <w:r w:rsidR="00857609">
        <w:rPr>
          <w:color w:val="000000" w:themeColor="text1"/>
          <w:sz w:val="24"/>
        </w:rPr>
        <w:t> </w:t>
      </w:r>
      <w:r w:rsidRPr="00576020">
        <w:rPr>
          <w:color w:val="000000" w:themeColor="text1"/>
          <w:sz w:val="24"/>
        </w:rPr>
        <w:t xml:space="preserve">instrumenty, będące odpowiedzią na aktualne </w:t>
      </w:r>
      <w:r w:rsidR="00334780" w:rsidRPr="00576020">
        <w:rPr>
          <w:color w:val="000000" w:themeColor="text1"/>
          <w:sz w:val="24"/>
        </w:rPr>
        <w:t>zjawiska</w:t>
      </w:r>
      <w:r w:rsidR="00857609">
        <w:rPr>
          <w:color w:val="000000" w:themeColor="text1"/>
          <w:sz w:val="24"/>
        </w:rPr>
        <w:t xml:space="preserve"> i procesy identyfikowane w </w:t>
      </w:r>
      <w:r w:rsidRPr="00576020">
        <w:rPr>
          <w:color w:val="000000" w:themeColor="text1"/>
          <w:sz w:val="24"/>
        </w:rPr>
        <w:t xml:space="preserve">miastach. </w:t>
      </w:r>
      <w:r w:rsidR="0033669A" w:rsidRPr="00576020">
        <w:rPr>
          <w:color w:val="000000" w:themeColor="text1"/>
          <w:sz w:val="24"/>
        </w:rPr>
        <w:t xml:space="preserve">W dokumencie wskazano sześć celów, które wpisują się w wizję rozwoju miast oraz ich obszarów funkcjonalnych </w:t>
      </w:r>
      <w:r w:rsidR="00675E9E" w:rsidRPr="00576020">
        <w:rPr>
          <w:color w:val="000000" w:themeColor="text1"/>
          <w:sz w:val="24"/>
        </w:rPr>
        <w:t>w </w:t>
      </w:r>
      <w:r w:rsidR="0033669A" w:rsidRPr="00576020">
        <w:rPr>
          <w:color w:val="000000" w:themeColor="text1"/>
          <w:sz w:val="24"/>
        </w:rPr>
        <w:t>perspektywie</w:t>
      </w:r>
      <w:r w:rsidR="00675E9E" w:rsidRPr="00576020">
        <w:rPr>
          <w:color w:val="000000" w:themeColor="text1"/>
          <w:sz w:val="24"/>
        </w:rPr>
        <w:t xml:space="preserve"> długofalowej, mianowicie:</w:t>
      </w:r>
    </w:p>
    <w:p w:rsidR="00035E4B" w:rsidRPr="00576020" w:rsidRDefault="00A23F3F" w:rsidP="00576020">
      <w:pPr>
        <w:pStyle w:val="Akapitzlist"/>
        <w:numPr>
          <w:ilvl w:val="0"/>
          <w:numId w:val="4"/>
        </w:numPr>
        <w:jc w:val="left"/>
        <w:rPr>
          <w:color w:val="000000" w:themeColor="text1"/>
          <w:sz w:val="24"/>
        </w:rPr>
      </w:pPr>
      <w:r w:rsidRPr="00576020">
        <w:rPr>
          <w:color w:val="000000" w:themeColor="text1"/>
          <w:sz w:val="24"/>
        </w:rPr>
        <w:t>miasto kompaktowe</w:t>
      </w:r>
      <w:r w:rsidR="00AE1747" w:rsidRPr="00576020">
        <w:rPr>
          <w:color w:val="000000" w:themeColor="text1"/>
          <w:sz w:val="24"/>
        </w:rPr>
        <w:t xml:space="preserve"> </w:t>
      </w:r>
      <w:r w:rsidRPr="00576020">
        <w:rPr>
          <w:color w:val="000000" w:themeColor="text1"/>
          <w:sz w:val="24"/>
        </w:rPr>
        <w:t>skupia się zrównoważonym rozwoju obszarów miejski</w:t>
      </w:r>
      <w:r w:rsidR="00F95228" w:rsidRPr="00576020">
        <w:rPr>
          <w:color w:val="000000" w:themeColor="text1"/>
          <w:sz w:val="24"/>
        </w:rPr>
        <w:t>ch oraz racjonalnym wykorzystaniu</w:t>
      </w:r>
      <w:r w:rsidRPr="00576020">
        <w:rPr>
          <w:color w:val="000000" w:themeColor="text1"/>
          <w:sz w:val="24"/>
        </w:rPr>
        <w:t xml:space="preserve"> p</w:t>
      </w:r>
      <w:r w:rsidR="00035E4B" w:rsidRPr="00576020">
        <w:rPr>
          <w:color w:val="000000" w:themeColor="text1"/>
          <w:sz w:val="24"/>
        </w:rPr>
        <w:t>rzestrzeni i dostępnych zasobów</w:t>
      </w:r>
      <w:r w:rsidR="00B717DD" w:rsidRPr="00576020">
        <w:rPr>
          <w:color w:val="000000" w:themeColor="text1"/>
          <w:sz w:val="24"/>
        </w:rPr>
        <w:t>,</w:t>
      </w:r>
    </w:p>
    <w:p w:rsidR="00614C3A" w:rsidRPr="00576020" w:rsidRDefault="00035E4B" w:rsidP="00576020">
      <w:pPr>
        <w:pStyle w:val="Akapitzlist"/>
        <w:numPr>
          <w:ilvl w:val="0"/>
          <w:numId w:val="4"/>
        </w:numPr>
        <w:jc w:val="left"/>
        <w:rPr>
          <w:color w:val="000000" w:themeColor="text1"/>
          <w:sz w:val="24"/>
        </w:rPr>
      </w:pPr>
      <w:r w:rsidRPr="00576020">
        <w:rPr>
          <w:color w:val="000000" w:themeColor="text1"/>
          <w:sz w:val="24"/>
        </w:rPr>
        <w:t>m</w:t>
      </w:r>
      <w:r w:rsidR="00A23F3F" w:rsidRPr="00576020">
        <w:rPr>
          <w:color w:val="000000" w:themeColor="text1"/>
          <w:sz w:val="24"/>
        </w:rPr>
        <w:t>iasto zielone dotyczy realizacji działań mających na celu przeciwdział</w:t>
      </w:r>
      <w:r w:rsidR="00857609">
        <w:rPr>
          <w:color w:val="000000" w:themeColor="text1"/>
          <w:sz w:val="24"/>
        </w:rPr>
        <w:t>anie i </w:t>
      </w:r>
      <w:r w:rsidR="00A23F3F" w:rsidRPr="00576020">
        <w:rPr>
          <w:color w:val="000000" w:themeColor="text1"/>
          <w:sz w:val="24"/>
        </w:rPr>
        <w:t xml:space="preserve">zapobieganie negatywnym skutkom kryzysu klimatycznego oraz </w:t>
      </w:r>
      <w:r w:rsidRPr="00576020">
        <w:rPr>
          <w:color w:val="000000" w:themeColor="text1"/>
          <w:sz w:val="24"/>
        </w:rPr>
        <w:t>poprawie</w:t>
      </w:r>
      <w:r w:rsidR="00A23F3F" w:rsidRPr="00576020">
        <w:rPr>
          <w:color w:val="000000" w:themeColor="text1"/>
          <w:sz w:val="24"/>
        </w:rPr>
        <w:t xml:space="preserve"> jakoś</w:t>
      </w:r>
      <w:r w:rsidRPr="00576020">
        <w:rPr>
          <w:color w:val="000000" w:themeColor="text1"/>
          <w:sz w:val="24"/>
        </w:rPr>
        <w:t>ci powietrza</w:t>
      </w:r>
      <w:r w:rsidR="00B717DD" w:rsidRPr="00576020">
        <w:rPr>
          <w:color w:val="000000" w:themeColor="text1"/>
          <w:sz w:val="24"/>
        </w:rPr>
        <w:t>,</w:t>
      </w:r>
    </w:p>
    <w:p w:rsidR="00035E4B" w:rsidRPr="00576020" w:rsidRDefault="00035E4B" w:rsidP="00576020">
      <w:pPr>
        <w:pStyle w:val="Akapitzlist"/>
        <w:numPr>
          <w:ilvl w:val="0"/>
          <w:numId w:val="4"/>
        </w:numPr>
        <w:jc w:val="left"/>
        <w:rPr>
          <w:color w:val="000000" w:themeColor="text1"/>
          <w:sz w:val="24"/>
        </w:rPr>
      </w:pPr>
      <w:r w:rsidRPr="00576020">
        <w:rPr>
          <w:color w:val="000000" w:themeColor="text1"/>
          <w:sz w:val="24"/>
        </w:rPr>
        <w:t>miasto produktywne oznacza rozwój zdywersyfikowanej gospodarki oraz zwiększenie atrakcyjności rynku pracy na obszarach miejskich</w:t>
      </w:r>
      <w:r w:rsidR="00B717DD" w:rsidRPr="00576020">
        <w:rPr>
          <w:color w:val="000000" w:themeColor="text1"/>
          <w:sz w:val="24"/>
        </w:rPr>
        <w:t>,</w:t>
      </w:r>
    </w:p>
    <w:p w:rsidR="00035E4B" w:rsidRPr="00576020" w:rsidRDefault="00035E4B" w:rsidP="00576020">
      <w:pPr>
        <w:pStyle w:val="Akapitzlist"/>
        <w:numPr>
          <w:ilvl w:val="0"/>
          <w:numId w:val="4"/>
        </w:numPr>
        <w:jc w:val="left"/>
        <w:rPr>
          <w:color w:val="000000" w:themeColor="text1"/>
          <w:sz w:val="24"/>
        </w:rPr>
      </w:pPr>
      <w:r w:rsidRPr="00576020">
        <w:rPr>
          <w:color w:val="000000" w:themeColor="text1"/>
          <w:sz w:val="24"/>
        </w:rPr>
        <w:t xml:space="preserve">miasto cyfrowe </w:t>
      </w:r>
      <w:r w:rsidR="002E04BC" w:rsidRPr="00576020">
        <w:rPr>
          <w:color w:val="000000" w:themeColor="text1"/>
          <w:sz w:val="24"/>
        </w:rPr>
        <w:t>zakłada zwiększenie efektywności zarządzania rozwojem miejskim poprzez procesy transformacji cyfrowej</w:t>
      </w:r>
      <w:r w:rsidR="00B717DD" w:rsidRPr="00576020">
        <w:rPr>
          <w:color w:val="000000" w:themeColor="text1"/>
          <w:sz w:val="24"/>
        </w:rPr>
        <w:t>,</w:t>
      </w:r>
    </w:p>
    <w:p w:rsidR="00035E4B" w:rsidRPr="00576020" w:rsidRDefault="00035E4B" w:rsidP="00576020">
      <w:pPr>
        <w:pStyle w:val="Akapitzlist"/>
        <w:numPr>
          <w:ilvl w:val="0"/>
          <w:numId w:val="4"/>
        </w:numPr>
        <w:jc w:val="left"/>
        <w:rPr>
          <w:color w:val="000000" w:themeColor="text1"/>
          <w:sz w:val="24"/>
        </w:rPr>
      </w:pPr>
      <w:r w:rsidRPr="00576020">
        <w:rPr>
          <w:color w:val="000000" w:themeColor="text1"/>
          <w:sz w:val="24"/>
        </w:rPr>
        <w:t>miasto dostępne</w:t>
      </w:r>
      <w:r w:rsidR="002E04BC" w:rsidRPr="00576020">
        <w:rPr>
          <w:color w:val="000000" w:themeColor="text1"/>
          <w:sz w:val="24"/>
        </w:rPr>
        <w:t xml:space="preserve"> ma zapewnić równe szanse</w:t>
      </w:r>
      <w:r w:rsidR="00B717DD" w:rsidRPr="00576020">
        <w:rPr>
          <w:color w:val="000000" w:themeColor="text1"/>
          <w:sz w:val="24"/>
        </w:rPr>
        <w:t xml:space="preserve"> wszystkim mieszkańcom w dostępie do usług oraz umożliwić pełne uczestnictwo w życiu społecznym,</w:t>
      </w:r>
    </w:p>
    <w:p w:rsidR="00035E4B" w:rsidRPr="00576020" w:rsidRDefault="00035E4B" w:rsidP="00576020">
      <w:pPr>
        <w:pStyle w:val="Akapitzlist"/>
        <w:numPr>
          <w:ilvl w:val="0"/>
          <w:numId w:val="4"/>
        </w:numPr>
        <w:jc w:val="left"/>
        <w:rPr>
          <w:color w:val="000000" w:themeColor="text1"/>
          <w:sz w:val="24"/>
        </w:rPr>
      </w:pPr>
      <w:r w:rsidRPr="00576020">
        <w:rPr>
          <w:color w:val="000000" w:themeColor="text1"/>
          <w:sz w:val="24"/>
        </w:rPr>
        <w:t>miasto sprawne</w:t>
      </w:r>
      <w:r w:rsidR="00B717DD" w:rsidRPr="00576020">
        <w:rPr>
          <w:color w:val="000000" w:themeColor="text1"/>
          <w:sz w:val="24"/>
        </w:rPr>
        <w:t xml:space="preserve"> oznacza zdolność skutecznego wykorzystania posiadanych zasobów, zwiększenie efektywności </w:t>
      </w:r>
      <w:r w:rsidR="00241148" w:rsidRPr="00576020">
        <w:rPr>
          <w:color w:val="000000" w:themeColor="text1"/>
          <w:sz w:val="24"/>
        </w:rPr>
        <w:t>zarządzania oraz stopnia współpracy między interesariuszami procesu rozwoju miejskich obszarów funkcjonalnych</w:t>
      </w:r>
      <w:r w:rsidR="00675E9E" w:rsidRPr="00576020">
        <w:rPr>
          <w:color w:val="000000" w:themeColor="text1"/>
          <w:sz w:val="24"/>
        </w:rPr>
        <w:t>.</w:t>
      </w:r>
    </w:p>
    <w:p w:rsidR="00750A76" w:rsidRPr="00576020" w:rsidRDefault="00675E9E" w:rsidP="00576020">
      <w:pPr>
        <w:spacing w:after="120"/>
        <w:jc w:val="left"/>
        <w:rPr>
          <w:color w:val="000000" w:themeColor="text1"/>
          <w:sz w:val="24"/>
        </w:rPr>
      </w:pPr>
      <w:r w:rsidRPr="00576020">
        <w:rPr>
          <w:color w:val="000000" w:themeColor="text1"/>
          <w:sz w:val="24"/>
        </w:rPr>
        <w:t xml:space="preserve">Poniżej odniesiono się do celów Krajowej polityki miejskiej 2030 </w:t>
      </w:r>
      <w:r w:rsidR="002B644C" w:rsidRPr="00576020">
        <w:rPr>
          <w:color w:val="000000" w:themeColor="text1"/>
          <w:sz w:val="24"/>
        </w:rPr>
        <w:t>i celów Strategii ZIT WrOF</w:t>
      </w:r>
      <w:r w:rsidRPr="00576020">
        <w:rPr>
          <w:color w:val="000000" w:themeColor="text1"/>
          <w:sz w:val="24"/>
        </w:rPr>
        <w:t xml:space="preserve"> 2021-2027, których z</w:t>
      </w:r>
      <w:r w:rsidR="00BA690F" w:rsidRPr="00576020">
        <w:rPr>
          <w:color w:val="000000" w:themeColor="text1"/>
          <w:sz w:val="24"/>
        </w:rPr>
        <w:t xml:space="preserve">akres realizacji tożsamy jest ze wskazanymi założeniami. </w:t>
      </w:r>
    </w:p>
    <w:tbl>
      <w:tblPr>
        <w:tblStyle w:val="Tabela-Siatka"/>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Krajowa Polityka Miejska 2030 a Strategia ZIT WrOF 2021-2027"/>
      </w:tblPr>
      <w:tblGrid>
        <w:gridCol w:w="2213"/>
        <w:gridCol w:w="6849"/>
      </w:tblGrid>
      <w:tr w:rsidR="00D835B9" w:rsidRPr="00D835B9" w:rsidTr="00F25E70">
        <w:trPr>
          <w:trHeight w:val="850"/>
          <w:tblHeader/>
        </w:trPr>
        <w:tc>
          <w:tcPr>
            <w:tcW w:w="2213" w:type="dxa"/>
            <w:shd w:val="clear" w:color="auto" w:fill="F2F2F2" w:themeFill="background1" w:themeFillShade="F2"/>
            <w:vAlign w:val="center"/>
          </w:tcPr>
          <w:p w:rsidR="00B63739" w:rsidRPr="00D835B9" w:rsidRDefault="00443A9B" w:rsidP="00D835B9">
            <w:pPr>
              <w:spacing w:line="259" w:lineRule="auto"/>
              <w:jc w:val="left"/>
              <w:rPr>
                <w:bCs/>
                <w:color w:val="000000" w:themeColor="text1"/>
                <w:szCs w:val="20"/>
              </w:rPr>
            </w:pPr>
            <w:r w:rsidRPr="00D835B9">
              <w:rPr>
                <w:bCs/>
                <w:color w:val="000000" w:themeColor="text1"/>
                <w:szCs w:val="20"/>
              </w:rPr>
              <w:t>Krajowa Polityka M</w:t>
            </w:r>
            <w:r w:rsidR="00B63739" w:rsidRPr="00D835B9">
              <w:rPr>
                <w:bCs/>
                <w:color w:val="000000" w:themeColor="text1"/>
                <w:szCs w:val="20"/>
              </w:rPr>
              <w:t>iejska 2030</w:t>
            </w:r>
          </w:p>
        </w:tc>
        <w:tc>
          <w:tcPr>
            <w:tcW w:w="6849" w:type="dxa"/>
            <w:shd w:val="clear" w:color="auto" w:fill="F2F2F2" w:themeFill="background1" w:themeFillShade="F2"/>
            <w:vAlign w:val="center"/>
          </w:tcPr>
          <w:p w:rsidR="00B63739" w:rsidRPr="00D835B9" w:rsidRDefault="00B63739" w:rsidP="00D835B9">
            <w:pPr>
              <w:spacing w:line="259" w:lineRule="auto"/>
              <w:jc w:val="left"/>
              <w:rPr>
                <w:bCs/>
                <w:color w:val="000000" w:themeColor="text1"/>
                <w:szCs w:val="20"/>
              </w:rPr>
            </w:pPr>
            <w:r w:rsidRPr="00D835B9">
              <w:rPr>
                <w:bCs/>
                <w:color w:val="000000" w:themeColor="text1"/>
                <w:szCs w:val="20"/>
              </w:rPr>
              <w:t>Strategia ZIT WrOF 2021-2027</w:t>
            </w:r>
          </w:p>
        </w:tc>
      </w:tr>
      <w:tr w:rsidR="00D835B9" w:rsidRPr="00D835B9" w:rsidTr="00D835B9">
        <w:trPr>
          <w:trHeight w:val="567"/>
        </w:trPr>
        <w:tc>
          <w:tcPr>
            <w:tcW w:w="2213" w:type="dxa"/>
            <w:vAlign w:val="center"/>
          </w:tcPr>
          <w:p w:rsidR="005E7BC7"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kompaktowe</w:t>
            </w:r>
          </w:p>
        </w:tc>
        <w:tc>
          <w:tcPr>
            <w:tcW w:w="6849" w:type="dxa"/>
            <w:vAlign w:val="center"/>
          </w:tcPr>
          <w:p w:rsidR="005E7BC7"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 xml:space="preserve">Cel strategiczny 3. </w:t>
            </w:r>
            <w:r w:rsidR="00D758EF" w:rsidRPr="00D835B9">
              <w:rPr>
                <w:rFonts w:ascii="Calibri" w:hAnsi="Calibri" w:cs="Calibri"/>
                <w:color w:val="000000" w:themeColor="text1"/>
                <w:szCs w:val="20"/>
              </w:rPr>
              <w:t>Ochrona środowiska naturalnego i adaptacja WrOF do zmian klimatu</w:t>
            </w:r>
          </w:p>
        </w:tc>
      </w:tr>
      <w:tr w:rsidR="00D835B9" w:rsidRPr="00D835B9" w:rsidTr="00D835B9">
        <w:trPr>
          <w:trHeight w:val="567"/>
        </w:trPr>
        <w:tc>
          <w:tcPr>
            <w:tcW w:w="2213" w:type="dxa"/>
            <w:vAlign w:val="center"/>
          </w:tcPr>
          <w:p w:rsidR="005E7BC7" w:rsidRPr="00D835B9" w:rsidRDefault="00D835B9"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kompaktowe</w:t>
            </w:r>
          </w:p>
        </w:tc>
        <w:tc>
          <w:tcPr>
            <w:tcW w:w="6849" w:type="dxa"/>
            <w:vAlign w:val="center"/>
          </w:tcPr>
          <w:p w:rsidR="005E7BC7"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Cel strategiczny 4. Integracja i rozwój terytorialny WrOF</w:t>
            </w:r>
          </w:p>
        </w:tc>
      </w:tr>
      <w:tr w:rsidR="00D835B9" w:rsidRPr="00D835B9" w:rsidTr="00D835B9">
        <w:trPr>
          <w:trHeight w:val="567"/>
        </w:trPr>
        <w:tc>
          <w:tcPr>
            <w:tcW w:w="2213" w:type="dxa"/>
            <w:vAlign w:val="center"/>
          </w:tcPr>
          <w:p w:rsidR="00B63739" w:rsidRPr="00D835B9" w:rsidRDefault="00241148"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zielone</w:t>
            </w:r>
          </w:p>
        </w:tc>
        <w:tc>
          <w:tcPr>
            <w:tcW w:w="6849" w:type="dxa"/>
            <w:vAlign w:val="center"/>
          </w:tcPr>
          <w:p w:rsidR="00B63739"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 xml:space="preserve">Cel strategiczny 3. </w:t>
            </w:r>
            <w:r w:rsidR="00D758EF" w:rsidRPr="00D835B9">
              <w:rPr>
                <w:rFonts w:ascii="Calibri" w:hAnsi="Calibri" w:cs="Calibri"/>
                <w:color w:val="000000" w:themeColor="text1"/>
                <w:szCs w:val="20"/>
              </w:rPr>
              <w:t>Ochrona środowiska naturalnego i adaptacja WrOF do zmian klimatu</w:t>
            </w:r>
          </w:p>
        </w:tc>
      </w:tr>
      <w:tr w:rsidR="00D835B9" w:rsidRPr="00D835B9" w:rsidTr="00D835B9">
        <w:trPr>
          <w:trHeight w:val="567"/>
        </w:trPr>
        <w:tc>
          <w:tcPr>
            <w:tcW w:w="2213" w:type="dxa"/>
            <w:vAlign w:val="center"/>
          </w:tcPr>
          <w:p w:rsidR="00B63739" w:rsidRPr="00D835B9" w:rsidRDefault="00241148"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produktywne</w:t>
            </w:r>
          </w:p>
        </w:tc>
        <w:tc>
          <w:tcPr>
            <w:tcW w:w="6849" w:type="dxa"/>
            <w:vAlign w:val="center"/>
          </w:tcPr>
          <w:p w:rsidR="00B63739"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Cel strategiczny 2. Wzmacnianie innowacyjności i konkurencyjności gospodarki WrOF</w:t>
            </w:r>
          </w:p>
        </w:tc>
      </w:tr>
      <w:tr w:rsidR="00D835B9" w:rsidRPr="00D835B9" w:rsidTr="00D835B9">
        <w:trPr>
          <w:trHeight w:val="567"/>
        </w:trPr>
        <w:tc>
          <w:tcPr>
            <w:tcW w:w="2213" w:type="dxa"/>
            <w:vAlign w:val="center"/>
          </w:tcPr>
          <w:p w:rsidR="00B63739" w:rsidRPr="00D835B9" w:rsidRDefault="005761B4"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cyfrowe</w:t>
            </w:r>
          </w:p>
        </w:tc>
        <w:tc>
          <w:tcPr>
            <w:tcW w:w="6849" w:type="dxa"/>
            <w:vAlign w:val="center"/>
          </w:tcPr>
          <w:p w:rsidR="00B63739" w:rsidRPr="00D835B9" w:rsidRDefault="005E7BC7"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Cel strategiczny 2. Wzmacnianie innowacyjności i konkurencyjności gospodarki WrOF</w:t>
            </w:r>
          </w:p>
        </w:tc>
      </w:tr>
      <w:tr w:rsidR="00D835B9" w:rsidRPr="00D835B9" w:rsidTr="00D835B9">
        <w:trPr>
          <w:trHeight w:val="567"/>
        </w:trPr>
        <w:tc>
          <w:tcPr>
            <w:tcW w:w="2213" w:type="dxa"/>
            <w:vAlign w:val="center"/>
          </w:tcPr>
          <w:p w:rsidR="005761B4" w:rsidRPr="00D835B9" w:rsidRDefault="005761B4"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dostępne</w:t>
            </w:r>
          </w:p>
        </w:tc>
        <w:tc>
          <w:tcPr>
            <w:tcW w:w="6849" w:type="dxa"/>
            <w:vAlign w:val="center"/>
          </w:tcPr>
          <w:p w:rsidR="005761B4" w:rsidRPr="00D835B9" w:rsidRDefault="00443A9B"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Cel strategiczny 4. Integracja i rozwój terytorialny WrOF</w:t>
            </w:r>
          </w:p>
        </w:tc>
      </w:tr>
      <w:tr w:rsidR="00D835B9" w:rsidRPr="00D835B9" w:rsidTr="00D835B9">
        <w:trPr>
          <w:trHeight w:val="567"/>
        </w:trPr>
        <w:tc>
          <w:tcPr>
            <w:tcW w:w="2213" w:type="dxa"/>
            <w:vAlign w:val="center"/>
          </w:tcPr>
          <w:p w:rsidR="005761B4" w:rsidRPr="00D835B9" w:rsidRDefault="005761B4"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Miasto sprawne</w:t>
            </w:r>
          </w:p>
        </w:tc>
        <w:tc>
          <w:tcPr>
            <w:tcW w:w="6849" w:type="dxa"/>
            <w:vAlign w:val="center"/>
          </w:tcPr>
          <w:p w:rsidR="005761B4" w:rsidRPr="00D835B9" w:rsidRDefault="00443A9B" w:rsidP="00D835B9">
            <w:pPr>
              <w:spacing w:line="259" w:lineRule="auto"/>
              <w:jc w:val="left"/>
              <w:rPr>
                <w:rFonts w:ascii="Calibri" w:hAnsi="Calibri" w:cs="Calibri"/>
                <w:color w:val="000000" w:themeColor="text1"/>
                <w:szCs w:val="20"/>
              </w:rPr>
            </w:pPr>
            <w:r w:rsidRPr="00D835B9">
              <w:rPr>
                <w:rFonts w:ascii="Calibri" w:hAnsi="Calibri" w:cs="Calibri"/>
                <w:color w:val="000000" w:themeColor="text1"/>
                <w:szCs w:val="20"/>
              </w:rPr>
              <w:t>Cel strategiczny 1. Poprawa jakości życia na terenie WrOF</w:t>
            </w:r>
          </w:p>
        </w:tc>
      </w:tr>
    </w:tbl>
    <w:p w:rsidR="00FE572F" w:rsidRDefault="00FE572F">
      <w:pPr>
        <w:rPr>
          <w:b/>
        </w:rPr>
      </w:pPr>
    </w:p>
    <w:p w:rsidR="006126DF" w:rsidRPr="00576020" w:rsidRDefault="006126DF" w:rsidP="00D835B9">
      <w:pPr>
        <w:spacing w:before="120" w:after="0"/>
        <w:jc w:val="left"/>
        <w:rPr>
          <w:rFonts w:cstheme="minorHAnsi"/>
          <w:b/>
          <w:color w:val="000000" w:themeColor="text1"/>
          <w:sz w:val="24"/>
        </w:rPr>
      </w:pPr>
      <w:r w:rsidRPr="00576020">
        <w:rPr>
          <w:rFonts w:cstheme="minorHAnsi"/>
          <w:b/>
          <w:color w:val="000000" w:themeColor="text1"/>
          <w:sz w:val="24"/>
        </w:rPr>
        <w:t>Strategia Rozwoju Województwa Dolnośląskiego 2030</w:t>
      </w:r>
    </w:p>
    <w:p w:rsidR="00883CB6" w:rsidRPr="00576020" w:rsidRDefault="00883CB6" w:rsidP="00D835B9">
      <w:pPr>
        <w:autoSpaceDE w:val="0"/>
        <w:autoSpaceDN w:val="0"/>
        <w:adjustRightInd w:val="0"/>
        <w:spacing w:after="0"/>
        <w:jc w:val="left"/>
        <w:rPr>
          <w:color w:val="000000" w:themeColor="text1"/>
          <w:sz w:val="24"/>
        </w:rPr>
      </w:pPr>
      <w:r w:rsidRPr="00576020">
        <w:rPr>
          <w:color w:val="000000" w:themeColor="text1"/>
          <w:sz w:val="24"/>
        </w:rPr>
        <w:t>Strategia Rozwoju Województwa D</w:t>
      </w:r>
      <w:r w:rsidR="00C763E7" w:rsidRPr="00576020">
        <w:rPr>
          <w:color w:val="000000" w:themeColor="text1"/>
          <w:sz w:val="24"/>
        </w:rPr>
        <w:t>olnośląskiego</w:t>
      </w:r>
      <w:r w:rsidRPr="00576020">
        <w:rPr>
          <w:color w:val="000000" w:themeColor="text1"/>
          <w:sz w:val="24"/>
        </w:rPr>
        <w:t xml:space="preserve"> 2030 stanowi nadrzędny dokument </w:t>
      </w:r>
      <w:r w:rsidR="00C763E7" w:rsidRPr="00576020">
        <w:rPr>
          <w:color w:val="000000" w:themeColor="text1"/>
          <w:sz w:val="24"/>
        </w:rPr>
        <w:t xml:space="preserve">strategiczny </w:t>
      </w:r>
      <w:r w:rsidR="00D341C9" w:rsidRPr="00576020">
        <w:rPr>
          <w:color w:val="000000" w:themeColor="text1"/>
          <w:sz w:val="24"/>
        </w:rPr>
        <w:t>w </w:t>
      </w:r>
      <w:r w:rsidRPr="00576020">
        <w:rPr>
          <w:color w:val="000000" w:themeColor="text1"/>
          <w:sz w:val="24"/>
        </w:rPr>
        <w:t>województwie</w:t>
      </w:r>
      <w:r w:rsidR="00C763E7" w:rsidRPr="00576020">
        <w:rPr>
          <w:color w:val="000000" w:themeColor="text1"/>
          <w:sz w:val="24"/>
        </w:rPr>
        <w:t xml:space="preserve"> dolnośląskim</w:t>
      </w:r>
      <w:r w:rsidR="00D341C9" w:rsidRPr="00576020">
        <w:rPr>
          <w:color w:val="000000" w:themeColor="text1"/>
          <w:sz w:val="24"/>
        </w:rPr>
        <w:t xml:space="preserve"> oraz </w:t>
      </w:r>
      <w:r w:rsidR="00D341C9" w:rsidRPr="00576020">
        <w:rPr>
          <w:rFonts w:ascii="Calibri" w:hAnsi="Calibri" w:cs="Calibri"/>
          <w:color w:val="000000" w:themeColor="text1"/>
          <w:sz w:val="24"/>
        </w:rPr>
        <w:t>odpowiada na podstawowe wyzwania polityki spójnoś</w:t>
      </w:r>
      <w:r w:rsidR="008402BB" w:rsidRPr="00576020">
        <w:rPr>
          <w:rFonts w:ascii="Calibri" w:hAnsi="Calibri" w:cs="Calibri"/>
          <w:color w:val="000000" w:themeColor="text1"/>
          <w:sz w:val="24"/>
        </w:rPr>
        <w:t>ci Unii Europejskiej</w:t>
      </w:r>
      <w:r w:rsidR="00C763E7" w:rsidRPr="00576020">
        <w:rPr>
          <w:color w:val="000000" w:themeColor="text1"/>
          <w:sz w:val="24"/>
        </w:rPr>
        <w:t>.</w:t>
      </w:r>
      <w:r w:rsidR="00AE1747" w:rsidRPr="00576020">
        <w:rPr>
          <w:color w:val="000000" w:themeColor="text1"/>
          <w:sz w:val="24"/>
        </w:rPr>
        <w:t xml:space="preserve"> </w:t>
      </w:r>
      <w:r w:rsidR="00D66558" w:rsidRPr="00576020">
        <w:rPr>
          <w:color w:val="000000" w:themeColor="text1"/>
          <w:sz w:val="24"/>
        </w:rPr>
        <w:t>Dokument</w:t>
      </w:r>
      <w:r w:rsidR="00D66558" w:rsidRPr="00576020">
        <w:rPr>
          <w:rFonts w:ascii="Calibri" w:hAnsi="Calibri" w:cs="Calibri"/>
          <w:color w:val="000000" w:themeColor="text1"/>
          <w:sz w:val="24"/>
        </w:rPr>
        <w:t xml:space="preserve"> zakłada dwa wymiary terytorialne interwencji publicznej: horyzontalny</w:t>
      </w:r>
      <w:r w:rsidR="00585384" w:rsidRPr="00576020">
        <w:rPr>
          <w:rFonts w:ascii="Calibri" w:hAnsi="Calibri" w:cs="Calibri"/>
          <w:color w:val="000000" w:themeColor="text1"/>
          <w:sz w:val="24"/>
        </w:rPr>
        <w:t>, którego realizacja obejmuje terytorium całego województwa</w:t>
      </w:r>
      <w:r w:rsidR="00D66558" w:rsidRPr="00576020">
        <w:rPr>
          <w:rFonts w:ascii="Calibri" w:hAnsi="Calibri" w:cs="Calibri"/>
          <w:color w:val="000000" w:themeColor="text1"/>
          <w:sz w:val="24"/>
        </w:rPr>
        <w:t xml:space="preserve"> oraz obszarowy</w:t>
      </w:r>
      <w:r w:rsidR="00585384" w:rsidRPr="00576020">
        <w:rPr>
          <w:rFonts w:ascii="Calibri" w:hAnsi="Calibri" w:cs="Calibri"/>
          <w:color w:val="000000" w:themeColor="text1"/>
          <w:sz w:val="24"/>
        </w:rPr>
        <w:t>, skupiający się na działaniach ukierunkowanych terytorialnie w stronę OSI (</w:t>
      </w:r>
      <w:r w:rsidR="00662EDE" w:rsidRPr="00576020">
        <w:rPr>
          <w:rFonts w:ascii="Calibri" w:hAnsi="Calibri" w:cs="Calibri"/>
          <w:color w:val="000000" w:themeColor="text1"/>
          <w:sz w:val="24"/>
        </w:rPr>
        <w:t>o</w:t>
      </w:r>
      <w:r w:rsidR="00585384" w:rsidRPr="00576020">
        <w:rPr>
          <w:rFonts w:ascii="Calibri" w:hAnsi="Calibri" w:cs="Calibri"/>
          <w:color w:val="000000" w:themeColor="text1"/>
          <w:sz w:val="24"/>
        </w:rPr>
        <w:t xml:space="preserve">bszarów strategicznej interwencji). </w:t>
      </w:r>
      <w:r w:rsidR="00D13D82" w:rsidRPr="00576020">
        <w:rPr>
          <w:rFonts w:ascii="Calibri" w:hAnsi="Calibri" w:cs="Calibri"/>
          <w:color w:val="000000" w:themeColor="text1"/>
          <w:sz w:val="24"/>
        </w:rPr>
        <w:t>Na </w:t>
      </w:r>
      <w:r w:rsidR="004F2289" w:rsidRPr="00576020">
        <w:rPr>
          <w:rFonts w:ascii="Calibri" w:hAnsi="Calibri" w:cs="Calibri"/>
          <w:color w:val="000000" w:themeColor="text1"/>
          <w:sz w:val="24"/>
        </w:rPr>
        <w:t>poziom</w:t>
      </w:r>
      <w:r w:rsidR="00ED7E59" w:rsidRPr="00576020">
        <w:rPr>
          <w:rFonts w:ascii="Calibri" w:hAnsi="Calibri" w:cs="Calibri"/>
          <w:color w:val="000000" w:themeColor="text1"/>
          <w:sz w:val="24"/>
        </w:rPr>
        <w:t xml:space="preserve">ie regionalnym zdefiniowano OSI, </w:t>
      </w:r>
      <w:r w:rsidR="004F2289" w:rsidRPr="00576020">
        <w:rPr>
          <w:rFonts w:ascii="Calibri" w:hAnsi="Calibri" w:cs="Calibri"/>
          <w:color w:val="000000" w:themeColor="text1"/>
          <w:sz w:val="24"/>
        </w:rPr>
        <w:t>w skład których wchodzi Wrocławski O</w:t>
      </w:r>
      <w:r w:rsidR="00FD5526" w:rsidRPr="00576020">
        <w:rPr>
          <w:rFonts w:ascii="Calibri" w:hAnsi="Calibri" w:cs="Calibri"/>
          <w:color w:val="000000" w:themeColor="text1"/>
          <w:sz w:val="24"/>
        </w:rPr>
        <w:t>bszar Funkcjonalny</w:t>
      </w:r>
      <w:r w:rsidR="00FD5526" w:rsidRPr="00576020">
        <w:rPr>
          <w:rStyle w:val="Odwoanieprzypisudolnego"/>
          <w:rFonts w:ascii="Calibri" w:hAnsi="Calibri" w:cs="Calibri"/>
          <w:color w:val="000000" w:themeColor="text1"/>
          <w:sz w:val="24"/>
        </w:rPr>
        <w:footnoteReference w:id="126"/>
      </w:r>
      <w:r w:rsidR="00FD5526" w:rsidRPr="00576020">
        <w:rPr>
          <w:rFonts w:ascii="Calibri" w:hAnsi="Calibri" w:cs="Calibri"/>
          <w:color w:val="000000" w:themeColor="text1"/>
          <w:sz w:val="24"/>
        </w:rPr>
        <w:t xml:space="preserve">, w odniesieniu do którego przedstawiono cele operacyjne zidentyfikowane jako priorytetowe. </w:t>
      </w:r>
      <w:r w:rsidR="00D13D82" w:rsidRPr="00576020">
        <w:rPr>
          <w:color w:val="000000" w:themeColor="text1"/>
          <w:sz w:val="24"/>
        </w:rPr>
        <w:t>Strategia Rozwoju Województwa Dolnośląskiego 2030o</w:t>
      </w:r>
      <w:r w:rsidR="00C763E7" w:rsidRPr="00576020">
        <w:rPr>
          <w:color w:val="000000" w:themeColor="text1"/>
          <w:sz w:val="24"/>
        </w:rPr>
        <w:t>kreśla wizję województwa jako r</w:t>
      </w:r>
      <w:r w:rsidR="00D71BA5" w:rsidRPr="00576020">
        <w:rPr>
          <w:color w:val="000000" w:themeColor="text1"/>
          <w:sz w:val="24"/>
        </w:rPr>
        <w:t>egion równomiernego rozwoju,</w:t>
      </w:r>
      <w:r w:rsidR="00D13D82" w:rsidRPr="00576020">
        <w:rPr>
          <w:color w:val="000000" w:themeColor="text1"/>
          <w:sz w:val="24"/>
        </w:rPr>
        <w:t xml:space="preserve"> region przyjazny</w:t>
      </w:r>
      <w:r w:rsidR="00662EDE" w:rsidRPr="00576020">
        <w:rPr>
          <w:color w:val="000000" w:themeColor="text1"/>
          <w:sz w:val="24"/>
        </w:rPr>
        <w:t>,</w:t>
      </w:r>
      <w:r w:rsidR="00D13D82" w:rsidRPr="00576020">
        <w:rPr>
          <w:color w:val="000000" w:themeColor="text1"/>
          <w:sz w:val="24"/>
        </w:rPr>
        <w:t xml:space="preserve"> nowoczesny i </w:t>
      </w:r>
      <w:r w:rsidR="00D71BA5" w:rsidRPr="00576020">
        <w:rPr>
          <w:color w:val="000000" w:themeColor="text1"/>
          <w:sz w:val="24"/>
        </w:rPr>
        <w:t>konkurencyjny. Nadrzędnym celem zidentyfikowanym w dokumencie jest harmonijny rozwój regionu i wysoka jakość życia dolnośląskiej społeczności.</w:t>
      </w:r>
      <w:r w:rsidR="00ED7E59" w:rsidRPr="00576020">
        <w:rPr>
          <w:color w:val="000000" w:themeColor="text1"/>
          <w:sz w:val="24"/>
        </w:rPr>
        <w:t xml:space="preserve"> Cel nadrzędny uszczegóławiają</w:t>
      </w:r>
      <w:r w:rsidR="00D71BA5" w:rsidRPr="00576020">
        <w:rPr>
          <w:color w:val="000000" w:themeColor="text1"/>
          <w:sz w:val="24"/>
        </w:rPr>
        <w:t xml:space="preserve"> cele strategiczne, które zaprezentowano </w:t>
      </w:r>
      <w:r w:rsidR="00ED7E59" w:rsidRPr="00576020">
        <w:rPr>
          <w:color w:val="000000" w:themeColor="text1"/>
          <w:sz w:val="24"/>
        </w:rPr>
        <w:t xml:space="preserve">w poniższej tabeli </w:t>
      </w:r>
      <w:r w:rsidR="00E02B37" w:rsidRPr="00576020">
        <w:rPr>
          <w:color w:val="000000" w:themeColor="text1"/>
          <w:sz w:val="24"/>
        </w:rPr>
        <w:t>wraz z </w:t>
      </w:r>
      <w:r w:rsidR="006F0BEC" w:rsidRPr="00576020">
        <w:rPr>
          <w:color w:val="000000" w:themeColor="text1"/>
          <w:sz w:val="24"/>
        </w:rPr>
        <w:t>priorytetowy</w:t>
      </w:r>
      <w:r w:rsidR="00ED7E59" w:rsidRPr="00576020">
        <w:rPr>
          <w:color w:val="000000" w:themeColor="text1"/>
          <w:sz w:val="24"/>
        </w:rPr>
        <w:t>mi celami operacyjnymi dla WrOF</w:t>
      </w:r>
      <w:r w:rsidR="00AE1747" w:rsidRPr="00576020">
        <w:rPr>
          <w:color w:val="000000" w:themeColor="text1"/>
          <w:sz w:val="24"/>
        </w:rPr>
        <w:t xml:space="preserve"> </w:t>
      </w:r>
      <w:r w:rsidR="00ED7E59" w:rsidRPr="00576020">
        <w:rPr>
          <w:color w:val="000000" w:themeColor="text1"/>
          <w:sz w:val="24"/>
        </w:rPr>
        <w:t>i</w:t>
      </w:r>
      <w:r w:rsidR="00857609">
        <w:rPr>
          <w:color w:val="000000" w:themeColor="text1"/>
          <w:sz w:val="24"/>
        </w:rPr>
        <w:t> </w:t>
      </w:r>
      <w:r w:rsidR="00ED7E59" w:rsidRPr="00576020">
        <w:rPr>
          <w:color w:val="000000" w:themeColor="text1"/>
          <w:sz w:val="24"/>
        </w:rPr>
        <w:t>przyporządkowanymi celami zawartymi</w:t>
      </w:r>
      <w:r w:rsidR="00D71BA5" w:rsidRPr="00576020">
        <w:rPr>
          <w:color w:val="000000" w:themeColor="text1"/>
          <w:sz w:val="24"/>
        </w:rPr>
        <w:t xml:space="preserve"> w Strategii ZIT WrOF 2021-2027.</w:t>
      </w:r>
    </w:p>
    <w:tbl>
      <w:tblPr>
        <w:tblStyle w:val="Tabela-Siatka"/>
        <w:tblW w:w="0" w:type="auto"/>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Strategia Rozwoju Województwa Dolnośląskiego 2030 a Strategia ZIT WrOF 2021-2027"/>
      </w:tblPr>
      <w:tblGrid>
        <w:gridCol w:w="2694"/>
        <w:gridCol w:w="3538"/>
        <w:gridCol w:w="2830"/>
      </w:tblGrid>
      <w:tr w:rsidR="00D835B9" w:rsidRPr="00D835B9" w:rsidTr="00D835B9">
        <w:trPr>
          <w:trHeight w:val="454"/>
          <w:tblHeader/>
        </w:trPr>
        <w:tc>
          <w:tcPr>
            <w:tcW w:w="2694" w:type="dxa"/>
            <w:shd w:val="clear" w:color="auto" w:fill="F2F2F2" w:themeFill="background1" w:themeFillShade="F2"/>
            <w:vAlign w:val="center"/>
          </w:tcPr>
          <w:p w:rsidR="00D835B9" w:rsidRPr="00D835B9" w:rsidRDefault="00D835B9" w:rsidP="002C6E4B">
            <w:pPr>
              <w:spacing w:line="240" w:lineRule="auto"/>
              <w:jc w:val="center"/>
              <w:rPr>
                <w:rFonts w:ascii="Calibri" w:hAnsi="Calibri" w:cs="Calibri"/>
                <w:bCs/>
                <w:color w:val="000000"/>
              </w:rPr>
            </w:pPr>
            <w:r w:rsidRPr="00D835B9">
              <w:rPr>
                <w:rFonts w:ascii="Calibri" w:hAnsi="Calibri" w:cs="Calibri"/>
                <w:bCs/>
                <w:color w:val="000000"/>
              </w:rPr>
              <w:t>Strategia Rozwoju Województwa Dolnośląskiego 2030</w:t>
            </w:r>
          </w:p>
        </w:tc>
        <w:tc>
          <w:tcPr>
            <w:tcW w:w="3538" w:type="dxa"/>
            <w:shd w:val="clear" w:color="auto" w:fill="F2F2F2" w:themeFill="background1" w:themeFillShade="F2"/>
            <w:vAlign w:val="center"/>
          </w:tcPr>
          <w:p w:rsidR="00D835B9" w:rsidRPr="00D835B9" w:rsidRDefault="00D835B9" w:rsidP="002C6E4B">
            <w:pPr>
              <w:spacing w:line="240" w:lineRule="auto"/>
              <w:jc w:val="center"/>
              <w:rPr>
                <w:rFonts w:ascii="Calibri" w:hAnsi="Calibri" w:cs="Calibri"/>
                <w:bCs/>
                <w:color w:val="000000"/>
              </w:rPr>
            </w:pPr>
            <w:r w:rsidRPr="00D835B9">
              <w:rPr>
                <w:rFonts w:ascii="Calibri" w:hAnsi="Calibri" w:cs="Calibri"/>
                <w:bCs/>
                <w:color w:val="000000"/>
              </w:rPr>
              <w:t>Strategia Rozwoju Województwa Dolnośląskiego 2030</w:t>
            </w:r>
          </w:p>
        </w:tc>
        <w:tc>
          <w:tcPr>
            <w:tcW w:w="2830" w:type="dxa"/>
            <w:shd w:val="clear" w:color="auto" w:fill="F2F2F2" w:themeFill="background1" w:themeFillShade="F2"/>
            <w:vAlign w:val="center"/>
          </w:tcPr>
          <w:p w:rsidR="00D835B9" w:rsidRPr="00D835B9" w:rsidRDefault="00D835B9" w:rsidP="00D835B9">
            <w:pPr>
              <w:spacing w:line="240" w:lineRule="auto"/>
              <w:jc w:val="center"/>
              <w:rPr>
                <w:bCs/>
              </w:rPr>
            </w:pPr>
            <w:r w:rsidRPr="00D835B9">
              <w:rPr>
                <w:bCs/>
              </w:rPr>
              <w:t>Strategia ZIT WrOF 2021-2027</w:t>
            </w:r>
          </w:p>
        </w:tc>
      </w:tr>
      <w:tr w:rsidR="00AB3CC2" w:rsidRPr="00D835B9" w:rsidTr="00D835B9">
        <w:trPr>
          <w:trHeight w:val="510"/>
          <w:tblHeader/>
        </w:trPr>
        <w:tc>
          <w:tcPr>
            <w:tcW w:w="2694" w:type="dxa"/>
            <w:shd w:val="clear" w:color="auto" w:fill="F2F2F2" w:themeFill="background1" w:themeFillShade="F2"/>
            <w:vAlign w:val="center"/>
          </w:tcPr>
          <w:p w:rsidR="00AB3CC2" w:rsidRPr="00D835B9" w:rsidRDefault="00AB3CC2" w:rsidP="002C6E4B">
            <w:pPr>
              <w:autoSpaceDE w:val="0"/>
              <w:autoSpaceDN w:val="0"/>
              <w:adjustRightInd w:val="0"/>
              <w:spacing w:line="240" w:lineRule="auto"/>
              <w:jc w:val="center"/>
              <w:rPr>
                <w:rFonts w:ascii="Calibri" w:hAnsi="Calibri" w:cs="Calibri"/>
                <w:bCs/>
                <w:color w:val="000000"/>
              </w:rPr>
            </w:pPr>
            <w:r w:rsidRPr="00D835B9">
              <w:rPr>
                <w:rFonts w:ascii="Calibri" w:hAnsi="Calibri" w:cs="Calibri"/>
                <w:bCs/>
                <w:color w:val="000000"/>
              </w:rPr>
              <w:t>Cel strategiczny</w:t>
            </w:r>
          </w:p>
        </w:tc>
        <w:tc>
          <w:tcPr>
            <w:tcW w:w="3538" w:type="dxa"/>
            <w:shd w:val="clear" w:color="auto" w:fill="F2F2F2" w:themeFill="background1" w:themeFillShade="F2"/>
            <w:vAlign w:val="center"/>
          </w:tcPr>
          <w:p w:rsidR="00AB3CC2" w:rsidRPr="00D835B9" w:rsidRDefault="00AB3CC2" w:rsidP="002C6E4B">
            <w:pPr>
              <w:autoSpaceDE w:val="0"/>
              <w:autoSpaceDN w:val="0"/>
              <w:adjustRightInd w:val="0"/>
              <w:spacing w:line="240" w:lineRule="auto"/>
              <w:jc w:val="center"/>
              <w:rPr>
                <w:rFonts w:ascii="Calibri" w:hAnsi="Calibri" w:cs="Calibri"/>
                <w:bCs/>
                <w:color w:val="000000"/>
              </w:rPr>
            </w:pPr>
            <w:r w:rsidRPr="00D835B9">
              <w:rPr>
                <w:rFonts w:ascii="Calibri" w:hAnsi="Calibri" w:cs="Calibri"/>
                <w:bCs/>
                <w:color w:val="000000"/>
              </w:rPr>
              <w:t>Cel operacyjny</w:t>
            </w:r>
          </w:p>
        </w:tc>
        <w:tc>
          <w:tcPr>
            <w:tcW w:w="2830" w:type="dxa"/>
            <w:shd w:val="clear" w:color="auto" w:fill="F2F2F2" w:themeFill="background1" w:themeFillShade="F2"/>
            <w:vAlign w:val="center"/>
          </w:tcPr>
          <w:p w:rsidR="00AB3CC2" w:rsidRPr="00D835B9" w:rsidRDefault="00D835B9" w:rsidP="00D835B9">
            <w:pPr>
              <w:spacing w:line="240" w:lineRule="auto"/>
              <w:jc w:val="center"/>
              <w:rPr>
                <w:rFonts w:ascii="Calibri" w:hAnsi="Calibri" w:cs="Calibri"/>
                <w:bCs/>
                <w:color w:val="000000"/>
              </w:rPr>
            </w:pPr>
            <w:r w:rsidRPr="00D835B9">
              <w:rPr>
                <w:bCs/>
              </w:rPr>
              <w:t>Strategia ZIT WrOF 2021-2027</w:t>
            </w:r>
          </w:p>
        </w:tc>
      </w:tr>
      <w:tr w:rsidR="00AB3CC2" w:rsidRPr="00D835B9" w:rsidTr="00D835B9">
        <w:tc>
          <w:tcPr>
            <w:tcW w:w="2694" w:type="dxa"/>
            <w:vAlign w:val="center"/>
          </w:tcPr>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1.</w:t>
            </w:r>
            <w:r w:rsidR="00CF1B43" w:rsidRPr="00D835B9">
              <w:rPr>
                <w:rFonts w:ascii="Calibri" w:hAnsi="Calibri" w:cs="Calibri"/>
                <w:bCs/>
                <w:color w:val="000000"/>
              </w:rPr>
              <w:t xml:space="preserve"> </w:t>
            </w:r>
            <w:r w:rsidRPr="00D835B9">
              <w:rPr>
                <w:rFonts w:ascii="Calibri" w:hAnsi="Calibri" w:cs="Calibri"/>
                <w:bCs/>
                <w:color w:val="000000"/>
              </w:rPr>
              <w:t>Efektywne wykorzystanie gospodarczego potencjału regionu</w:t>
            </w:r>
          </w:p>
        </w:tc>
        <w:tc>
          <w:tcPr>
            <w:tcW w:w="3538" w:type="dxa"/>
            <w:vAlign w:val="center"/>
          </w:tcPr>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1.2 Wzmocnienie krajowej i europejskiej</w:t>
            </w:r>
          </w:p>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konkurencyjności regionu i jego marki</w:t>
            </w:r>
          </w:p>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1.3. Wzmacnianie innowacyjności,</w:t>
            </w:r>
          </w:p>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 xml:space="preserve">w tym </w:t>
            </w:r>
            <w:proofErr w:type="spellStart"/>
            <w:r w:rsidRPr="00D835B9">
              <w:rPr>
                <w:rFonts w:ascii="Calibri" w:hAnsi="Calibri" w:cs="Calibri"/>
                <w:bCs/>
                <w:color w:val="000000"/>
              </w:rPr>
              <w:t>ekoinnowacyjności</w:t>
            </w:r>
            <w:proofErr w:type="spellEnd"/>
            <w:r w:rsidRPr="00D835B9">
              <w:rPr>
                <w:rFonts w:ascii="Calibri" w:hAnsi="Calibri" w:cs="Calibri"/>
                <w:bCs/>
                <w:color w:val="000000"/>
              </w:rPr>
              <w:t xml:space="preserve"> regionu</w:t>
            </w:r>
          </w:p>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1.4 Wspieranie rozwoju i rewitalizacja</w:t>
            </w:r>
          </w:p>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zdegradowanych obszarów miejskich</w:t>
            </w:r>
          </w:p>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i wiejskich</w:t>
            </w:r>
          </w:p>
        </w:tc>
        <w:tc>
          <w:tcPr>
            <w:tcW w:w="2830"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Cel strategiczny 2. Wzmacnianie innowacyjności i konkurencyjności gospodarki WrOF</w:t>
            </w:r>
          </w:p>
        </w:tc>
      </w:tr>
      <w:tr w:rsidR="00AB3CC2" w:rsidRPr="00D835B9" w:rsidTr="00D835B9">
        <w:tc>
          <w:tcPr>
            <w:tcW w:w="2694"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2.</w:t>
            </w:r>
            <w:r w:rsidR="00CF1B43" w:rsidRPr="00D835B9">
              <w:rPr>
                <w:rFonts w:ascii="Calibri" w:hAnsi="Calibri" w:cs="Calibri"/>
                <w:bCs/>
                <w:color w:val="000000"/>
              </w:rPr>
              <w:t xml:space="preserve"> </w:t>
            </w:r>
            <w:r w:rsidRPr="00D835B9">
              <w:rPr>
                <w:rFonts w:ascii="Calibri" w:hAnsi="Calibri" w:cs="Calibri"/>
                <w:bCs/>
                <w:color w:val="000000"/>
              </w:rPr>
              <w:t xml:space="preserve">Poprawa jakości </w:t>
            </w:r>
            <w:r w:rsidR="00A11C8C" w:rsidRPr="00D835B9">
              <w:rPr>
                <w:rFonts w:ascii="Calibri" w:hAnsi="Calibri" w:cs="Calibri"/>
                <w:bCs/>
                <w:color w:val="000000"/>
              </w:rPr>
              <w:br/>
            </w:r>
            <w:r w:rsidRPr="00D835B9">
              <w:rPr>
                <w:rFonts w:ascii="Calibri" w:hAnsi="Calibri" w:cs="Calibri"/>
                <w:bCs/>
                <w:color w:val="000000"/>
              </w:rPr>
              <w:t>i dostępności usług publicznych</w:t>
            </w:r>
          </w:p>
        </w:tc>
        <w:tc>
          <w:tcPr>
            <w:tcW w:w="3538" w:type="dxa"/>
            <w:vAlign w:val="center"/>
          </w:tcPr>
          <w:p w:rsidR="00AB3CC2" w:rsidRPr="00D835B9" w:rsidRDefault="00FA7540" w:rsidP="002C6E4B">
            <w:pPr>
              <w:spacing w:line="240" w:lineRule="auto"/>
              <w:jc w:val="left"/>
              <w:rPr>
                <w:rFonts w:ascii="Calibri" w:hAnsi="Calibri" w:cs="Calibri"/>
                <w:bCs/>
                <w:color w:val="000000"/>
              </w:rPr>
            </w:pPr>
            <w:r w:rsidRPr="00D835B9">
              <w:rPr>
                <w:rFonts w:ascii="Calibri" w:hAnsi="Calibri" w:cs="Calibri"/>
                <w:bCs/>
                <w:color w:val="000000"/>
              </w:rPr>
              <w:t>2.3 Rozwój i doskonalenie usług publicznych</w:t>
            </w:r>
          </w:p>
        </w:tc>
        <w:tc>
          <w:tcPr>
            <w:tcW w:w="2830"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Cel strategiczny 1. Poprawa jakości życia na terenie WrOF</w:t>
            </w:r>
          </w:p>
        </w:tc>
      </w:tr>
      <w:tr w:rsidR="00AB3CC2" w:rsidRPr="00D835B9" w:rsidTr="00D835B9">
        <w:tc>
          <w:tcPr>
            <w:tcW w:w="2694"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3.</w:t>
            </w:r>
            <w:r w:rsidR="00CF1B43" w:rsidRPr="00D835B9">
              <w:rPr>
                <w:rFonts w:ascii="Calibri" w:hAnsi="Calibri" w:cs="Calibri"/>
                <w:bCs/>
                <w:color w:val="000000"/>
              </w:rPr>
              <w:t xml:space="preserve"> </w:t>
            </w:r>
            <w:r w:rsidRPr="00D835B9">
              <w:rPr>
                <w:rFonts w:ascii="Calibri" w:hAnsi="Calibri" w:cs="Calibri"/>
                <w:bCs/>
                <w:color w:val="000000"/>
              </w:rPr>
              <w:t xml:space="preserve">Wzmocnienie regionalnego kapitału ludzkiego </w:t>
            </w:r>
            <w:r w:rsidR="00A11C8C" w:rsidRPr="00D835B9">
              <w:rPr>
                <w:rFonts w:ascii="Calibri" w:hAnsi="Calibri" w:cs="Calibri"/>
                <w:bCs/>
                <w:color w:val="000000"/>
              </w:rPr>
              <w:br/>
            </w:r>
            <w:r w:rsidRPr="00D835B9">
              <w:rPr>
                <w:rFonts w:ascii="Calibri" w:hAnsi="Calibri" w:cs="Calibri"/>
                <w:bCs/>
                <w:color w:val="000000"/>
              </w:rPr>
              <w:t>i społecznego</w:t>
            </w:r>
          </w:p>
        </w:tc>
        <w:tc>
          <w:tcPr>
            <w:tcW w:w="3538" w:type="dxa"/>
            <w:vAlign w:val="center"/>
          </w:tcPr>
          <w:p w:rsidR="00FA7540" w:rsidRPr="00D835B9" w:rsidRDefault="00FA7540"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3.5 Doskonalenie regionalnej polityki</w:t>
            </w:r>
          </w:p>
          <w:p w:rsidR="00AB3CC2" w:rsidRPr="00D835B9" w:rsidRDefault="00FA7540" w:rsidP="002C6E4B">
            <w:pPr>
              <w:spacing w:line="240" w:lineRule="auto"/>
              <w:jc w:val="left"/>
              <w:rPr>
                <w:rFonts w:ascii="Calibri" w:hAnsi="Calibri" w:cs="Calibri"/>
                <w:bCs/>
                <w:color w:val="000000"/>
              </w:rPr>
            </w:pPr>
            <w:r w:rsidRPr="00D835B9">
              <w:rPr>
                <w:rFonts w:ascii="Calibri" w:hAnsi="Calibri" w:cs="Calibri"/>
                <w:bCs/>
                <w:color w:val="000000"/>
              </w:rPr>
              <w:t>wspierania seniorów oraz osób</w:t>
            </w:r>
            <w:r w:rsidR="00B07902" w:rsidRPr="00D835B9">
              <w:rPr>
                <w:rFonts w:ascii="Calibri" w:hAnsi="Calibri" w:cs="Calibri"/>
                <w:bCs/>
                <w:color w:val="000000"/>
              </w:rPr>
              <w:t xml:space="preserve"> z niepełnosprawnościami</w:t>
            </w:r>
          </w:p>
        </w:tc>
        <w:tc>
          <w:tcPr>
            <w:tcW w:w="2830"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Cel strategiczny 1. Poprawa jakości życia na terenie WrOF</w:t>
            </w:r>
          </w:p>
        </w:tc>
      </w:tr>
      <w:tr w:rsidR="00AB3CC2" w:rsidRPr="00D835B9" w:rsidTr="00D835B9">
        <w:tc>
          <w:tcPr>
            <w:tcW w:w="2694" w:type="dxa"/>
            <w:vAlign w:val="center"/>
          </w:tcPr>
          <w:p w:rsidR="00AB3CC2" w:rsidRPr="00D835B9" w:rsidRDefault="00AB3CC2" w:rsidP="002C6E4B">
            <w:pPr>
              <w:autoSpaceDE w:val="0"/>
              <w:autoSpaceDN w:val="0"/>
              <w:adjustRightInd w:val="0"/>
              <w:spacing w:line="240" w:lineRule="auto"/>
              <w:jc w:val="left"/>
              <w:rPr>
                <w:rFonts w:ascii="Calibri" w:hAnsi="Calibri" w:cs="Calibri"/>
                <w:bCs/>
                <w:color w:val="000000"/>
              </w:rPr>
            </w:pPr>
            <w:r w:rsidRPr="00D835B9">
              <w:rPr>
                <w:rFonts w:ascii="Calibri" w:hAnsi="Calibri" w:cs="Calibri"/>
                <w:bCs/>
                <w:color w:val="000000"/>
              </w:rPr>
              <w:t>4.</w:t>
            </w:r>
            <w:r w:rsidR="00CF1B43" w:rsidRPr="00D835B9">
              <w:rPr>
                <w:rFonts w:ascii="Calibri" w:hAnsi="Calibri" w:cs="Calibri"/>
                <w:bCs/>
                <w:color w:val="000000"/>
              </w:rPr>
              <w:t xml:space="preserve"> </w:t>
            </w:r>
            <w:r w:rsidRPr="00D835B9">
              <w:rPr>
                <w:rFonts w:ascii="Calibri" w:hAnsi="Calibri" w:cs="Calibri"/>
                <w:bCs/>
                <w:color w:val="000000"/>
              </w:rPr>
              <w:t xml:space="preserve">Odpowiedzialne wykorzystanie zasobów </w:t>
            </w:r>
            <w:r w:rsidR="00A11C8C" w:rsidRPr="00D835B9">
              <w:rPr>
                <w:rFonts w:ascii="Calibri" w:hAnsi="Calibri" w:cs="Calibri"/>
                <w:bCs/>
                <w:color w:val="000000"/>
              </w:rPr>
              <w:br/>
            </w:r>
            <w:r w:rsidRPr="00D835B9">
              <w:rPr>
                <w:rFonts w:ascii="Calibri" w:hAnsi="Calibri" w:cs="Calibri"/>
                <w:bCs/>
                <w:color w:val="000000"/>
              </w:rPr>
              <w:t>i ochrona walorów</w:t>
            </w:r>
          </w:p>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 xml:space="preserve">środowiska naturalnego </w:t>
            </w:r>
            <w:r w:rsidR="00A11C8C" w:rsidRPr="00D835B9">
              <w:rPr>
                <w:rFonts w:ascii="Calibri" w:hAnsi="Calibri" w:cs="Calibri"/>
                <w:bCs/>
                <w:color w:val="000000"/>
              </w:rPr>
              <w:br/>
            </w:r>
            <w:r w:rsidRPr="00D835B9">
              <w:rPr>
                <w:rFonts w:ascii="Calibri" w:hAnsi="Calibri" w:cs="Calibri"/>
                <w:bCs/>
                <w:color w:val="000000"/>
              </w:rPr>
              <w:t>i dziedzictwa kulturowego</w:t>
            </w:r>
          </w:p>
        </w:tc>
        <w:tc>
          <w:tcPr>
            <w:tcW w:w="3538" w:type="dxa"/>
            <w:vAlign w:val="center"/>
          </w:tcPr>
          <w:p w:rsidR="00AB3CC2" w:rsidRPr="00D835B9" w:rsidRDefault="00FA7540" w:rsidP="002C6E4B">
            <w:pPr>
              <w:spacing w:line="240" w:lineRule="auto"/>
              <w:jc w:val="left"/>
              <w:rPr>
                <w:rFonts w:ascii="Calibri" w:hAnsi="Calibri" w:cs="Calibri"/>
                <w:bCs/>
                <w:color w:val="000000"/>
              </w:rPr>
            </w:pPr>
            <w:r w:rsidRPr="00D835B9">
              <w:rPr>
                <w:rFonts w:ascii="Calibri" w:hAnsi="Calibri" w:cs="Calibri"/>
                <w:bCs/>
                <w:color w:val="000000"/>
              </w:rPr>
              <w:t>4.3 Ochrona przed klęskami żywiołowymi</w:t>
            </w:r>
          </w:p>
        </w:tc>
        <w:tc>
          <w:tcPr>
            <w:tcW w:w="2830"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 xml:space="preserve">Cel strategiczny 3. </w:t>
            </w:r>
            <w:r w:rsidR="00F62AC3" w:rsidRPr="00D835B9">
              <w:rPr>
                <w:rFonts w:ascii="Calibri" w:hAnsi="Calibri" w:cs="Calibri"/>
                <w:bCs/>
                <w:color w:val="000000"/>
              </w:rPr>
              <w:t xml:space="preserve">Ochrona środowiska naturalnego </w:t>
            </w:r>
            <w:r w:rsidR="00CF1B43" w:rsidRPr="00D835B9">
              <w:rPr>
                <w:rFonts w:ascii="Calibri" w:hAnsi="Calibri" w:cs="Calibri"/>
                <w:bCs/>
                <w:color w:val="000000"/>
              </w:rPr>
              <w:br/>
            </w:r>
            <w:r w:rsidR="00F62AC3" w:rsidRPr="00D835B9">
              <w:rPr>
                <w:rFonts w:ascii="Calibri" w:hAnsi="Calibri" w:cs="Calibri"/>
                <w:bCs/>
                <w:color w:val="000000"/>
              </w:rPr>
              <w:t>i adaptacja WrOF do zmian klimatu</w:t>
            </w:r>
          </w:p>
        </w:tc>
      </w:tr>
      <w:tr w:rsidR="00AB3CC2" w:rsidRPr="00D835B9" w:rsidTr="00D835B9">
        <w:tc>
          <w:tcPr>
            <w:tcW w:w="2694"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5.</w:t>
            </w:r>
            <w:r w:rsidR="00CF1B43" w:rsidRPr="00D835B9">
              <w:rPr>
                <w:rFonts w:ascii="Calibri" w:hAnsi="Calibri" w:cs="Calibri"/>
                <w:bCs/>
                <w:color w:val="000000"/>
              </w:rPr>
              <w:t xml:space="preserve"> </w:t>
            </w:r>
            <w:r w:rsidRPr="00D835B9">
              <w:rPr>
                <w:rFonts w:ascii="Calibri" w:hAnsi="Calibri" w:cs="Calibri"/>
                <w:bCs/>
                <w:color w:val="000000"/>
              </w:rPr>
              <w:t>Wzmocnienie przestrzennej spójności regionu</w:t>
            </w:r>
          </w:p>
        </w:tc>
        <w:tc>
          <w:tcPr>
            <w:tcW w:w="3538" w:type="dxa"/>
            <w:vAlign w:val="center"/>
          </w:tcPr>
          <w:p w:rsidR="00AB3CC2" w:rsidRPr="00D835B9" w:rsidRDefault="00FA7540" w:rsidP="002C6E4B">
            <w:pPr>
              <w:spacing w:line="240" w:lineRule="auto"/>
              <w:jc w:val="left"/>
              <w:rPr>
                <w:rFonts w:ascii="Calibri" w:hAnsi="Calibri" w:cs="Calibri"/>
                <w:bCs/>
                <w:color w:val="000000"/>
              </w:rPr>
            </w:pPr>
            <w:r w:rsidRPr="00D835B9">
              <w:rPr>
                <w:rFonts w:ascii="Calibri" w:hAnsi="Calibri" w:cs="Calibri"/>
                <w:bCs/>
                <w:color w:val="000000"/>
              </w:rPr>
              <w:t>5.1 Rozwój regionalnej sieci transportowej</w:t>
            </w:r>
          </w:p>
        </w:tc>
        <w:tc>
          <w:tcPr>
            <w:tcW w:w="2830" w:type="dxa"/>
            <w:vAlign w:val="center"/>
          </w:tcPr>
          <w:p w:rsidR="00AB3CC2" w:rsidRPr="00D835B9" w:rsidRDefault="00AB3CC2" w:rsidP="002C6E4B">
            <w:pPr>
              <w:spacing w:line="240" w:lineRule="auto"/>
              <w:jc w:val="left"/>
              <w:rPr>
                <w:rFonts w:ascii="Calibri" w:hAnsi="Calibri" w:cs="Calibri"/>
                <w:bCs/>
                <w:color w:val="000000"/>
              </w:rPr>
            </w:pPr>
            <w:r w:rsidRPr="00D835B9">
              <w:rPr>
                <w:rFonts w:ascii="Calibri" w:hAnsi="Calibri" w:cs="Calibri"/>
                <w:bCs/>
                <w:color w:val="000000"/>
              </w:rPr>
              <w:t xml:space="preserve">Cel strategiczny 4. Integracja </w:t>
            </w:r>
            <w:r w:rsidR="00AE1747" w:rsidRPr="00D835B9">
              <w:rPr>
                <w:rFonts w:ascii="Calibri" w:hAnsi="Calibri" w:cs="Calibri"/>
                <w:bCs/>
                <w:color w:val="000000"/>
              </w:rPr>
              <w:br/>
            </w:r>
            <w:r w:rsidRPr="00D835B9">
              <w:rPr>
                <w:rFonts w:ascii="Calibri" w:hAnsi="Calibri" w:cs="Calibri"/>
                <w:bCs/>
                <w:color w:val="000000"/>
              </w:rPr>
              <w:t>i rozwój terytorialny WrOF</w:t>
            </w:r>
          </w:p>
        </w:tc>
      </w:tr>
    </w:tbl>
    <w:p w:rsidR="00E37E60" w:rsidRDefault="00E37E60">
      <w:pPr>
        <w:spacing w:line="259" w:lineRule="auto"/>
        <w:jc w:val="left"/>
      </w:pPr>
    </w:p>
    <w:p w:rsidR="00F95228" w:rsidRPr="00D835B9" w:rsidRDefault="00F95228" w:rsidP="00D835B9">
      <w:pPr>
        <w:spacing w:before="120" w:after="0"/>
        <w:jc w:val="left"/>
        <w:rPr>
          <w:rFonts w:cstheme="minorHAnsi"/>
          <w:b/>
          <w:color w:val="000000" w:themeColor="text1"/>
          <w:sz w:val="24"/>
        </w:rPr>
      </w:pPr>
      <w:r w:rsidRPr="00D835B9">
        <w:rPr>
          <w:rFonts w:cstheme="minorHAnsi"/>
          <w:b/>
          <w:color w:val="000000" w:themeColor="text1"/>
          <w:sz w:val="24"/>
        </w:rPr>
        <w:t>Plan Zagospodarowania Przestrzennego Województwa Dolnośląskiego</w:t>
      </w:r>
    </w:p>
    <w:p w:rsidR="00F95228" w:rsidRPr="00D835B9" w:rsidRDefault="00F95228" w:rsidP="00D835B9">
      <w:pPr>
        <w:jc w:val="left"/>
        <w:rPr>
          <w:color w:val="000000" w:themeColor="text1"/>
          <w:sz w:val="24"/>
        </w:rPr>
      </w:pPr>
      <w:r w:rsidRPr="00D835B9">
        <w:rPr>
          <w:rStyle w:val="hgkelc"/>
          <w:color w:val="000000" w:themeColor="text1"/>
          <w:sz w:val="24"/>
        </w:rPr>
        <w:t>Wskazany dokument jest narzędziem prowadzenia polityki przestrzennej na poziomie województwa. Opisuje on uwarunkowania zewnętrzne i wewnętrzne rozwoju</w:t>
      </w:r>
      <w:r w:rsidR="00AE1747" w:rsidRPr="00D835B9">
        <w:rPr>
          <w:rStyle w:val="hgkelc"/>
          <w:color w:val="000000" w:themeColor="text1"/>
          <w:sz w:val="24"/>
        </w:rPr>
        <w:t xml:space="preserve"> </w:t>
      </w:r>
      <w:r w:rsidRPr="00D835B9">
        <w:rPr>
          <w:rStyle w:val="hgkelc"/>
          <w:bCs/>
          <w:color w:val="000000" w:themeColor="text1"/>
          <w:sz w:val="24"/>
        </w:rPr>
        <w:t>województwa,</w:t>
      </w:r>
      <w:r w:rsidRPr="00D835B9">
        <w:rPr>
          <w:rStyle w:val="hgkelc"/>
          <w:color w:val="000000" w:themeColor="text1"/>
          <w:sz w:val="24"/>
        </w:rPr>
        <w:t xml:space="preserve"> ale również cele i kierunki </w:t>
      </w:r>
      <w:r w:rsidRPr="00D835B9">
        <w:rPr>
          <w:rStyle w:val="hgkelc"/>
          <w:bCs/>
          <w:color w:val="000000" w:themeColor="text1"/>
          <w:sz w:val="24"/>
        </w:rPr>
        <w:t>zagospodarowania przestrzennego</w:t>
      </w:r>
      <w:r w:rsidRPr="00D835B9">
        <w:rPr>
          <w:rStyle w:val="hgkelc"/>
          <w:color w:val="000000" w:themeColor="text1"/>
          <w:sz w:val="24"/>
        </w:rPr>
        <w:t>, w tym również inwestycje celu publicznego mające charakter ponadlokalny. Integralnym elementem Planu jest plan zagospodarowania przestrzennego miejskiego obszaru funkcjonalnego ośrodka wojewódzkiego, czyli WrOF</w:t>
      </w:r>
      <w:r w:rsidR="001D725F" w:rsidRPr="00D835B9">
        <w:rPr>
          <w:rStyle w:val="Odwoanieprzypisudolnego"/>
          <w:color w:val="000000" w:themeColor="text1"/>
          <w:sz w:val="24"/>
        </w:rPr>
        <w:footnoteReference w:id="127"/>
      </w:r>
      <w:r w:rsidRPr="00D835B9">
        <w:rPr>
          <w:rStyle w:val="hgkelc"/>
          <w:color w:val="000000" w:themeColor="text1"/>
          <w:sz w:val="24"/>
        </w:rPr>
        <w:t xml:space="preserve">. Z uwagi na istotność zapisów Planu zagospodarowania przestrzennego Wrocławskiego Obszaru Funkcjonalnego odniesiono się do kierunków rozwoju zidentyfikowanych dla tego obszaru. </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Plan Zagospodarowania Przestrzennego Województwa Dolnośląskiego a Strategia ZIT WrOF 2021-2027"/>
      </w:tblPr>
      <w:tblGrid>
        <w:gridCol w:w="4155"/>
        <w:gridCol w:w="4907"/>
      </w:tblGrid>
      <w:tr w:rsidR="00F95228" w:rsidRPr="00D835B9" w:rsidTr="00D835B9">
        <w:trPr>
          <w:tblHeader/>
        </w:trPr>
        <w:tc>
          <w:tcPr>
            <w:tcW w:w="4155" w:type="dxa"/>
            <w:shd w:val="clear" w:color="auto" w:fill="F2F2F2" w:themeFill="background1" w:themeFillShade="F2"/>
            <w:vAlign w:val="center"/>
          </w:tcPr>
          <w:p w:rsidR="00F95228" w:rsidRPr="00D835B9" w:rsidRDefault="00F95228" w:rsidP="00FB566C">
            <w:pPr>
              <w:spacing w:line="240" w:lineRule="auto"/>
              <w:jc w:val="center"/>
              <w:rPr>
                <w:bCs/>
                <w:szCs w:val="20"/>
              </w:rPr>
            </w:pPr>
            <w:r w:rsidRPr="00D835B9">
              <w:rPr>
                <w:bCs/>
                <w:szCs w:val="20"/>
              </w:rPr>
              <w:t>Plan Zagospodarowania Przestrzennego Województwa Dolnośląskiego</w:t>
            </w:r>
          </w:p>
        </w:tc>
        <w:tc>
          <w:tcPr>
            <w:tcW w:w="4907" w:type="dxa"/>
            <w:shd w:val="clear" w:color="auto" w:fill="F2F2F2" w:themeFill="background1" w:themeFillShade="F2"/>
            <w:vAlign w:val="center"/>
          </w:tcPr>
          <w:p w:rsidR="00F95228" w:rsidRPr="00D835B9" w:rsidRDefault="00F95228" w:rsidP="00FB566C">
            <w:pPr>
              <w:spacing w:line="240" w:lineRule="auto"/>
              <w:jc w:val="center"/>
              <w:rPr>
                <w:bCs/>
                <w:szCs w:val="20"/>
              </w:rPr>
            </w:pPr>
            <w:r w:rsidRPr="00D835B9">
              <w:rPr>
                <w:bCs/>
                <w:szCs w:val="20"/>
              </w:rPr>
              <w:t>Strategia ZIT WrOF 2021-2027</w:t>
            </w:r>
          </w:p>
        </w:tc>
      </w:tr>
      <w:tr w:rsidR="00F95228" w:rsidRPr="00D835B9" w:rsidTr="00D835B9">
        <w:trPr>
          <w:trHeight w:val="240"/>
        </w:trPr>
        <w:tc>
          <w:tcPr>
            <w:tcW w:w="4155" w:type="dxa"/>
            <w:vAlign w:val="center"/>
          </w:tcPr>
          <w:p w:rsidR="00F95228" w:rsidRPr="00D835B9" w:rsidRDefault="00F95228" w:rsidP="00FB566C">
            <w:pPr>
              <w:spacing w:line="240" w:lineRule="auto"/>
              <w:jc w:val="left"/>
              <w:rPr>
                <w:rFonts w:ascii="Calibri" w:hAnsi="Calibri" w:cs="Calibri"/>
                <w:color w:val="000000"/>
                <w:szCs w:val="20"/>
              </w:rPr>
            </w:pPr>
            <w:r w:rsidRPr="00D835B9">
              <w:rPr>
                <w:rFonts w:ascii="Calibri" w:hAnsi="Calibri" w:cs="Calibri"/>
                <w:color w:val="000000"/>
                <w:szCs w:val="20"/>
              </w:rPr>
              <w:t>Zwiększenie spr</w:t>
            </w:r>
            <w:r w:rsidR="00F62AC3" w:rsidRPr="00D835B9">
              <w:rPr>
                <w:rFonts w:ascii="Calibri" w:hAnsi="Calibri" w:cs="Calibri"/>
                <w:color w:val="000000"/>
                <w:szCs w:val="20"/>
              </w:rPr>
              <w:t xml:space="preserve">awności systemu komunikacyjnego </w:t>
            </w:r>
            <w:r w:rsidRPr="00D835B9">
              <w:rPr>
                <w:rFonts w:ascii="Calibri" w:hAnsi="Calibri" w:cs="Calibri"/>
                <w:color w:val="000000"/>
                <w:szCs w:val="20"/>
              </w:rPr>
              <w:t xml:space="preserve">i transportu zbiorowego </w:t>
            </w:r>
            <w:r w:rsidR="00AE1747" w:rsidRPr="00D835B9">
              <w:rPr>
                <w:rFonts w:ascii="Calibri" w:hAnsi="Calibri" w:cs="Calibri"/>
                <w:color w:val="000000"/>
                <w:szCs w:val="20"/>
              </w:rPr>
              <w:br/>
            </w:r>
            <w:r w:rsidRPr="00D835B9">
              <w:rPr>
                <w:rFonts w:ascii="Calibri" w:hAnsi="Calibri" w:cs="Calibri"/>
                <w:color w:val="000000"/>
                <w:szCs w:val="20"/>
              </w:rPr>
              <w:t>we WrOF</w:t>
            </w:r>
          </w:p>
        </w:tc>
        <w:tc>
          <w:tcPr>
            <w:tcW w:w="4907" w:type="dxa"/>
            <w:vAlign w:val="center"/>
          </w:tcPr>
          <w:p w:rsidR="00F95228" w:rsidRPr="00D835B9" w:rsidRDefault="00F95228" w:rsidP="00FB566C">
            <w:pPr>
              <w:spacing w:line="240" w:lineRule="auto"/>
              <w:jc w:val="left"/>
              <w:rPr>
                <w:rFonts w:ascii="Calibri" w:hAnsi="Calibri" w:cs="Calibri"/>
                <w:color w:val="000000"/>
                <w:szCs w:val="20"/>
              </w:rPr>
            </w:pPr>
            <w:r w:rsidRPr="00D835B9">
              <w:rPr>
                <w:rFonts w:ascii="Calibri" w:hAnsi="Calibri" w:cs="Calibri"/>
                <w:color w:val="000000"/>
                <w:szCs w:val="20"/>
              </w:rPr>
              <w:t xml:space="preserve">Cel strategiczny 3. </w:t>
            </w:r>
            <w:r w:rsidR="00F62AC3" w:rsidRPr="00D835B9">
              <w:rPr>
                <w:rFonts w:ascii="Calibri" w:hAnsi="Calibri" w:cs="Calibri"/>
                <w:color w:val="000000"/>
                <w:szCs w:val="20"/>
              </w:rPr>
              <w:t>O</w:t>
            </w:r>
            <w:r w:rsidR="00236834" w:rsidRPr="00D835B9">
              <w:rPr>
                <w:rFonts w:ascii="Calibri" w:hAnsi="Calibri" w:cs="Calibri"/>
                <w:color w:val="000000"/>
                <w:szCs w:val="20"/>
              </w:rPr>
              <w:t>chrona środowiska naturalnego i </w:t>
            </w:r>
            <w:r w:rsidR="00F62AC3" w:rsidRPr="00D835B9">
              <w:rPr>
                <w:rFonts w:ascii="Calibri" w:hAnsi="Calibri" w:cs="Calibri"/>
                <w:color w:val="000000"/>
                <w:szCs w:val="20"/>
              </w:rPr>
              <w:t>adaptacja WrOF do zmian klimatu</w:t>
            </w:r>
          </w:p>
        </w:tc>
      </w:tr>
      <w:tr w:rsidR="00D835B9" w:rsidRPr="00D835B9" w:rsidTr="00D835B9">
        <w:trPr>
          <w:trHeight w:val="240"/>
        </w:trPr>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 xml:space="preserve">Zwiększenie sprawności systemu komunikacyjnego i transportu zbiorowego </w:t>
            </w:r>
            <w:r w:rsidRPr="00D835B9">
              <w:rPr>
                <w:rFonts w:ascii="Calibri" w:hAnsi="Calibri" w:cs="Calibri"/>
                <w:color w:val="000000"/>
                <w:szCs w:val="20"/>
              </w:rPr>
              <w:br/>
              <w:t>we WrOF</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4. Integracja i rozwój terytorialny WrOF</w:t>
            </w:r>
          </w:p>
        </w:tc>
      </w:tr>
      <w:tr w:rsidR="00D835B9" w:rsidRPr="00D835B9" w:rsidTr="00D835B9">
        <w:trPr>
          <w:trHeight w:val="353"/>
        </w:trPr>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 xml:space="preserve">Zapewnienie wysokiej jakości życia </w:t>
            </w:r>
            <w:r w:rsidRPr="00D835B9">
              <w:rPr>
                <w:rFonts w:ascii="Calibri" w:hAnsi="Calibri" w:cs="Calibri"/>
                <w:color w:val="000000"/>
                <w:szCs w:val="20"/>
              </w:rPr>
              <w:br/>
              <w:t>i inwestowania, przy zachowaniu wysokich wartości i cech krajobrazu kulturowego WrOF</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1. Poprawa jakości życia na terenie WrOF</w:t>
            </w:r>
          </w:p>
        </w:tc>
      </w:tr>
      <w:tr w:rsidR="00D835B9" w:rsidRPr="00D835B9" w:rsidTr="00D835B9">
        <w:trPr>
          <w:trHeight w:val="353"/>
        </w:trPr>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 xml:space="preserve">Zapewnienie wysokiej jakości życia </w:t>
            </w:r>
            <w:r w:rsidRPr="00D835B9">
              <w:rPr>
                <w:rFonts w:ascii="Calibri" w:hAnsi="Calibri" w:cs="Calibri"/>
                <w:color w:val="000000"/>
                <w:szCs w:val="20"/>
              </w:rPr>
              <w:br/>
              <w:t>i inwestowania, przy zachowaniu wysokich wartości i cech krajobrazu kulturowego WrOF</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2. Wzmacnianie innowacyjności i konkurencyjności gospodarki WrOF</w:t>
            </w:r>
          </w:p>
        </w:tc>
      </w:tr>
      <w:tr w:rsidR="00D835B9" w:rsidRPr="00D835B9" w:rsidTr="00D835B9">
        <w:trPr>
          <w:trHeight w:val="352"/>
        </w:trPr>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 xml:space="preserve">Zapewnienie wysokiej jakości życia </w:t>
            </w:r>
            <w:r w:rsidRPr="00D835B9">
              <w:rPr>
                <w:rFonts w:ascii="Calibri" w:hAnsi="Calibri" w:cs="Calibri"/>
                <w:color w:val="000000"/>
                <w:szCs w:val="20"/>
              </w:rPr>
              <w:br/>
              <w:t>i inwestowania, przy zachowaniu wysokich wartości i cech krajobrazu kulturowego WrOF</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4. Integracja i rozwój terytorialny WrOF</w:t>
            </w:r>
          </w:p>
        </w:tc>
      </w:tr>
      <w:tr w:rsidR="00D835B9" w:rsidRPr="00D835B9" w:rsidTr="00D835B9">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Skuteczna ochrona walorów przyrodniczo-krajobrazowych i racjonalne wykorzystanie zasobów</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3. Ochrona środowiska naturalnego i adaptacja WrOF do zmian klimatu</w:t>
            </w:r>
          </w:p>
        </w:tc>
      </w:tr>
      <w:tr w:rsidR="00D835B9" w:rsidRPr="00D835B9" w:rsidTr="00D835B9">
        <w:tc>
          <w:tcPr>
            <w:tcW w:w="4155"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 xml:space="preserve">Kształtowanie struktury osadniczej WrOF </w:t>
            </w:r>
            <w:r w:rsidRPr="00D835B9">
              <w:rPr>
                <w:rFonts w:ascii="Calibri" w:hAnsi="Calibri" w:cs="Calibri"/>
                <w:color w:val="000000"/>
                <w:szCs w:val="20"/>
              </w:rPr>
              <w:br/>
              <w:t>w sposób umożliwiający zabezpieczenie przed skutkami zmian klimatu oraz negatywnymi skutkami działalności człowieka</w:t>
            </w:r>
          </w:p>
        </w:tc>
        <w:tc>
          <w:tcPr>
            <w:tcW w:w="4907" w:type="dxa"/>
            <w:vAlign w:val="center"/>
          </w:tcPr>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3. Ochrona środowiska naturalnego i adaptacja WrOF do zmian klimatu</w:t>
            </w:r>
          </w:p>
        </w:tc>
      </w:tr>
    </w:tbl>
    <w:p w:rsidR="00EA7E6A" w:rsidRPr="00D835B9" w:rsidRDefault="00EA7E6A" w:rsidP="00D835B9">
      <w:pPr>
        <w:spacing w:before="120" w:after="0"/>
        <w:jc w:val="left"/>
        <w:rPr>
          <w:rFonts w:cstheme="minorHAnsi"/>
          <w:b/>
          <w:color w:val="000000" w:themeColor="text1"/>
          <w:sz w:val="24"/>
        </w:rPr>
      </w:pPr>
      <w:r w:rsidRPr="00D835B9">
        <w:rPr>
          <w:rFonts w:cstheme="minorHAnsi"/>
          <w:b/>
          <w:color w:val="000000" w:themeColor="text1"/>
          <w:sz w:val="24"/>
        </w:rPr>
        <w:t xml:space="preserve">Plan Zrównoważonej Mobilności dla Miejskiego Obszaru Funkcjonalnego Wrocławia </w:t>
      </w:r>
    </w:p>
    <w:p w:rsidR="00E37E60" w:rsidRPr="00D835B9" w:rsidRDefault="004A3588" w:rsidP="00D835B9">
      <w:pPr>
        <w:jc w:val="left"/>
        <w:rPr>
          <w:b/>
          <w:color w:val="000000" w:themeColor="text1"/>
          <w:sz w:val="24"/>
        </w:rPr>
      </w:pPr>
      <w:r w:rsidRPr="00D835B9">
        <w:rPr>
          <w:color w:val="000000" w:themeColor="text1"/>
          <w:sz w:val="24"/>
        </w:rPr>
        <w:t xml:space="preserve">Plan Zrównoważonej Mobilności dla Miejskiego Obszaru Funkcjonalnego Wrocławia jest dokumentem, który skupia się na zagadnieniu zrównoważonej mobilności, </w:t>
      </w:r>
      <w:r w:rsidR="00AE1747" w:rsidRPr="00D835B9">
        <w:rPr>
          <w:color w:val="000000" w:themeColor="text1"/>
          <w:sz w:val="24"/>
        </w:rPr>
        <w:t xml:space="preserve">stanowiącej </w:t>
      </w:r>
      <w:r w:rsidR="00236834" w:rsidRPr="00D835B9">
        <w:rPr>
          <w:color w:val="000000" w:themeColor="text1"/>
          <w:sz w:val="24"/>
        </w:rPr>
        <w:t>odpowiedź na </w:t>
      </w:r>
      <w:r w:rsidRPr="00D835B9">
        <w:rPr>
          <w:color w:val="000000" w:themeColor="text1"/>
          <w:sz w:val="24"/>
        </w:rPr>
        <w:t>rosnące oczekiwania mieszkańców WrOF w</w:t>
      </w:r>
      <w:r w:rsidR="00857609">
        <w:rPr>
          <w:color w:val="000000" w:themeColor="text1"/>
          <w:sz w:val="24"/>
        </w:rPr>
        <w:t xml:space="preserve"> zakresie przemieszczania się i </w:t>
      </w:r>
      <w:r w:rsidRPr="00D835B9">
        <w:rPr>
          <w:color w:val="000000" w:themeColor="text1"/>
          <w:sz w:val="24"/>
        </w:rPr>
        <w:t>kwestii transportowych, a jednocześnie przyczyni się do ograniczenia negatywnego wpływu transportu na stan środowiska. Podobnie jak w przypadku Planu Zagospodarowania Przestrzenne</w:t>
      </w:r>
      <w:r w:rsidR="00236834" w:rsidRPr="00D835B9">
        <w:rPr>
          <w:color w:val="000000" w:themeColor="text1"/>
          <w:sz w:val="24"/>
        </w:rPr>
        <w:t>go Województwa Dolnośląskiego i </w:t>
      </w:r>
      <w:r w:rsidRPr="00D835B9">
        <w:rPr>
          <w:color w:val="000000" w:themeColor="text1"/>
          <w:sz w:val="24"/>
        </w:rPr>
        <w:t>Strategii Rozwoju Województwa Dolnośląskiego 2030, dokument obejmuje obsz</w:t>
      </w:r>
      <w:r w:rsidR="00857609">
        <w:rPr>
          <w:color w:val="000000" w:themeColor="text1"/>
          <w:sz w:val="24"/>
        </w:rPr>
        <w:t>ar szerszy niż identyfikowany w </w:t>
      </w:r>
      <w:r w:rsidRPr="00D835B9">
        <w:rPr>
          <w:color w:val="000000" w:themeColor="text1"/>
          <w:sz w:val="24"/>
        </w:rPr>
        <w:t>przedmiotowej strategii, jednakże zaproponowan</w:t>
      </w:r>
      <w:r w:rsidR="00236834" w:rsidRPr="00D835B9">
        <w:rPr>
          <w:color w:val="000000" w:themeColor="text1"/>
          <w:sz w:val="24"/>
        </w:rPr>
        <w:t>e zapisy i zakres pokrywa się z </w:t>
      </w:r>
      <w:r w:rsidRPr="00D835B9">
        <w:rPr>
          <w:color w:val="000000" w:themeColor="text1"/>
          <w:sz w:val="24"/>
        </w:rPr>
        <w:t xml:space="preserve">zasięgiem identyfikowanym w niniejszym dokumencie, obejmującym 19 jednostek. Poniżej przedstawiono cele nadrzędne wraz z odniesieniem do celów strategicznych niniejszego dokumentu. </w:t>
      </w:r>
    </w:p>
    <w:tbl>
      <w:tblPr>
        <w:tblStyle w:val="Tabela-Siatk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Plan Zrównoważonej Mobilności dla Miejskiego Obszaru Funkcjonalnego a Strategia ZIT WrOF 2021-2027"/>
      </w:tblPr>
      <w:tblGrid>
        <w:gridCol w:w="3823"/>
        <w:gridCol w:w="5239"/>
      </w:tblGrid>
      <w:tr w:rsidR="00D835B9" w:rsidRPr="00D835B9" w:rsidTr="00D835B9">
        <w:trPr>
          <w:tblHeader/>
        </w:trPr>
        <w:tc>
          <w:tcPr>
            <w:tcW w:w="3823" w:type="dxa"/>
            <w:shd w:val="clear" w:color="auto" w:fill="F2F2F2" w:themeFill="background1" w:themeFillShade="F2"/>
            <w:vAlign w:val="center"/>
          </w:tcPr>
          <w:p w:rsidR="00D835B9" w:rsidRPr="005254F8" w:rsidRDefault="00D835B9" w:rsidP="00D835B9">
            <w:pPr>
              <w:spacing w:line="240" w:lineRule="auto"/>
              <w:jc w:val="center"/>
              <w:rPr>
                <w:bCs/>
              </w:rPr>
            </w:pPr>
            <w:r w:rsidRPr="005254F8">
              <w:rPr>
                <w:bCs/>
              </w:rPr>
              <w:t>Plan Zrównoważonej Mobilności dla Miejskiego Obszaru Funkcjonalnego</w:t>
            </w:r>
          </w:p>
        </w:tc>
        <w:tc>
          <w:tcPr>
            <w:tcW w:w="5239" w:type="dxa"/>
            <w:shd w:val="clear" w:color="auto" w:fill="F2F2F2" w:themeFill="background1" w:themeFillShade="F2"/>
            <w:vAlign w:val="center"/>
          </w:tcPr>
          <w:p w:rsidR="00D835B9" w:rsidRPr="005254F8" w:rsidRDefault="00D835B9" w:rsidP="00D835B9">
            <w:pPr>
              <w:spacing w:line="240" w:lineRule="auto"/>
              <w:jc w:val="center"/>
              <w:rPr>
                <w:bCs/>
              </w:rPr>
            </w:pPr>
            <w:r w:rsidRPr="005254F8">
              <w:rPr>
                <w:bCs/>
              </w:rPr>
              <w:t>Strategia ZIT WrOF 2021-2027</w:t>
            </w:r>
          </w:p>
        </w:tc>
      </w:tr>
      <w:tr w:rsidR="00D835B9" w:rsidRPr="00D835B9" w:rsidTr="00D835B9">
        <w:trPr>
          <w:trHeight w:val="240"/>
        </w:trPr>
        <w:tc>
          <w:tcPr>
            <w:tcW w:w="3823" w:type="dxa"/>
            <w:vAlign w:val="center"/>
          </w:tcPr>
          <w:p w:rsidR="00D835B9" w:rsidRPr="00236834" w:rsidRDefault="00D835B9" w:rsidP="00D835B9">
            <w:pPr>
              <w:pStyle w:val="Default"/>
              <w:rPr>
                <w:sz w:val="20"/>
                <w:szCs w:val="20"/>
              </w:rPr>
            </w:pPr>
            <w:r w:rsidRPr="00236834">
              <w:rPr>
                <w:sz w:val="20"/>
                <w:szCs w:val="20"/>
              </w:rPr>
              <w:t xml:space="preserve">A. Harmonizacja struktur zarządzania </w:t>
            </w:r>
          </w:p>
        </w:tc>
        <w:tc>
          <w:tcPr>
            <w:tcW w:w="5239" w:type="dxa"/>
            <w:vAlign w:val="center"/>
          </w:tcPr>
          <w:p w:rsid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3. Ochrona środowiska naturalnego i adaptacja WrOF do zmian klimatu</w:t>
            </w:r>
            <w:r>
              <w:rPr>
                <w:rFonts w:ascii="Calibri" w:hAnsi="Calibri" w:cs="Calibri"/>
                <w:color w:val="000000"/>
                <w:szCs w:val="20"/>
              </w:rPr>
              <w:t xml:space="preserve"> </w:t>
            </w:r>
          </w:p>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4. Integracja i rozwój terytorialny WrOF</w:t>
            </w:r>
          </w:p>
        </w:tc>
      </w:tr>
      <w:tr w:rsidR="00D835B9" w:rsidRPr="00D835B9" w:rsidTr="00D835B9">
        <w:trPr>
          <w:trHeight w:val="240"/>
        </w:trPr>
        <w:tc>
          <w:tcPr>
            <w:tcW w:w="3823" w:type="dxa"/>
            <w:vAlign w:val="center"/>
          </w:tcPr>
          <w:p w:rsidR="00D835B9" w:rsidRPr="00236834" w:rsidRDefault="00D835B9" w:rsidP="00D835B9">
            <w:pPr>
              <w:pStyle w:val="Default"/>
              <w:rPr>
                <w:sz w:val="20"/>
                <w:szCs w:val="22"/>
              </w:rPr>
            </w:pPr>
            <w:r w:rsidRPr="00236834">
              <w:rPr>
                <w:sz w:val="20"/>
                <w:szCs w:val="22"/>
              </w:rPr>
              <w:t xml:space="preserve">B. Optymalizacja przestrzenna </w:t>
            </w:r>
          </w:p>
        </w:tc>
        <w:tc>
          <w:tcPr>
            <w:tcW w:w="5239" w:type="dxa"/>
            <w:vAlign w:val="center"/>
          </w:tcPr>
          <w:p w:rsid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3. Ochrona środowiska naturalnego i adaptacja WrOF do zmian klimatu</w:t>
            </w:r>
            <w:r>
              <w:rPr>
                <w:rFonts w:ascii="Calibri" w:hAnsi="Calibri" w:cs="Calibri"/>
                <w:color w:val="000000"/>
                <w:szCs w:val="20"/>
              </w:rPr>
              <w:t xml:space="preserve"> </w:t>
            </w:r>
          </w:p>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4. Integracja i rozwój terytorialny WrOF</w:t>
            </w:r>
          </w:p>
        </w:tc>
      </w:tr>
      <w:tr w:rsidR="00D835B9" w:rsidRPr="00D835B9" w:rsidTr="00D835B9">
        <w:trPr>
          <w:trHeight w:val="353"/>
        </w:trPr>
        <w:tc>
          <w:tcPr>
            <w:tcW w:w="3823" w:type="dxa"/>
            <w:vAlign w:val="center"/>
          </w:tcPr>
          <w:p w:rsidR="00D835B9" w:rsidRPr="00236834" w:rsidRDefault="00D835B9" w:rsidP="00D835B9">
            <w:pPr>
              <w:pStyle w:val="Default"/>
              <w:rPr>
                <w:sz w:val="20"/>
                <w:szCs w:val="22"/>
              </w:rPr>
            </w:pPr>
            <w:r w:rsidRPr="00236834">
              <w:rPr>
                <w:sz w:val="20"/>
                <w:szCs w:val="22"/>
              </w:rPr>
              <w:t xml:space="preserve">C. Poprawa dostępności transportowej </w:t>
            </w:r>
          </w:p>
        </w:tc>
        <w:tc>
          <w:tcPr>
            <w:tcW w:w="5239" w:type="dxa"/>
            <w:vAlign w:val="center"/>
          </w:tcPr>
          <w:p w:rsid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3. Ochrona środowiska naturalnego i adaptacja WrOF do zmian klimatu</w:t>
            </w:r>
            <w:r>
              <w:rPr>
                <w:rFonts w:ascii="Calibri" w:hAnsi="Calibri" w:cs="Calibri"/>
                <w:color w:val="000000"/>
                <w:szCs w:val="20"/>
              </w:rPr>
              <w:t xml:space="preserve"> </w:t>
            </w:r>
          </w:p>
          <w:p w:rsidR="00D835B9" w:rsidRPr="00D835B9" w:rsidRDefault="00D835B9" w:rsidP="00D835B9">
            <w:pPr>
              <w:spacing w:line="240" w:lineRule="auto"/>
              <w:jc w:val="left"/>
              <w:rPr>
                <w:rFonts w:ascii="Calibri" w:hAnsi="Calibri" w:cs="Calibri"/>
                <w:color w:val="000000"/>
                <w:szCs w:val="20"/>
              </w:rPr>
            </w:pPr>
            <w:r w:rsidRPr="00D835B9">
              <w:rPr>
                <w:rFonts w:ascii="Calibri" w:hAnsi="Calibri" w:cs="Calibri"/>
                <w:color w:val="000000"/>
                <w:szCs w:val="20"/>
              </w:rPr>
              <w:t>Cel strategiczny 4. Integracja i rozwój terytorialny WrOF</w:t>
            </w:r>
          </w:p>
        </w:tc>
      </w:tr>
    </w:tbl>
    <w:p w:rsidR="00D835B9" w:rsidRPr="00857609" w:rsidRDefault="00D835B9">
      <w:pPr>
        <w:spacing w:line="259" w:lineRule="auto"/>
        <w:jc w:val="left"/>
        <w:rPr>
          <w:color w:val="000000" w:themeColor="text1"/>
        </w:rPr>
      </w:pPr>
    </w:p>
    <w:p w:rsidR="005254F8" w:rsidRPr="00857609" w:rsidRDefault="005254F8" w:rsidP="00D835B9">
      <w:pPr>
        <w:spacing w:line="259" w:lineRule="auto"/>
        <w:jc w:val="left"/>
        <w:rPr>
          <w:color w:val="000000" w:themeColor="text1"/>
          <w:sz w:val="24"/>
        </w:rPr>
      </w:pPr>
      <w:r w:rsidRPr="00857609">
        <w:rPr>
          <w:b/>
          <w:color w:val="000000" w:themeColor="text1"/>
          <w:sz w:val="24"/>
        </w:rPr>
        <w:t>Koncepcja sieci głównych tras rowerowych województwa dolnośląskiego</w:t>
      </w:r>
    </w:p>
    <w:p w:rsidR="005254F8" w:rsidRPr="00D835B9" w:rsidRDefault="005254F8" w:rsidP="00D835B9">
      <w:pPr>
        <w:spacing w:after="0"/>
        <w:jc w:val="left"/>
        <w:rPr>
          <w:sz w:val="24"/>
        </w:rPr>
      </w:pPr>
      <w:r w:rsidRPr="00D835B9">
        <w:rPr>
          <w:sz w:val="24"/>
        </w:rPr>
        <w:t xml:space="preserve">„Dolnośląska Cyklostrada” o łącznej długości 2284 km, to 11 długodystansowych rowerowych tras głównych (2007 km, bez wariantów i odcinków dublujących) oraz 277 km tras prowadzonych po nieczynnych liniach kolejowych (trasy „kolej na rowery”). Uchwalony </w:t>
      </w:r>
      <w:r w:rsidR="00D835B9">
        <w:rPr>
          <w:sz w:val="24"/>
        </w:rPr>
        <w:t xml:space="preserve">dokument wskazuje </w:t>
      </w:r>
      <w:r w:rsidRPr="00D835B9">
        <w:rPr>
          <w:sz w:val="24"/>
        </w:rPr>
        <w:t xml:space="preserve">docelowy przebieg tras głównych będzie podstawą do realizacji strategicznego projektu województwa. Za jego koordynację i wdrożenie odpowiedzialny jest Samorząd Województwa Dolnośląskiego. Przy realizacji inwestycji będą współpracować również lokalne samorządy oraz zarządcy poszczególnych terenów. Dokument został przyjęty </w:t>
      </w:r>
      <w:r w:rsidR="00AE1747" w:rsidRPr="00D835B9">
        <w:rPr>
          <w:sz w:val="24"/>
        </w:rPr>
        <w:t>Uchwał</w:t>
      </w:r>
      <w:r w:rsidRPr="00D835B9">
        <w:rPr>
          <w:sz w:val="24"/>
        </w:rPr>
        <w:t>ą nr 4422/VII/21 Zarządu Woj. Dolnośląskiego z dn. 19.10.2021</w:t>
      </w:r>
      <w:r w:rsidR="00AE1747" w:rsidRPr="00D835B9">
        <w:rPr>
          <w:sz w:val="24"/>
        </w:rPr>
        <w:t xml:space="preserve"> </w:t>
      </w:r>
      <w:r w:rsidRPr="00D835B9">
        <w:rPr>
          <w:sz w:val="24"/>
        </w:rPr>
        <w:t xml:space="preserve">r. </w:t>
      </w:r>
    </w:p>
    <w:p w:rsidR="00353C5C" w:rsidRPr="00857609" w:rsidRDefault="00DE7417" w:rsidP="002F3FDC">
      <w:pPr>
        <w:spacing w:before="240" w:after="0"/>
        <w:rPr>
          <w:b/>
          <w:color w:val="000000" w:themeColor="text1"/>
          <w:sz w:val="24"/>
        </w:rPr>
      </w:pPr>
      <w:r w:rsidRPr="00857609">
        <w:rPr>
          <w:b/>
          <w:color w:val="000000" w:themeColor="text1"/>
          <w:sz w:val="24"/>
        </w:rPr>
        <w:t>V.4</w:t>
      </w:r>
      <w:r w:rsidR="00353C5C" w:rsidRPr="00857609">
        <w:rPr>
          <w:b/>
          <w:color w:val="000000" w:themeColor="text1"/>
          <w:sz w:val="24"/>
        </w:rPr>
        <w:t>.1 Komplementarność międzyokresowa</w:t>
      </w:r>
    </w:p>
    <w:p w:rsidR="00CD1080" w:rsidRPr="00857609" w:rsidRDefault="00CD1080" w:rsidP="00857609">
      <w:pPr>
        <w:jc w:val="left"/>
        <w:rPr>
          <w:sz w:val="24"/>
        </w:rPr>
      </w:pPr>
      <w:r w:rsidRPr="00857609">
        <w:rPr>
          <w:sz w:val="24"/>
        </w:rPr>
        <w:t xml:space="preserve">Przedmiotowy dokument stanowi realną kontynuację </w:t>
      </w:r>
      <w:r w:rsidR="00252A6A" w:rsidRPr="00857609">
        <w:rPr>
          <w:sz w:val="24"/>
        </w:rPr>
        <w:t xml:space="preserve">działań </w:t>
      </w:r>
      <w:r w:rsidR="00E62372" w:rsidRPr="00857609">
        <w:rPr>
          <w:sz w:val="24"/>
        </w:rPr>
        <w:t>zaplanowanych</w:t>
      </w:r>
      <w:r w:rsidR="00252A6A" w:rsidRPr="00857609">
        <w:rPr>
          <w:sz w:val="24"/>
        </w:rPr>
        <w:t xml:space="preserve"> w </w:t>
      </w:r>
      <w:r w:rsidR="00E62372" w:rsidRPr="00857609">
        <w:rPr>
          <w:sz w:val="24"/>
        </w:rPr>
        <w:t>poprzedniej</w:t>
      </w:r>
      <w:r w:rsidR="00AE1747" w:rsidRPr="00857609">
        <w:rPr>
          <w:sz w:val="24"/>
        </w:rPr>
        <w:t xml:space="preserve"> </w:t>
      </w:r>
      <w:r w:rsidR="00E62372" w:rsidRPr="00857609">
        <w:rPr>
          <w:sz w:val="24"/>
        </w:rPr>
        <w:t>Strategii Zintegrowanych Inwestycji Terytorialnych Wrocławskiego Obszar</w:t>
      </w:r>
      <w:r w:rsidR="00EC36EF" w:rsidRPr="00857609">
        <w:rPr>
          <w:sz w:val="24"/>
        </w:rPr>
        <w:t xml:space="preserve">u Funkcjonalnego, w ramach perspektywy finansowej na lata 2014-2020. </w:t>
      </w:r>
      <w:r w:rsidR="00A258DA" w:rsidRPr="00857609">
        <w:rPr>
          <w:sz w:val="24"/>
        </w:rPr>
        <w:t xml:space="preserve">Stanowi jednocześnie element zapewnienia komplementarności międzyokresowej. </w:t>
      </w:r>
      <w:r w:rsidR="00040AA6" w:rsidRPr="00857609">
        <w:rPr>
          <w:sz w:val="24"/>
        </w:rPr>
        <w:t xml:space="preserve">Zaplanowana interwencja uwzględnia zmieniające się uwarunkowania oraz </w:t>
      </w:r>
      <w:r w:rsidR="002E5F91" w:rsidRPr="00857609">
        <w:rPr>
          <w:sz w:val="24"/>
        </w:rPr>
        <w:t>stanowi odpowiedź</w:t>
      </w:r>
      <w:r w:rsidR="00040AA6" w:rsidRPr="00857609">
        <w:rPr>
          <w:sz w:val="24"/>
        </w:rPr>
        <w:t xml:space="preserve"> do </w:t>
      </w:r>
      <w:r w:rsidR="002E5F91" w:rsidRPr="00857609">
        <w:rPr>
          <w:sz w:val="24"/>
        </w:rPr>
        <w:t>z</w:t>
      </w:r>
      <w:r w:rsidR="0018093F" w:rsidRPr="00857609">
        <w:rPr>
          <w:sz w:val="24"/>
        </w:rPr>
        <w:t>diagnozowanych</w:t>
      </w:r>
      <w:r w:rsidR="00040AA6" w:rsidRPr="00857609">
        <w:rPr>
          <w:sz w:val="24"/>
        </w:rPr>
        <w:t xml:space="preserve"> problemów </w:t>
      </w:r>
      <w:r w:rsidR="004D3594" w:rsidRPr="00857609">
        <w:rPr>
          <w:sz w:val="24"/>
        </w:rPr>
        <w:t>oraz prognozowanych tendencji i </w:t>
      </w:r>
      <w:r w:rsidR="00040AA6" w:rsidRPr="00857609">
        <w:rPr>
          <w:sz w:val="24"/>
        </w:rPr>
        <w:t>wyzwań, z którymi bę</w:t>
      </w:r>
      <w:r w:rsidR="00857609">
        <w:rPr>
          <w:sz w:val="24"/>
        </w:rPr>
        <w:t>dą mierzyć się samorządy WrOF w </w:t>
      </w:r>
      <w:r w:rsidR="00040AA6" w:rsidRPr="00857609">
        <w:rPr>
          <w:sz w:val="24"/>
        </w:rPr>
        <w:t xml:space="preserve">perspektywie 2027 roku. </w:t>
      </w:r>
      <w:r w:rsidR="002E5F91" w:rsidRPr="00857609">
        <w:rPr>
          <w:sz w:val="24"/>
        </w:rPr>
        <w:t xml:space="preserve">Poniżej przedstawiono odniesienie </w:t>
      </w:r>
      <w:r w:rsidR="0018093F" w:rsidRPr="00857609">
        <w:rPr>
          <w:sz w:val="24"/>
        </w:rPr>
        <w:t xml:space="preserve">celów poprzedniej Strategii ZIT WrOF do zidentyfikowanych </w:t>
      </w:r>
      <w:r w:rsidR="00562C44" w:rsidRPr="00857609">
        <w:rPr>
          <w:sz w:val="24"/>
        </w:rPr>
        <w:t>celów w niniejszym dokumencie.</w:t>
      </w:r>
    </w:p>
    <w:tbl>
      <w:tblPr>
        <w:tblStyle w:val="Siatkatabelijasna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Caption w:val="komplementarność"/>
        <w:tblDescription w:val="Strategia ZIT WrOF a Strategia ZIT WrOF 2021-2027"/>
      </w:tblPr>
      <w:tblGrid>
        <w:gridCol w:w="3240"/>
        <w:gridCol w:w="786"/>
        <w:gridCol w:w="5036"/>
      </w:tblGrid>
      <w:tr w:rsidR="00562C44" w:rsidRPr="009E1CFA" w:rsidTr="00F25E70">
        <w:trPr>
          <w:trHeight w:val="737"/>
          <w:tblHeader/>
        </w:trPr>
        <w:tc>
          <w:tcPr>
            <w:tcW w:w="3369" w:type="dxa"/>
            <w:shd w:val="clear" w:color="auto" w:fill="F2F2F2" w:themeFill="background1" w:themeFillShade="F2"/>
            <w:vAlign w:val="center"/>
          </w:tcPr>
          <w:p w:rsidR="00562C44" w:rsidRPr="009E1CFA" w:rsidRDefault="00562C44" w:rsidP="00D835B9">
            <w:pPr>
              <w:spacing w:line="240" w:lineRule="auto"/>
              <w:jc w:val="left"/>
              <w:rPr>
                <w:bCs/>
              </w:rPr>
            </w:pPr>
            <w:r w:rsidRPr="009E1CFA">
              <w:rPr>
                <w:bCs/>
              </w:rPr>
              <w:t>Strategia ZIT WrOF</w:t>
            </w:r>
          </w:p>
        </w:tc>
        <w:tc>
          <w:tcPr>
            <w:tcW w:w="567" w:type="dxa"/>
            <w:shd w:val="clear" w:color="auto" w:fill="F2F2F2" w:themeFill="background1" w:themeFillShade="F2"/>
            <w:vAlign w:val="center"/>
          </w:tcPr>
          <w:p w:rsidR="00562C44" w:rsidRPr="009E1CFA" w:rsidRDefault="00D835B9" w:rsidP="002C6E4B">
            <w:pPr>
              <w:spacing w:line="240" w:lineRule="auto"/>
              <w:jc w:val="center"/>
              <w:rPr>
                <w:bCs/>
              </w:rPr>
            </w:pPr>
            <w:r>
              <w:rPr>
                <w:b/>
                <w:noProof/>
                <w:color w:val="398E98" w:themeColor="accent2" w:themeShade="BF"/>
                <w:sz w:val="36"/>
                <w:szCs w:val="36"/>
                <w:lang w:eastAsia="pl-PL"/>
              </w:rPr>
              <w:drawing>
                <wp:inline distT="0" distB="0" distL="0" distR="0" wp14:anchorId="03D237D3" wp14:editId="32B44350">
                  <wp:extent cx="360000" cy="360000"/>
                  <wp:effectExtent l="0" t="0" r="2540" b="0"/>
                  <wp:docPr id="20" name="Obraz 20"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shd w:val="clear" w:color="auto" w:fill="F2F2F2" w:themeFill="background1" w:themeFillShade="F2"/>
            <w:vAlign w:val="center"/>
          </w:tcPr>
          <w:p w:rsidR="00562C44" w:rsidRPr="009E1CFA" w:rsidRDefault="00356680" w:rsidP="00D835B9">
            <w:pPr>
              <w:spacing w:line="240" w:lineRule="auto"/>
              <w:jc w:val="left"/>
              <w:rPr>
                <w:bCs/>
              </w:rPr>
            </w:pPr>
            <w:r w:rsidRPr="009E1CFA">
              <w:rPr>
                <w:bCs/>
              </w:rPr>
              <w:t>Strategia</w:t>
            </w:r>
            <w:r w:rsidR="00562C44" w:rsidRPr="009E1CFA">
              <w:rPr>
                <w:bCs/>
              </w:rPr>
              <w:t xml:space="preserve"> ZIT WrOF 2021-2027</w:t>
            </w:r>
          </w:p>
        </w:tc>
      </w:tr>
      <w:tr w:rsidR="00562C44" w:rsidRPr="009E1CFA" w:rsidTr="00D835B9">
        <w:trPr>
          <w:trHeight w:val="737"/>
        </w:trPr>
        <w:tc>
          <w:tcPr>
            <w:tcW w:w="3369" w:type="dxa"/>
            <w:vAlign w:val="center"/>
          </w:tcPr>
          <w:p w:rsidR="00562C44" w:rsidRPr="009E1CFA" w:rsidRDefault="007A34E4" w:rsidP="00D835B9">
            <w:pPr>
              <w:spacing w:line="240" w:lineRule="auto"/>
              <w:jc w:val="left"/>
            </w:pPr>
            <w:r w:rsidRPr="009E1CFA">
              <w:t xml:space="preserve">1. Zintegrowanie przestrzeni </w:t>
            </w:r>
            <w:r w:rsidR="00356680" w:rsidRPr="009E1CFA">
              <w:t>WrOF</w:t>
            </w:r>
          </w:p>
        </w:tc>
        <w:tc>
          <w:tcPr>
            <w:tcW w:w="567" w:type="dxa"/>
            <w:vAlign w:val="center"/>
          </w:tcPr>
          <w:p w:rsidR="00562C44" w:rsidRPr="009E1CFA" w:rsidRDefault="00EC497E" w:rsidP="002C6E4B">
            <w:pPr>
              <w:spacing w:line="240" w:lineRule="auto"/>
              <w:jc w:val="center"/>
              <w:rPr>
                <w:b/>
                <w:color w:val="398E98" w:themeColor="accent2" w:themeShade="BF"/>
                <w:sz w:val="36"/>
                <w:szCs w:val="36"/>
              </w:rPr>
            </w:pPr>
            <w:r>
              <w:rPr>
                <w:b/>
                <w:noProof/>
                <w:color w:val="398E98" w:themeColor="accent2" w:themeShade="BF"/>
                <w:sz w:val="36"/>
                <w:szCs w:val="36"/>
                <w:lang w:eastAsia="pl-PL"/>
              </w:rPr>
              <w:drawing>
                <wp:inline distT="0" distB="0" distL="0" distR="0" wp14:anchorId="48872D9A" wp14:editId="04ED491C">
                  <wp:extent cx="360000" cy="360000"/>
                  <wp:effectExtent l="0" t="0" r="2540" b="0"/>
                  <wp:docPr id="31" name="Obraz 31"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vAlign w:val="center"/>
          </w:tcPr>
          <w:p w:rsidR="00562C44" w:rsidRPr="009E1CFA" w:rsidRDefault="00356680" w:rsidP="00D835B9">
            <w:pPr>
              <w:spacing w:line="240" w:lineRule="auto"/>
              <w:jc w:val="left"/>
            </w:pPr>
            <w:r w:rsidRPr="009E1CFA">
              <w:t xml:space="preserve">Cel strategiczny 3. </w:t>
            </w:r>
            <w:r w:rsidR="00F62AC3" w:rsidRPr="00F62AC3">
              <w:t>O</w:t>
            </w:r>
            <w:r w:rsidR="00707387">
              <w:t>chrona środowiska naturalnego i </w:t>
            </w:r>
            <w:r w:rsidR="00F62AC3" w:rsidRPr="00F62AC3">
              <w:t>adaptacja WrOF do zmian klimatu</w:t>
            </w:r>
          </w:p>
          <w:p w:rsidR="00356680" w:rsidRPr="009E1CFA" w:rsidRDefault="001761C1" w:rsidP="00D835B9">
            <w:pPr>
              <w:spacing w:line="240" w:lineRule="auto"/>
              <w:jc w:val="left"/>
            </w:pPr>
            <w:r w:rsidRPr="009E1CFA">
              <w:t xml:space="preserve">Cel strategiczny </w:t>
            </w:r>
            <w:r w:rsidR="00356680" w:rsidRPr="009E1CFA">
              <w:t>4. Integracja i rozwój terytorialny WrOF</w:t>
            </w:r>
          </w:p>
        </w:tc>
      </w:tr>
      <w:tr w:rsidR="00562C44" w:rsidRPr="009E1CFA" w:rsidTr="00D835B9">
        <w:trPr>
          <w:trHeight w:val="737"/>
        </w:trPr>
        <w:tc>
          <w:tcPr>
            <w:tcW w:w="3369" w:type="dxa"/>
            <w:vAlign w:val="center"/>
          </w:tcPr>
          <w:p w:rsidR="00562C44" w:rsidRPr="009E1CFA" w:rsidRDefault="007A34E4" w:rsidP="00D835B9">
            <w:pPr>
              <w:autoSpaceDE w:val="0"/>
              <w:autoSpaceDN w:val="0"/>
              <w:adjustRightInd w:val="0"/>
              <w:spacing w:line="240" w:lineRule="auto"/>
              <w:jc w:val="left"/>
            </w:pPr>
            <w:r w:rsidRPr="009E1CFA">
              <w:t>2. Innowacyjna</w:t>
            </w:r>
            <w:r w:rsidR="009F6939">
              <w:t xml:space="preserve"> konkurencyjna </w:t>
            </w:r>
            <w:r w:rsidRPr="009E1CFA">
              <w:t>gospodarka</w:t>
            </w:r>
            <w:r w:rsidR="00AE1747">
              <w:t xml:space="preserve"> </w:t>
            </w:r>
            <w:r w:rsidR="00356680" w:rsidRPr="009E1CFA">
              <w:t>WrOF</w:t>
            </w:r>
          </w:p>
        </w:tc>
        <w:tc>
          <w:tcPr>
            <w:tcW w:w="567" w:type="dxa"/>
            <w:vAlign w:val="center"/>
          </w:tcPr>
          <w:p w:rsidR="00562C44" w:rsidRPr="009E1CFA" w:rsidRDefault="00EC497E" w:rsidP="002C6E4B">
            <w:pPr>
              <w:spacing w:line="240" w:lineRule="auto"/>
              <w:jc w:val="center"/>
              <w:rPr>
                <w:b/>
                <w:color w:val="398E98" w:themeColor="accent2" w:themeShade="BF"/>
                <w:sz w:val="36"/>
                <w:szCs w:val="36"/>
              </w:rPr>
            </w:pPr>
            <w:r>
              <w:rPr>
                <w:b/>
                <w:noProof/>
                <w:color w:val="398E98" w:themeColor="accent2" w:themeShade="BF"/>
                <w:sz w:val="36"/>
                <w:szCs w:val="36"/>
                <w:lang w:eastAsia="pl-PL"/>
              </w:rPr>
              <w:drawing>
                <wp:inline distT="0" distB="0" distL="0" distR="0" wp14:anchorId="1E1A7AAF" wp14:editId="78E1584C">
                  <wp:extent cx="360000" cy="360000"/>
                  <wp:effectExtent l="0" t="0" r="2540" b="0"/>
                  <wp:docPr id="32" name="Obraz 32"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vAlign w:val="center"/>
          </w:tcPr>
          <w:p w:rsidR="00562C44" w:rsidRPr="009E1CFA" w:rsidRDefault="00356680" w:rsidP="00D835B9">
            <w:pPr>
              <w:spacing w:line="240" w:lineRule="auto"/>
              <w:jc w:val="left"/>
            </w:pPr>
            <w:r w:rsidRPr="009E1CFA">
              <w:t xml:space="preserve">Cel strategiczny </w:t>
            </w:r>
            <w:r w:rsidR="005B6730" w:rsidRPr="009E1CFA">
              <w:t>2. Wzmacnianie innowacyjności i </w:t>
            </w:r>
            <w:r w:rsidRPr="009E1CFA">
              <w:t>konkurencyjności gospodarki WrOF</w:t>
            </w:r>
          </w:p>
        </w:tc>
      </w:tr>
      <w:tr w:rsidR="00562C44" w:rsidRPr="009E1CFA" w:rsidTr="00D835B9">
        <w:trPr>
          <w:trHeight w:val="737"/>
        </w:trPr>
        <w:tc>
          <w:tcPr>
            <w:tcW w:w="3369" w:type="dxa"/>
            <w:vAlign w:val="center"/>
          </w:tcPr>
          <w:p w:rsidR="00562C44" w:rsidRPr="009E1CFA" w:rsidRDefault="007A34E4" w:rsidP="00D835B9">
            <w:pPr>
              <w:spacing w:line="240" w:lineRule="auto"/>
              <w:jc w:val="left"/>
            </w:pPr>
            <w:r w:rsidRPr="009E1CFA">
              <w:t xml:space="preserve">3. Zintegrowanie społeczne </w:t>
            </w:r>
            <w:r w:rsidR="00356680" w:rsidRPr="009E1CFA">
              <w:t>WrOF</w:t>
            </w:r>
          </w:p>
        </w:tc>
        <w:tc>
          <w:tcPr>
            <w:tcW w:w="567" w:type="dxa"/>
            <w:vAlign w:val="center"/>
          </w:tcPr>
          <w:p w:rsidR="00562C44" w:rsidRPr="009E1CFA" w:rsidRDefault="00EC497E" w:rsidP="002C6E4B">
            <w:pPr>
              <w:spacing w:line="240" w:lineRule="auto"/>
              <w:jc w:val="center"/>
              <w:rPr>
                <w:b/>
                <w:color w:val="398E98" w:themeColor="accent2" w:themeShade="BF"/>
                <w:sz w:val="36"/>
                <w:szCs w:val="36"/>
              </w:rPr>
            </w:pPr>
            <w:r>
              <w:rPr>
                <w:b/>
                <w:noProof/>
                <w:color w:val="398E98" w:themeColor="accent2" w:themeShade="BF"/>
                <w:sz w:val="36"/>
                <w:szCs w:val="36"/>
                <w:lang w:eastAsia="pl-PL"/>
              </w:rPr>
              <w:drawing>
                <wp:inline distT="0" distB="0" distL="0" distR="0" wp14:anchorId="78055BCF" wp14:editId="00A00C50">
                  <wp:extent cx="360000" cy="360000"/>
                  <wp:effectExtent l="0" t="0" r="2540" b="0"/>
                  <wp:docPr id="34" name="Obraz 34" descr="strzałka w lewo" title="strzałka w l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5276" w:type="dxa"/>
            <w:vAlign w:val="center"/>
          </w:tcPr>
          <w:p w:rsidR="00562C44" w:rsidRPr="009E1CFA" w:rsidRDefault="00356680" w:rsidP="00D835B9">
            <w:pPr>
              <w:spacing w:line="240" w:lineRule="auto"/>
              <w:jc w:val="left"/>
            </w:pPr>
            <w:r w:rsidRPr="009E1CFA">
              <w:t>Cel strategiczny 1. Poprawa jakości życia na terenie WrOF</w:t>
            </w:r>
          </w:p>
        </w:tc>
      </w:tr>
    </w:tbl>
    <w:p w:rsidR="009E1CFA" w:rsidRPr="00D835B9" w:rsidRDefault="009E1CFA" w:rsidP="00D835B9">
      <w:pPr>
        <w:jc w:val="left"/>
        <w:rPr>
          <w:sz w:val="24"/>
        </w:rPr>
      </w:pPr>
    </w:p>
    <w:p w:rsidR="00383204" w:rsidRPr="00D835B9" w:rsidRDefault="00105BA0" w:rsidP="00D835B9">
      <w:pPr>
        <w:jc w:val="left"/>
        <w:rPr>
          <w:sz w:val="24"/>
        </w:rPr>
      </w:pPr>
      <w:r w:rsidRPr="00D835B9">
        <w:rPr>
          <w:sz w:val="24"/>
        </w:rPr>
        <w:t xml:space="preserve">Zaplanowane cele skupione są na realizacji przedsięwzięć mających na celu podniesienie jakości życia we WrOF, zapewnienie wysokiego dostępu do różnorodnych </w:t>
      </w:r>
      <w:r w:rsidR="004420D2" w:rsidRPr="00D835B9">
        <w:rPr>
          <w:sz w:val="24"/>
        </w:rPr>
        <w:t xml:space="preserve">usług na całym obszarze, wraz z wspieraniem integracji cudzoziemców. </w:t>
      </w:r>
      <w:r w:rsidR="001E2AA5" w:rsidRPr="00D835B9">
        <w:rPr>
          <w:sz w:val="24"/>
        </w:rPr>
        <w:t xml:space="preserve">Ponadto z uwagi na postępujący kryzys klimatyczny, przewidziane działania dotyczą również adaptacji do zmian klimatu, które stanowią obecne istotne wyzwanie w wymiarze przestrzenno-środowiskowym dla samorządów. </w:t>
      </w:r>
      <w:r w:rsidR="00F72BB6" w:rsidRPr="00D835B9">
        <w:rPr>
          <w:sz w:val="24"/>
        </w:rPr>
        <w:t>W</w:t>
      </w:r>
      <w:r w:rsidR="007D6426" w:rsidRPr="00D835B9">
        <w:rPr>
          <w:sz w:val="24"/>
        </w:rPr>
        <w:t xml:space="preserve"> kontekście wzmacniania </w:t>
      </w:r>
      <w:r w:rsidR="00F72BB6" w:rsidRPr="00D835B9">
        <w:rPr>
          <w:sz w:val="24"/>
        </w:rPr>
        <w:t>konkurencyjności</w:t>
      </w:r>
      <w:r w:rsidR="00AE1747" w:rsidRPr="00D835B9">
        <w:rPr>
          <w:sz w:val="24"/>
        </w:rPr>
        <w:t xml:space="preserve"> </w:t>
      </w:r>
      <w:r w:rsidR="00F72BB6" w:rsidRPr="00D835B9">
        <w:rPr>
          <w:sz w:val="24"/>
        </w:rPr>
        <w:t xml:space="preserve">WrOF, </w:t>
      </w:r>
      <w:r w:rsidR="007D6426" w:rsidRPr="00D835B9">
        <w:rPr>
          <w:sz w:val="24"/>
        </w:rPr>
        <w:t>zasadne jest wdrażanie rozwiązań innowacyjnych oraz zw</w:t>
      </w:r>
      <w:r w:rsidR="00AE1747" w:rsidRPr="00D835B9">
        <w:rPr>
          <w:sz w:val="24"/>
        </w:rPr>
        <w:t>iększanie spójności i </w:t>
      </w:r>
      <w:r w:rsidR="00CA6A21" w:rsidRPr="00D835B9">
        <w:rPr>
          <w:sz w:val="24"/>
        </w:rPr>
        <w:t>integracji przestrzennej</w:t>
      </w:r>
      <w:r w:rsidR="00857609">
        <w:rPr>
          <w:sz w:val="24"/>
        </w:rPr>
        <w:t xml:space="preserve"> obszaru, w </w:t>
      </w:r>
      <w:r w:rsidR="007D6426" w:rsidRPr="00D835B9">
        <w:rPr>
          <w:sz w:val="24"/>
        </w:rPr>
        <w:t xml:space="preserve">celu </w:t>
      </w:r>
      <w:r w:rsidR="00CA6A21" w:rsidRPr="00D835B9">
        <w:rPr>
          <w:sz w:val="24"/>
        </w:rPr>
        <w:t>utrzymania</w:t>
      </w:r>
      <w:r w:rsidR="00F72BB6" w:rsidRPr="00D835B9">
        <w:rPr>
          <w:sz w:val="24"/>
        </w:rPr>
        <w:t xml:space="preserve"> wzrostu i rozwoju gospodarczego. </w:t>
      </w:r>
    </w:p>
    <w:p w:rsidR="00D9109A" w:rsidRPr="00ED30DB" w:rsidRDefault="00E131BA" w:rsidP="00ED30DB">
      <w:pPr>
        <w:pStyle w:val="Nagwek2"/>
      </w:pPr>
      <w:bookmarkStart w:id="187" w:name="_Toc143673241"/>
      <w:r w:rsidRPr="00ED30DB">
        <w:t>V.</w:t>
      </w:r>
      <w:r w:rsidR="00B3486A" w:rsidRPr="00ED30DB">
        <w:t>5</w:t>
      </w:r>
      <w:r w:rsidR="00AE1747">
        <w:t xml:space="preserve"> </w:t>
      </w:r>
      <w:r w:rsidR="00ED0CA4" w:rsidRPr="00ED30DB">
        <w:t xml:space="preserve">Budżet, ramy </w:t>
      </w:r>
      <w:r w:rsidR="00C27D17" w:rsidRPr="00ED30DB">
        <w:t xml:space="preserve">finansowania </w:t>
      </w:r>
      <w:r w:rsidR="00ED0CA4" w:rsidRPr="00ED30DB">
        <w:t>i źródła finansowania</w:t>
      </w:r>
      <w:bookmarkEnd w:id="187"/>
    </w:p>
    <w:p w:rsidR="009E7B91" w:rsidRPr="00D835B9" w:rsidRDefault="009E7B91" w:rsidP="00D835B9">
      <w:pPr>
        <w:spacing w:before="120" w:after="280"/>
        <w:jc w:val="left"/>
        <w:rPr>
          <w:rFonts w:cstheme="minorHAnsi"/>
          <w:sz w:val="24"/>
        </w:rPr>
      </w:pPr>
      <w:r w:rsidRPr="00D835B9">
        <w:rPr>
          <w:rFonts w:cstheme="minorHAnsi"/>
          <w:sz w:val="24"/>
        </w:rPr>
        <w:t xml:space="preserve">W rozdziale zaprezentowano analizę finansów gmin tworzących Wrocławski Obszar Funkcjonalny. Analizie poddano dochody i wydatki gmin w ostatnich kilku latach, możliwości inwestycyjne i płynność finansową, stan zadłużenia, aktywność i skuteczność w pozyskiwaniu pozabudżetowych źródeł finansowania projektów, zapisy wieloletnich prognoz finansowych gmin. Na zakończenie wskazano wielkość środków finansowych </w:t>
      </w:r>
      <w:r w:rsidR="00ED6E21" w:rsidRPr="00D835B9">
        <w:rPr>
          <w:rFonts w:cstheme="minorHAnsi"/>
          <w:sz w:val="24"/>
        </w:rPr>
        <w:t>przeznaczonych</w:t>
      </w:r>
      <w:r w:rsidRPr="00D835B9">
        <w:rPr>
          <w:rFonts w:cstheme="minorHAnsi"/>
          <w:sz w:val="24"/>
        </w:rPr>
        <w:t xml:space="preserve"> na realizację strategii wraz z potencjalnymi źródłami finansowania, w podziale na poszczególne gminy.</w:t>
      </w:r>
    </w:p>
    <w:p w:rsidR="009E7B91" w:rsidRPr="00D835B9" w:rsidRDefault="009E7B91" w:rsidP="00D835B9">
      <w:pPr>
        <w:spacing w:before="120" w:after="0"/>
        <w:jc w:val="left"/>
        <w:rPr>
          <w:rFonts w:cstheme="minorHAnsi"/>
          <w:b/>
          <w:color w:val="000000" w:themeColor="text1"/>
          <w:sz w:val="24"/>
        </w:rPr>
      </w:pPr>
      <w:r w:rsidRPr="00D835B9">
        <w:rPr>
          <w:rFonts w:cstheme="minorHAnsi"/>
          <w:b/>
          <w:color w:val="000000" w:themeColor="text1"/>
          <w:sz w:val="24"/>
        </w:rPr>
        <w:t xml:space="preserve">Analiza finansów gmin tworzących Wrocławski Obszar Funkcjonalny </w:t>
      </w:r>
    </w:p>
    <w:p w:rsidR="00ED1504" w:rsidRPr="00D835B9" w:rsidRDefault="009E7B91" w:rsidP="00D835B9">
      <w:pPr>
        <w:spacing w:after="240"/>
        <w:jc w:val="left"/>
        <w:rPr>
          <w:rFonts w:cstheme="minorHAnsi"/>
          <w:color w:val="000000" w:themeColor="text1"/>
          <w:sz w:val="24"/>
        </w:rPr>
      </w:pPr>
      <w:r w:rsidRPr="00D835B9">
        <w:rPr>
          <w:rFonts w:cstheme="minorHAnsi"/>
          <w:color w:val="000000" w:themeColor="text1"/>
          <w:spacing w:val="-4"/>
          <w:kern w:val="22"/>
          <w:sz w:val="24"/>
        </w:rPr>
        <w:t xml:space="preserve">Łączna kwota dochodów uzyskanych przez gminy wchodzące w skład </w:t>
      </w:r>
      <w:r w:rsidR="00ED6E21" w:rsidRPr="00D835B9">
        <w:rPr>
          <w:rFonts w:cstheme="minorHAnsi"/>
          <w:color w:val="000000" w:themeColor="text1"/>
          <w:spacing w:val="-4"/>
          <w:kern w:val="22"/>
          <w:sz w:val="24"/>
        </w:rPr>
        <w:t>WrOF</w:t>
      </w:r>
      <w:r w:rsidRPr="00D835B9">
        <w:rPr>
          <w:rFonts w:cstheme="minorHAnsi"/>
          <w:color w:val="000000" w:themeColor="text1"/>
          <w:spacing w:val="-4"/>
          <w:kern w:val="22"/>
          <w:sz w:val="24"/>
        </w:rPr>
        <w:t xml:space="preserve"> w 2021 wyniosła 8</w:t>
      </w:r>
      <w:r w:rsidR="00ED6E21" w:rsidRPr="00D835B9">
        <w:rPr>
          <w:rFonts w:cstheme="minorHAnsi"/>
          <w:color w:val="000000" w:themeColor="text1"/>
          <w:spacing w:val="-4"/>
          <w:kern w:val="22"/>
          <w:sz w:val="24"/>
        </w:rPr>
        <w:t> 809 232 </w:t>
      </w:r>
      <w:r w:rsidRPr="00D835B9">
        <w:rPr>
          <w:rFonts w:cstheme="minorHAnsi"/>
          <w:color w:val="000000" w:themeColor="text1"/>
          <w:spacing w:val="-4"/>
          <w:kern w:val="22"/>
          <w:sz w:val="24"/>
        </w:rPr>
        <w:t>321,78 zł, z</w:t>
      </w:r>
      <w:r w:rsidR="00ED6E21" w:rsidRPr="00D835B9">
        <w:rPr>
          <w:rFonts w:cstheme="minorHAnsi"/>
          <w:color w:val="000000" w:themeColor="text1"/>
          <w:spacing w:val="-4"/>
          <w:kern w:val="22"/>
          <w:sz w:val="24"/>
        </w:rPr>
        <w:t xml:space="preserve"> kolei kwota wydatków ogółem – </w:t>
      </w:r>
      <w:r w:rsidRPr="00D835B9">
        <w:rPr>
          <w:rFonts w:cstheme="minorHAnsi"/>
          <w:color w:val="000000" w:themeColor="text1"/>
          <w:spacing w:val="-4"/>
          <w:kern w:val="22"/>
          <w:sz w:val="24"/>
        </w:rPr>
        <w:t>8 439 437 326,26 zł</w:t>
      </w:r>
      <w:r w:rsidRPr="00D835B9">
        <w:rPr>
          <w:rFonts w:cstheme="minorHAnsi"/>
          <w:color w:val="000000" w:themeColor="text1"/>
          <w:sz w:val="24"/>
        </w:rPr>
        <w:t xml:space="preserve">. Sumarycznie </w:t>
      </w:r>
      <w:r w:rsidR="00857609">
        <w:rPr>
          <w:rFonts w:cstheme="minorHAnsi"/>
          <w:color w:val="000000" w:themeColor="text1"/>
          <w:sz w:val="24"/>
        </w:rPr>
        <w:t>w </w:t>
      </w:r>
      <w:r w:rsidR="00ED6E21" w:rsidRPr="00D835B9">
        <w:rPr>
          <w:rFonts w:cstheme="minorHAnsi"/>
          <w:color w:val="000000" w:themeColor="text1"/>
          <w:sz w:val="24"/>
        </w:rPr>
        <w:t>odniesieniu do </w:t>
      </w:r>
      <w:r w:rsidRPr="00D835B9">
        <w:rPr>
          <w:rFonts w:cstheme="minorHAnsi"/>
          <w:color w:val="000000" w:themeColor="text1"/>
          <w:sz w:val="24"/>
        </w:rPr>
        <w:t xml:space="preserve">2017 roku dochody wzrosły o 53,3%, natomiast wydatki w badanym okresie </w:t>
      </w:r>
      <w:r w:rsidR="00AE1747" w:rsidRPr="00D835B9">
        <w:rPr>
          <w:rFonts w:cstheme="minorHAnsi"/>
          <w:color w:val="000000" w:themeColor="text1"/>
          <w:sz w:val="24"/>
        </w:rPr>
        <w:t>zwiększyły się</w:t>
      </w:r>
      <w:r w:rsidRPr="00D835B9">
        <w:rPr>
          <w:rFonts w:cstheme="minorHAnsi"/>
          <w:color w:val="000000" w:themeColor="text1"/>
          <w:sz w:val="24"/>
        </w:rPr>
        <w:t xml:space="preserve"> o 47,3%. </w:t>
      </w:r>
      <w:bookmarkStart w:id="188" w:name="_Toc25225838"/>
      <w:r w:rsidR="00ED6E21" w:rsidRPr="00D835B9">
        <w:rPr>
          <w:rFonts w:cstheme="minorHAnsi"/>
          <w:color w:val="000000" w:themeColor="text1"/>
          <w:sz w:val="24"/>
        </w:rPr>
        <w:t>W </w:t>
      </w:r>
      <w:r w:rsidRPr="00D835B9">
        <w:rPr>
          <w:rFonts w:cstheme="minorHAnsi"/>
          <w:color w:val="000000" w:themeColor="text1"/>
          <w:sz w:val="24"/>
        </w:rPr>
        <w:t>poniższych tabelach zaprezentowano dochody oraz wydatki poszczególnych JST tworzących WrOF w analizowanym okresie, a także dynamikę ich zmian na przestrzeni lat 2017-2021.</w:t>
      </w:r>
    </w:p>
    <w:p w:rsidR="009E7B91" w:rsidRPr="00C97166" w:rsidRDefault="00ED1504" w:rsidP="009E7B91">
      <w:pPr>
        <w:pStyle w:val="nadWrOF"/>
      </w:pPr>
      <w:bookmarkStart w:id="189" w:name="_Toc143606975"/>
      <w:r>
        <w:t>T</w:t>
      </w:r>
      <w:r w:rsidR="009E7B91">
        <w:t xml:space="preserve">abela </w:t>
      </w:r>
      <w:r w:rsidR="00C73793">
        <w:rPr>
          <w:noProof/>
        </w:rPr>
        <w:fldChar w:fldCharType="begin"/>
      </w:r>
      <w:r w:rsidR="00B96950">
        <w:rPr>
          <w:noProof/>
        </w:rPr>
        <w:instrText xml:space="preserve"> SEQ Tabela \* ARABIC </w:instrText>
      </w:r>
      <w:r w:rsidR="00C73793">
        <w:rPr>
          <w:noProof/>
        </w:rPr>
        <w:fldChar w:fldCharType="separate"/>
      </w:r>
      <w:r w:rsidR="00C96A96">
        <w:rPr>
          <w:noProof/>
        </w:rPr>
        <w:t>18</w:t>
      </w:r>
      <w:r w:rsidR="00C73793">
        <w:rPr>
          <w:noProof/>
        </w:rPr>
        <w:fldChar w:fldCharType="end"/>
      </w:r>
      <w:r w:rsidR="009E7B91" w:rsidRPr="002E6C3E">
        <w:t xml:space="preserve"> Dochody gmin WrOF w latach 2017-2021</w:t>
      </w:r>
      <w:r w:rsidR="009E7B91">
        <w:t xml:space="preserve"> [zł]</w:t>
      </w:r>
      <w:bookmarkEnd w:id="189"/>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Dochody gmin WrOF w latach 2017-2021 [zł]"/>
        <w:tblDescription w:val="Dochody gmin WrOF w latach 2017-2021 [zł]"/>
      </w:tblPr>
      <w:tblGrid>
        <w:gridCol w:w="1576"/>
        <w:gridCol w:w="1276"/>
        <w:gridCol w:w="1276"/>
        <w:gridCol w:w="1275"/>
        <w:gridCol w:w="1276"/>
        <w:gridCol w:w="1276"/>
        <w:gridCol w:w="1117"/>
      </w:tblGrid>
      <w:tr w:rsidR="009E7B91" w:rsidRPr="00D835B9" w:rsidTr="00D835B9">
        <w:trPr>
          <w:trHeight w:val="567"/>
          <w:tblHeader/>
        </w:trPr>
        <w:tc>
          <w:tcPr>
            <w:tcW w:w="1418"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Wyszczególnienie</w:t>
            </w:r>
          </w:p>
        </w:tc>
        <w:tc>
          <w:tcPr>
            <w:tcW w:w="1276"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2017</w:t>
            </w:r>
          </w:p>
        </w:tc>
        <w:tc>
          <w:tcPr>
            <w:tcW w:w="1276"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2018</w:t>
            </w:r>
          </w:p>
        </w:tc>
        <w:tc>
          <w:tcPr>
            <w:tcW w:w="1275"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2019</w:t>
            </w:r>
          </w:p>
        </w:tc>
        <w:tc>
          <w:tcPr>
            <w:tcW w:w="1276"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2020</w:t>
            </w:r>
          </w:p>
        </w:tc>
        <w:tc>
          <w:tcPr>
            <w:tcW w:w="1276" w:type="dxa"/>
            <w:shd w:val="clear" w:color="auto" w:fill="F2F2F2" w:themeFill="background1" w:themeFillShade="F2"/>
            <w:vAlign w:val="center"/>
            <w:hideMark/>
          </w:tcPr>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eastAsia="Times New Roman" w:cs="Calibri"/>
                <w:bCs/>
                <w:color w:val="000000"/>
                <w:sz w:val="20"/>
                <w:szCs w:val="20"/>
                <w:lang w:eastAsia="pl-PL"/>
              </w:rPr>
              <w:t>2021</w:t>
            </w:r>
          </w:p>
        </w:tc>
        <w:tc>
          <w:tcPr>
            <w:tcW w:w="1492" w:type="dxa"/>
            <w:shd w:val="clear" w:color="auto" w:fill="F2F2F2" w:themeFill="background1" w:themeFillShade="F2"/>
            <w:vAlign w:val="center"/>
          </w:tcPr>
          <w:p w:rsidR="002A5957" w:rsidRPr="00D835B9" w:rsidRDefault="009E7B91" w:rsidP="00D835B9">
            <w:pPr>
              <w:spacing w:after="0" w:line="240" w:lineRule="auto"/>
              <w:jc w:val="left"/>
              <w:rPr>
                <w:rFonts w:cs="Calibri"/>
                <w:bCs/>
                <w:color w:val="000000"/>
                <w:sz w:val="20"/>
                <w:szCs w:val="20"/>
              </w:rPr>
            </w:pPr>
            <w:r w:rsidRPr="00D835B9">
              <w:rPr>
                <w:rFonts w:cs="Calibri"/>
                <w:bCs/>
                <w:color w:val="000000"/>
                <w:sz w:val="20"/>
                <w:szCs w:val="20"/>
              </w:rPr>
              <w:t>Dynamika zmian</w:t>
            </w:r>
            <w:r w:rsidR="00AE1747" w:rsidRPr="00D835B9">
              <w:rPr>
                <w:rFonts w:cs="Calibri"/>
                <w:bCs/>
                <w:color w:val="000000"/>
                <w:sz w:val="20"/>
                <w:szCs w:val="20"/>
              </w:rPr>
              <w:br/>
            </w:r>
            <w:r w:rsidRPr="00D835B9">
              <w:rPr>
                <w:rFonts w:cs="Calibri"/>
                <w:bCs/>
                <w:color w:val="000000"/>
                <w:sz w:val="20"/>
                <w:szCs w:val="20"/>
              </w:rPr>
              <w:t xml:space="preserve"> w latach </w:t>
            </w:r>
          </w:p>
          <w:p w:rsidR="009E7B91" w:rsidRPr="00D835B9" w:rsidRDefault="009E7B91" w:rsidP="00D835B9">
            <w:pPr>
              <w:spacing w:after="0" w:line="240" w:lineRule="auto"/>
              <w:jc w:val="left"/>
              <w:rPr>
                <w:rFonts w:eastAsia="Times New Roman" w:cs="Calibri"/>
                <w:bCs/>
                <w:color w:val="000000"/>
                <w:sz w:val="20"/>
                <w:szCs w:val="20"/>
                <w:lang w:eastAsia="pl-PL"/>
              </w:rPr>
            </w:pPr>
            <w:r w:rsidRPr="00D835B9">
              <w:rPr>
                <w:rFonts w:cs="Calibri"/>
                <w:bCs/>
                <w:color w:val="000000"/>
                <w:sz w:val="20"/>
                <w:szCs w:val="20"/>
              </w:rPr>
              <w:t>2017-2021</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Czernica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69 146 507,75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76 663 367,04</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94 626 145,92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118 813 050,13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135 667 105,56</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96,2%</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Długołęka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149 244 516,52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168 657 194,89</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205 022 834,39</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238 347 365,18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270 950 354,32</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81,5%</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Dobroszyce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31 169 309,98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31 688 260,56</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35 985 304,08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52 335 219,76</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46 125 064,41</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48,0%</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Jelcz-Laskowice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93 766 511,65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109 116 676,22</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122 973 246,28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136 710 737,83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146 887 337,21</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56,7%</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Kąty Wrocławskie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126 689 181,65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140 050 129,06</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158 832 177,12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196 447 251,21</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208 927 729,54</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64,9%</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Kobierzyce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196 518 466,84</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218 686 964,00</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247 618 040,83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285 513 364,27</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319 529 019,45</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62,6%</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Miękinia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71 353 243,06</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90 373 294,83</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105 403 451,83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113 304 992,24</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136 007 649,44</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90,6%</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Oborniki Śląskie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82 504 469,92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91 459 612,56</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98 641 496,35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110 411 519,41</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119 534 661,25</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44,9%</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Oleśnica (miasto)</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150 179 255,23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165 492 664,23</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216 364 215,42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190 795 606,96</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211 008 942,55</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40,5%</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Oleśnica (gmina wiejska)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52 665 144,47</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55 749 004,88</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68 298 591,18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81 389 254,72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88 709 062,58</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68,4%</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Oława (miasto)</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125 365 024,01</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144 445 533,75</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153 782 834,28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171 581 449,39</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183 337 076,39</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46,2%</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Oława (gmina wiejska)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71 618 166,93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90 423 808,17</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102 067 249,05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104 084 272,18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114 712 822,25</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60,2%</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Siechnice</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104 653 627,52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120 970 981,34</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146 592 471,26</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180 470 471,10</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194 488 967,19</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85,8%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Sobótka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51 408 749,09</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61 138 560,99</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68 208 346,32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78 466 215,38</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83 169 607,06</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61,8%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Trzebnica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119 725 067,94</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111 942 297,37</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127 641 067,02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136 274 505,35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148 978 326,98</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24,4%</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Wisznia Mała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45 616 319,05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49 924 568,97</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58 823 717,55</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68 805 306,06</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82 009 655,02</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79,8%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Wrocław</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4 134 982 645,24</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4 456 648 391,83</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4 928 475 532,71</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5 175 360 707,73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6 193 646 460,94</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49,8%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Zawonia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26 845 683,84</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33 414 842,32</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38 875 687,23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39 950 285,72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40 762 600,95</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51,8%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sz w:val="20"/>
                <w:szCs w:val="20"/>
                <w:lang w:eastAsia="pl-PL"/>
              </w:rPr>
            </w:pPr>
            <w:r w:rsidRPr="00D835B9">
              <w:rPr>
                <w:rFonts w:eastAsia="Times New Roman" w:cs="Calibri"/>
                <w:sz w:val="20"/>
                <w:szCs w:val="20"/>
                <w:lang w:eastAsia="pl-PL"/>
              </w:rPr>
              <w:t>Żórawina</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43 515 604,33</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48 005 368,25</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67 481 123,87</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74 311 992,27</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sz w:val="16"/>
                <w:szCs w:val="20"/>
                <w:lang w:eastAsia="pl-PL"/>
              </w:rPr>
            </w:pPr>
            <w:r w:rsidRPr="00D835B9">
              <w:rPr>
                <w:rFonts w:eastAsia="Times New Roman" w:cs="Calibri"/>
                <w:sz w:val="16"/>
                <w:szCs w:val="20"/>
                <w:lang w:eastAsia="pl-PL"/>
              </w:rPr>
              <w:t>84 779 878,69</w:t>
            </w:r>
          </w:p>
        </w:tc>
        <w:tc>
          <w:tcPr>
            <w:tcW w:w="1492" w:type="dxa"/>
            <w:vAlign w:val="center"/>
          </w:tcPr>
          <w:p w:rsidR="009E7B91" w:rsidRPr="00D835B9" w:rsidRDefault="009E7B91" w:rsidP="00D835B9">
            <w:pPr>
              <w:spacing w:after="0" w:line="240" w:lineRule="auto"/>
              <w:jc w:val="left"/>
              <w:rPr>
                <w:rFonts w:eastAsia="Times New Roman" w:cs="Calibri"/>
                <w:sz w:val="20"/>
                <w:szCs w:val="20"/>
                <w:lang w:eastAsia="pl-PL"/>
              </w:rPr>
            </w:pPr>
            <w:r w:rsidRPr="00D835B9">
              <w:rPr>
                <w:rFonts w:cs="Calibri"/>
                <w:sz w:val="20"/>
                <w:szCs w:val="20"/>
              </w:rPr>
              <w:t>94,8%</w:t>
            </w:r>
          </w:p>
        </w:tc>
      </w:tr>
      <w:tr w:rsidR="009E7B91" w:rsidRPr="00D835B9" w:rsidTr="001B6600">
        <w:trPr>
          <w:trHeight w:val="567"/>
        </w:trPr>
        <w:tc>
          <w:tcPr>
            <w:tcW w:w="1418"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20"/>
                <w:szCs w:val="20"/>
                <w:lang w:eastAsia="pl-PL"/>
              </w:rPr>
            </w:pPr>
            <w:r w:rsidRPr="00D835B9">
              <w:rPr>
                <w:rFonts w:eastAsia="Times New Roman" w:cs="Calibri"/>
                <w:b/>
                <w:bCs/>
                <w:sz w:val="20"/>
                <w:szCs w:val="20"/>
                <w:lang w:eastAsia="pl-PL"/>
              </w:rPr>
              <w:t>WrOF</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16"/>
                <w:szCs w:val="20"/>
                <w:lang w:eastAsia="pl-PL"/>
              </w:rPr>
            </w:pPr>
            <w:r w:rsidRPr="00D835B9">
              <w:rPr>
                <w:rFonts w:eastAsia="Times New Roman" w:cs="Calibri"/>
                <w:b/>
                <w:bCs/>
                <w:sz w:val="16"/>
                <w:szCs w:val="20"/>
                <w:lang w:eastAsia="pl-PL"/>
              </w:rPr>
              <w:t>5 746 967 495,02</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16"/>
                <w:szCs w:val="20"/>
                <w:lang w:eastAsia="pl-PL"/>
              </w:rPr>
            </w:pPr>
            <w:r w:rsidRPr="00D835B9">
              <w:rPr>
                <w:rFonts w:eastAsia="Times New Roman" w:cs="Calibri"/>
                <w:b/>
                <w:bCs/>
                <w:sz w:val="16"/>
                <w:szCs w:val="20"/>
                <w:lang w:eastAsia="pl-PL"/>
              </w:rPr>
              <w:t>6 264 851 521,26</w:t>
            </w:r>
          </w:p>
        </w:tc>
        <w:tc>
          <w:tcPr>
            <w:tcW w:w="1275"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16"/>
                <w:szCs w:val="20"/>
                <w:lang w:eastAsia="pl-PL"/>
              </w:rPr>
            </w:pPr>
            <w:r w:rsidRPr="00D835B9">
              <w:rPr>
                <w:rFonts w:eastAsia="Times New Roman" w:cs="Calibri"/>
                <w:b/>
                <w:bCs/>
                <w:sz w:val="16"/>
                <w:szCs w:val="20"/>
                <w:lang w:eastAsia="pl-PL"/>
              </w:rPr>
              <w:t>7 045 713 532,69</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16"/>
                <w:szCs w:val="20"/>
                <w:lang w:eastAsia="pl-PL"/>
              </w:rPr>
            </w:pPr>
            <w:r w:rsidRPr="00D835B9">
              <w:rPr>
                <w:rFonts w:eastAsia="Times New Roman" w:cs="Calibri"/>
                <w:b/>
                <w:bCs/>
                <w:sz w:val="16"/>
                <w:szCs w:val="20"/>
                <w:lang w:eastAsia="pl-PL"/>
              </w:rPr>
              <w:t>7 553 373 566,89</w:t>
            </w:r>
          </w:p>
        </w:tc>
        <w:tc>
          <w:tcPr>
            <w:tcW w:w="1276" w:type="dxa"/>
            <w:shd w:val="clear" w:color="auto" w:fill="auto"/>
            <w:noWrap/>
            <w:vAlign w:val="center"/>
            <w:hideMark/>
          </w:tcPr>
          <w:p w:rsidR="009E7B91" w:rsidRPr="00D835B9" w:rsidRDefault="009E7B91" w:rsidP="00D835B9">
            <w:pPr>
              <w:spacing w:after="0" w:line="240" w:lineRule="auto"/>
              <w:jc w:val="left"/>
              <w:rPr>
                <w:rFonts w:eastAsia="Times New Roman" w:cs="Calibri"/>
                <w:b/>
                <w:bCs/>
                <w:sz w:val="16"/>
                <w:szCs w:val="20"/>
                <w:lang w:eastAsia="pl-PL"/>
              </w:rPr>
            </w:pPr>
            <w:r w:rsidRPr="00D835B9">
              <w:rPr>
                <w:rFonts w:eastAsia="Times New Roman" w:cs="Calibri"/>
                <w:b/>
                <w:bCs/>
                <w:sz w:val="16"/>
                <w:szCs w:val="20"/>
                <w:lang w:eastAsia="pl-PL"/>
              </w:rPr>
              <w:t>8 809 232 321,78</w:t>
            </w:r>
          </w:p>
        </w:tc>
        <w:tc>
          <w:tcPr>
            <w:tcW w:w="1492" w:type="dxa"/>
            <w:vAlign w:val="center"/>
          </w:tcPr>
          <w:p w:rsidR="009E7B91" w:rsidRPr="00D835B9" w:rsidRDefault="009E7B91" w:rsidP="00D835B9">
            <w:pPr>
              <w:spacing w:after="0" w:line="240" w:lineRule="auto"/>
              <w:jc w:val="left"/>
              <w:rPr>
                <w:rFonts w:eastAsia="Times New Roman" w:cs="Calibri"/>
                <w:b/>
                <w:bCs/>
                <w:sz w:val="20"/>
                <w:szCs w:val="20"/>
                <w:lang w:eastAsia="pl-PL"/>
              </w:rPr>
            </w:pPr>
            <w:r w:rsidRPr="00D835B9">
              <w:rPr>
                <w:rFonts w:cs="Calibri"/>
                <w:b/>
                <w:bCs/>
                <w:sz w:val="20"/>
                <w:szCs w:val="20"/>
              </w:rPr>
              <w:t>53,3%</w:t>
            </w:r>
          </w:p>
        </w:tc>
      </w:tr>
    </w:tbl>
    <w:p w:rsidR="009E7B91" w:rsidRPr="00ED1504" w:rsidRDefault="009E7B91" w:rsidP="00ED1504">
      <w:pPr>
        <w:pStyle w:val="PODWrof"/>
        <w:rPr>
          <w:rStyle w:val="podWrOFZnak0"/>
          <w:i/>
          <w:szCs w:val="22"/>
        </w:rPr>
      </w:pPr>
      <w:r w:rsidRPr="00ED1504">
        <w:rPr>
          <w:rStyle w:val="podWrOFZnak0"/>
          <w:i/>
          <w:szCs w:val="22"/>
        </w:rPr>
        <w:t>Źródło: opracowanie własne na podstawie danych BDL GUS [Stan na: 31.12.2021].</w:t>
      </w:r>
    </w:p>
    <w:p w:rsidR="009E7B91" w:rsidRPr="00C97166" w:rsidRDefault="009E7B91" w:rsidP="009E7B91">
      <w:pPr>
        <w:pStyle w:val="nadWrOF"/>
      </w:pPr>
      <w:bookmarkStart w:id="190" w:name="_Toc143606976"/>
      <w:bookmarkEnd w:id="188"/>
      <w:r>
        <w:t xml:space="preserve">Tabela </w:t>
      </w:r>
      <w:r w:rsidR="00C73793">
        <w:rPr>
          <w:noProof/>
        </w:rPr>
        <w:fldChar w:fldCharType="begin"/>
      </w:r>
      <w:r w:rsidR="00B96950">
        <w:rPr>
          <w:noProof/>
        </w:rPr>
        <w:instrText xml:space="preserve"> SEQ Tabela \* ARABIC </w:instrText>
      </w:r>
      <w:r w:rsidR="00C73793">
        <w:rPr>
          <w:noProof/>
        </w:rPr>
        <w:fldChar w:fldCharType="separate"/>
      </w:r>
      <w:r w:rsidR="00C96A96">
        <w:rPr>
          <w:noProof/>
        </w:rPr>
        <w:t>19</w:t>
      </w:r>
      <w:r w:rsidR="00C73793">
        <w:rPr>
          <w:noProof/>
        </w:rPr>
        <w:fldChar w:fldCharType="end"/>
      </w:r>
      <w:r w:rsidRPr="002E6C3E">
        <w:t xml:space="preserve"> Wydatki gmin WrOF w latach 2017-2021</w:t>
      </w:r>
      <w:r>
        <w:t xml:space="preserve"> [zł]</w:t>
      </w:r>
      <w:bookmarkEnd w:id="190"/>
    </w:p>
    <w:tbl>
      <w:tblPr>
        <w:tblW w:w="9219"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Wydatki gmin WrOF w latach 2017-2021 [zł]"/>
        <w:tblDescription w:val="Wydatki gmin WrOF w latach 2017-2021 [zł]"/>
      </w:tblPr>
      <w:tblGrid>
        <w:gridCol w:w="1432"/>
        <w:gridCol w:w="1291"/>
        <w:gridCol w:w="1336"/>
        <w:gridCol w:w="1389"/>
        <w:gridCol w:w="1336"/>
        <w:gridCol w:w="1389"/>
        <w:gridCol w:w="1046"/>
      </w:tblGrid>
      <w:tr w:rsidR="009E7B91" w:rsidRPr="00D835B9" w:rsidTr="001B6600">
        <w:trPr>
          <w:trHeight w:val="567"/>
          <w:tblHeader/>
        </w:trPr>
        <w:tc>
          <w:tcPr>
            <w:tcW w:w="1432"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Wyszczególnienie</w:t>
            </w:r>
          </w:p>
        </w:tc>
        <w:tc>
          <w:tcPr>
            <w:tcW w:w="1291"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2017</w:t>
            </w:r>
          </w:p>
        </w:tc>
        <w:tc>
          <w:tcPr>
            <w:tcW w:w="1336"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2018</w:t>
            </w:r>
          </w:p>
        </w:tc>
        <w:tc>
          <w:tcPr>
            <w:tcW w:w="1389"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2019</w:t>
            </w:r>
          </w:p>
        </w:tc>
        <w:tc>
          <w:tcPr>
            <w:tcW w:w="1336"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2020</w:t>
            </w:r>
          </w:p>
        </w:tc>
        <w:tc>
          <w:tcPr>
            <w:tcW w:w="1389" w:type="dxa"/>
            <w:shd w:val="clear" w:color="auto" w:fill="F2F2F2" w:themeFill="background1" w:themeFillShade="F2"/>
            <w:vAlign w:val="center"/>
            <w:hideMark/>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2021</w:t>
            </w:r>
          </w:p>
        </w:tc>
        <w:tc>
          <w:tcPr>
            <w:tcW w:w="1046" w:type="dxa"/>
            <w:shd w:val="clear" w:color="auto" w:fill="F2F2F2" w:themeFill="background1" w:themeFillShade="F2"/>
            <w:vAlign w:val="center"/>
          </w:tcPr>
          <w:p w:rsidR="009E7B91" w:rsidRPr="00D835B9" w:rsidRDefault="009E7B91" w:rsidP="00320A03">
            <w:pPr>
              <w:spacing w:after="0" w:line="240" w:lineRule="auto"/>
              <w:jc w:val="left"/>
              <w:rPr>
                <w:rFonts w:eastAsia="Times New Roman" w:cs="Calibri"/>
                <w:bCs/>
                <w:color w:val="000000"/>
                <w:sz w:val="18"/>
                <w:szCs w:val="18"/>
                <w:lang w:eastAsia="pl-PL"/>
              </w:rPr>
            </w:pPr>
            <w:r w:rsidRPr="00D835B9">
              <w:rPr>
                <w:rFonts w:eastAsia="Times New Roman" w:cs="Calibri"/>
                <w:bCs/>
                <w:color w:val="000000"/>
                <w:sz w:val="18"/>
                <w:szCs w:val="18"/>
                <w:lang w:eastAsia="pl-PL"/>
              </w:rPr>
              <w:t xml:space="preserve">Dynamika zmian </w:t>
            </w:r>
            <w:r w:rsidR="00AE1747" w:rsidRPr="00D835B9">
              <w:rPr>
                <w:rFonts w:eastAsia="Times New Roman" w:cs="Calibri"/>
                <w:bCs/>
                <w:color w:val="000000"/>
                <w:sz w:val="18"/>
                <w:szCs w:val="18"/>
                <w:lang w:eastAsia="pl-PL"/>
              </w:rPr>
              <w:br/>
            </w:r>
            <w:r w:rsidRPr="00D835B9">
              <w:rPr>
                <w:rFonts w:eastAsia="Times New Roman" w:cs="Calibri"/>
                <w:bCs/>
                <w:color w:val="000000"/>
                <w:sz w:val="18"/>
                <w:szCs w:val="18"/>
                <w:lang w:eastAsia="pl-PL"/>
              </w:rPr>
              <w:t>w latach 2017-2021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Czernica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72 204 112,26</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84 844 972,28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87 567 376,94</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113 268 258,74</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123 507 352,58</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71,1%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Długołęka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146 891 196,87</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176 291 664,73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185 509 320,02</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251 451 346,03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266 559 833,54</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81,5%</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Dobroszyce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35 387 435,78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32 269 606,49</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38 020 660,21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36 579 136,24</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45 485 601,51</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28,5%</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Jelcz-Laskowice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98 025 319,15</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103 832 434,17</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119 636 979,67</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129 518 831,05</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140 312 092,52</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43,1%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Kąty Wrocławskie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131 340 292,78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153 212 243,59</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169 123 305,11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184 837 269,88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186 612 631,64</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42,1%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Kobierzyce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162 946 634,29</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237 930 559,48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261 411 147,42</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267 643 770,67</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257 790 137,58</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58,2%</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Miękinia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77 507 315,18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104 086 496,01</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95 210 379,51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108 685 760,93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126 296 016,63</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62,9%</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Oborniki Śląskie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85 882 857,55</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97 063 278,37</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101 988 693,77</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106 612 815,66</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110 498 749,78</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28,7%</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Oleśnica (miasto)</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146 663 980,42</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160 333 684,43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187 071 895,86</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201 405 303,80</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214 316 072,14</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46,1%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Oleśnica (gmina wiejska)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53 561 287,73</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59 901 729,93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69 364 418,90</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77 275 608,41</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83 281 151,99</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55,5%</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Oława (miasto)</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122 800 815,07</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148 270 998,96</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161 586 706,82</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159 995 451,97</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181 715 826,94</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48,0%</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Oława (gmina wiejska)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75 834 681,98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96 066 618,56</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98 925 236,28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91 854 014,44</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95 279 964,63</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25,6%</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Siechnice</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108 555 138,99</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125 118 867,11</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145 023 816,29</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178 140 755,74</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202 041 776,86</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86,1%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Sobótka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49 431 879,25</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59 837 461,78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71 414 313,51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68 565 036,82</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72 260 247,48</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46,2%</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Trzebnica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122 450 824,56</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125 181 826,86</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127 667 492,58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134 845 417,18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144 140 494,36</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17,7%</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Wisznia Mała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47 921 729,80</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62 361 117,38</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61 828 555,41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63 951 045,33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73 829 128,03</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54,1%</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Wrocław</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6"/>
                <w:szCs w:val="18"/>
                <w:lang w:eastAsia="pl-PL"/>
              </w:rPr>
            </w:pPr>
            <w:r w:rsidRPr="00D835B9">
              <w:rPr>
                <w:rFonts w:eastAsia="Times New Roman" w:cs="Calibri"/>
                <w:sz w:val="16"/>
                <w:szCs w:val="18"/>
                <w:lang w:eastAsia="pl-PL"/>
              </w:rPr>
              <w:t>4 125 221 167,81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6"/>
                <w:szCs w:val="18"/>
                <w:lang w:eastAsia="pl-PL"/>
              </w:rPr>
            </w:pPr>
            <w:r w:rsidRPr="00D835B9">
              <w:rPr>
                <w:rFonts w:eastAsia="Times New Roman" w:cs="Calibri"/>
                <w:sz w:val="16"/>
                <w:szCs w:val="18"/>
                <w:lang w:eastAsia="pl-PL"/>
              </w:rPr>
              <w:t>4 566 358 937,93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6"/>
                <w:szCs w:val="18"/>
                <w:lang w:eastAsia="pl-PL"/>
              </w:rPr>
            </w:pPr>
            <w:r w:rsidRPr="00D835B9">
              <w:rPr>
                <w:rFonts w:eastAsia="Times New Roman" w:cs="Calibri"/>
                <w:sz w:val="16"/>
                <w:szCs w:val="18"/>
                <w:lang w:eastAsia="pl-PL"/>
              </w:rPr>
              <w:t>4 980 980 477,89</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6"/>
                <w:szCs w:val="18"/>
                <w:lang w:eastAsia="pl-PL"/>
              </w:rPr>
            </w:pPr>
            <w:r w:rsidRPr="00D835B9">
              <w:rPr>
                <w:rFonts w:eastAsia="Times New Roman" w:cs="Calibri"/>
                <w:sz w:val="16"/>
                <w:szCs w:val="18"/>
                <w:lang w:eastAsia="pl-PL"/>
              </w:rPr>
              <w:t>5 432 109 133,02</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6"/>
                <w:szCs w:val="18"/>
                <w:lang w:eastAsia="pl-PL"/>
              </w:rPr>
            </w:pPr>
            <w:r w:rsidRPr="00D835B9">
              <w:rPr>
                <w:rFonts w:eastAsia="Times New Roman" w:cs="Calibri"/>
                <w:sz w:val="16"/>
                <w:szCs w:val="18"/>
                <w:lang w:eastAsia="pl-PL"/>
              </w:rPr>
              <w:t>6 010 342 068,78</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45,7%</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Zawonia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23 339 215,04</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35 424 556,54</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38 913 080,26</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29 969 821,03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32 551 338,86</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39,5%</w:t>
            </w:r>
          </w:p>
        </w:tc>
      </w:tr>
      <w:tr w:rsidR="009E7B91" w:rsidRPr="00D835B9" w:rsidTr="001B6600">
        <w:trPr>
          <w:trHeight w:val="56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Żórawina</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41 925 439,57</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48 266 163,99</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65 590 696,01</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72 366 481,63</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sz w:val="18"/>
                <w:szCs w:val="18"/>
                <w:lang w:eastAsia="pl-PL"/>
              </w:rPr>
            </w:pPr>
            <w:r w:rsidRPr="00D835B9">
              <w:rPr>
                <w:rFonts w:eastAsia="Times New Roman" w:cs="Calibri"/>
                <w:sz w:val="18"/>
                <w:szCs w:val="18"/>
                <w:lang w:eastAsia="pl-PL"/>
              </w:rPr>
              <w:t>72 616 840,41</w:t>
            </w:r>
          </w:p>
        </w:tc>
        <w:tc>
          <w:tcPr>
            <w:tcW w:w="1046" w:type="dxa"/>
            <w:vAlign w:val="center"/>
          </w:tcPr>
          <w:p w:rsidR="009E7B91" w:rsidRPr="00D835B9" w:rsidRDefault="009E7B91" w:rsidP="00320A03">
            <w:pPr>
              <w:spacing w:after="0" w:line="240" w:lineRule="auto"/>
              <w:jc w:val="left"/>
              <w:rPr>
                <w:rFonts w:eastAsia="Times New Roman" w:cs="Calibri"/>
                <w:sz w:val="18"/>
                <w:szCs w:val="18"/>
                <w:lang w:eastAsia="pl-PL"/>
              </w:rPr>
            </w:pPr>
            <w:r w:rsidRPr="00D835B9">
              <w:rPr>
                <w:rFonts w:cs="Calibri"/>
                <w:sz w:val="18"/>
                <w:szCs w:val="18"/>
              </w:rPr>
              <w:t>73,2%</w:t>
            </w:r>
          </w:p>
        </w:tc>
      </w:tr>
      <w:tr w:rsidR="009E7B91" w:rsidRPr="00D835B9" w:rsidTr="001B6600">
        <w:trPr>
          <w:trHeight w:val="397"/>
        </w:trPr>
        <w:tc>
          <w:tcPr>
            <w:tcW w:w="1432"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8"/>
                <w:szCs w:val="18"/>
                <w:lang w:eastAsia="pl-PL"/>
              </w:rPr>
            </w:pPr>
            <w:r w:rsidRPr="00D835B9">
              <w:rPr>
                <w:rFonts w:eastAsia="Times New Roman" w:cs="Calibri"/>
                <w:b/>
                <w:bCs/>
                <w:sz w:val="18"/>
                <w:szCs w:val="18"/>
                <w:lang w:eastAsia="pl-PL"/>
              </w:rPr>
              <w:t>WrOF</w:t>
            </w:r>
          </w:p>
        </w:tc>
        <w:tc>
          <w:tcPr>
            <w:tcW w:w="1291"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6"/>
                <w:szCs w:val="18"/>
                <w:lang w:eastAsia="pl-PL"/>
              </w:rPr>
            </w:pPr>
            <w:r w:rsidRPr="00D835B9">
              <w:rPr>
                <w:rFonts w:eastAsia="Times New Roman" w:cs="Calibri"/>
                <w:b/>
                <w:bCs/>
                <w:sz w:val="16"/>
                <w:szCs w:val="18"/>
                <w:lang w:eastAsia="pl-PL"/>
              </w:rPr>
              <w:t>5 727 891 324,08</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6"/>
                <w:szCs w:val="18"/>
                <w:lang w:eastAsia="pl-PL"/>
              </w:rPr>
            </w:pPr>
            <w:r w:rsidRPr="00D835B9">
              <w:rPr>
                <w:rFonts w:eastAsia="Times New Roman" w:cs="Calibri"/>
                <w:b/>
                <w:bCs/>
                <w:sz w:val="16"/>
                <w:szCs w:val="18"/>
                <w:lang w:eastAsia="pl-PL"/>
              </w:rPr>
              <w:t>6 476 653 218,59</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6"/>
                <w:szCs w:val="18"/>
                <w:lang w:eastAsia="pl-PL"/>
              </w:rPr>
            </w:pPr>
            <w:r w:rsidRPr="00D835B9">
              <w:rPr>
                <w:rFonts w:eastAsia="Times New Roman" w:cs="Calibri"/>
                <w:b/>
                <w:bCs/>
                <w:sz w:val="16"/>
                <w:szCs w:val="18"/>
                <w:lang w:eastAsia="pl-PL"/>
              </w:rPr>
              <w:t>7 066 834 552,46</w:t>
            </w:r>
          </w:p>
        </w:tc>
        <w:tc>
          <w:tcPr>
            <w:tcW w:w="1336"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6"/>
                <w:szCs w:val="18"/>
                <w:lang w:eastAsia="pl-PL"/>
              </w:rPr>
            </w:pPr>
            <w:r w:rsidRPr="00D835B9">
              <w:rPr>
                <w:rFonts w:eastAsia="Times New Roman" w:cs="Calibri"/>
                <w:b/>
                <w:bCs/>
                <w:sz w:val="16"/>
                <w:szCs w:val="18"/>
                <w:lang w:eastAsia="pl-PL"/>
              </w:rPr>
              <w:t>7 709 075 258,57</w:t>
            </w:r>
          </w:p>
        </w:tc>
        <w:tc>
          <w:tcPr>
            <w:tcW w:w="1389" w:type="dxa"/>
            <w:shd w:val="clear" w:color="auto" w:fill="auto"/>
            <w:noWrap/>
            <w:vAlign w:val="center"/>
            <w:hideMark/>
          </w:tcPr>
          <w:p w:rsidR="009E7B91" w:rsidRPr="00D835B9" w:rsidRDefault="009E7B91" w:rsidP="00320A03">
            <w:pPr>
              <w:spacing w:after="0" w:line="240" w:lineRule="auto"/>
              <w:jc w:val="left"/>
              <w:rPr>
                <w:rFonts w:eastAsia="Times New Roman" w:cs="Calibri"/>
                <w:b/>
                <w:bCs/>
                <w:sz w:val="16"/>
                <w:szCs w:val="18"/>
                <w:lang w:eastAsia="pl-PL"/>
              </w:rPr>
            </w:pPr>
            <w:r w:rsidRPr="00D835B9">
              <w:rPr>
                <w:rFonts w:eastAsia="Times New Roman" w:cs="Calibri"/>
                <w:b/>
                <w:bCs/>
                <w:sz w:val="16"/>
                <w:szCs w:val="18"/>
                <w:lang w:eastAsia="pl-PL"/>
              </w:rPr>
              <w:t>8 439 437 326,26</w:t>
            </w:r>
          </w:p>
        </w:tc>
        <w:tc>
          <w:tcPr>
            <w:tcW w:w="1046" w:type="dxa"/>
            <w:vAlign w:val="center"/>
          </w:tcPr>
          <w:p w:rsidR="009E7B91" w:rsidRPr="00D835B9" w:rsidRDefault="009E7B91" w:rsidP="00320A03">
            <w:pPr>
              <w:spacing w:after="0" w:line="240" w:lineRule="auto"/>
              <w:jc w:val="left"/>
              <w:rPr>
                <w:rFonts w:eastAsia="Times New Roman" w:cs="Calibri"/>
                <w:b/>
                <w:bCs/>
                <w:sz w:val="18"/>
                <w:szCs w:val="18"/>
                <w:lang w:eastAsia="pl-PL"/>
              </w:rPr>
            </w:pPr>
            <w:r w:rsidRPr="00D835B9">
              <w:rPr>
                <w:rFonts w:cs="Calibri"/>
                <w:b/>
                <w:bCs/>
                <w:sz w:val="18"/>
                <w:szCs w:val="18"/>
              </w:rPr>
              <w:t>47,3%</w:t>
            </w:r>
          </w:p>
        </w:tc>
      </w:tr>
    </w:tbl>
    <w:p w:rsidR="009E7B91" w:rsidRPr="00ED1504" w:rsidRDefault="009E7B91" w:rsidP="00ED1504">
      <w:pPr>
        <w:pStyle w:val="PODWrof"/>
        <w:rPr>
          <w:rStyle w:val="podWrOFZnak0"/>
          <w:i/>
          <w:szCs w:val="22"/>
        </w:rPr>
      </w:pPr>
      <w:r w:rsidRPr="00ED1504">
        <w:rPr>
          <w:rStyle w:val="podWrOFZnak0"/>
          <w:i/>
          <w:szCs w:val="22"/>
        </w:rPr>
        <w:t>Źródło: opracowanie własne na podstawie danych BDL GUS [Stan na: 31.12.2021].</w:t>
      </w:r>
    </w:p>
    <w:p w:rsidR="009E7B91" w:rsidRPr="001B6600" w:rsidRDefault="009E7B91" w:rsidP="001B6600">
      <w:pPr>
        <w:spacing w:before="120" w:after="280"/>
        <w:jc w:val="left"/>
        <w:rPr>
          <w:rFonts w:cstheme="minorHAnsi"/>
          <w:sz w:val="24"/>
        </w:rPr>
      </w:pPr>
      <w:r w:rsidRPr="001B6600">
        <w:rPr>
          <w:rFonts w:cstheme="minorHAnsi"/>
          <w:sz w:val="24"/>
        </w:rPr>
        <w:t xml:space="preserve">Największą dynamiką wzrostu w zakresie dochodów ogółem charakteryzował się budżet gmin: Czernica (96,2%), Żórawina (94,8%), Miękinia (90,6%), Siechnice (85,8%) oraz Długołęka (81,5%). Z kolei największy wzrost wydatków ogółem w grupie analizowanych gmin w latach 2017-2021 zaobserwowano w tych samych JST, tj. gminach: Siechnice (86,1%), Długołęka (81,5%), Żórawina (73,2%), Czernica (71,1%) oraz Miękinia (62,9%). </w:t>
      </w:r>
    </w:p>
    <w:p w:rsidR="009E7B91" w:rsidRDefault="009E7B91" w:rsidP="00ED30DB">
      <w:pPr>
        <w:spacing w:before="120" w:after="0"/>
        <w:rPr>
          <w:rFonts w:cstheme="minorHAnsi"/>
        </w:rPr>
      </w:pPr>
      <w:r>
        <w:rPr>
          <w:rFonts w:cstheme="minorHAnsi"/>
        </w:rPr>
        <w:t>Różnicę pomiędzy uzyskiwanymi dochodami a ponoszonymi wydatkami stanowiącą wynik budżetu zaprezentowano w poniżej tabeli.</w:t>
      </w:r>
    </w:p>
    <w:p w:rsidR="009E7B91" w:rsidRPr="00476AE7" w:rsidRDefault="009E7B91" w:rsidP="009E7B91">
      <w:pPr>
        <w:pStyle w:val="nadWrOF"/>
      </w:pPr>
      <w:bookmarkStart w:id="191" w:name="_Toc143606977"/>
      <w:r>
        <w:t xml:space="preserve">Tabela </w:t>
      </w:r>
      <w:r w:rsidR="00C73793">
        <w:rPr>
          <w:noProof/>
        </w:rPr>
        <w:fldChar w:fldCharType="begin"/>
      </w:r>
      <w:r w:rsidR="00B96950">
        <w:rPr>
          <w:noProof/>
        </w:rPr>
        <w:instrText xml:space="preserve"> SEQ Tabela \* ARABIC </w:instrText>
      </w:r>
      <w:r w:rsidR="00C73793">
        <w:rPr>
          <w:noProof/>
        </w:rPr>
        <w:fldChar w:fldCharType="separate"/>
      </w:r>
      <w:r w:rsidR="00C96A96">
        <w:rPr>
          <w:noProof/>
        </w:rPr>
        <w:t>20</w:t>
      </w:r>
      <w:r w:rsidR="00C73793">
        <w:rPr>
          <w:noProof/>
        </w:rPr>
        <w:fldChar w:fldCharType="end"/>
      </w:r>
      <w:r>
        <w:t xml:space="preserve"> Wynik budżetu </w:t>
      </w:r>
      <w:r w:rsidRPr="002E6C3E">
        <w:t>gmin WrOF w latach 2017-2021</w:t>
      </w:r>
      <w:r>
        <w:t xml:space="preserve"> [zł]</w:t>
      </w:r>
      <w:bookmarkEnd w:id="191"/>
    </w:p>
    <w:tbl>
      <w:tblPr>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Wynik budżetu gmin WrOF w latach 2017-2021 [zł]"/>
        <w:tblDescription w:val="Wynik budżetu gmin WrOF w latach 2017-2021 [zł]"/>
      </w:tblPr>
      <w:tblGrid>
        <w:gridCol w:w="2012"/>
        <w:gridCol w:w="1412"/>
        <w:gridCol w:w="1412"/>
        <w:gridCol w:w="1412"/>
        <w:gridCol w:w="1412"/>
        <w:gridCol w:w="1412"/>
      </w:tblGrid>
      <w:tr w:rsidR="009E7B91" w:rsidRPr="001B6600" w:rsidTr="001B6600">
        <w:trPr>
          <w:trHeight w:val="567"/>
          <w:tblHeader/>
        </w:trPr>
        <w:tc>
          <w:tcPr>
            <w:tcW w:w="20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Wyszczególnienie</w:t>
            </w:r>
          </w:p>
        </w:tc>
        <w:tc>
          <w:tcPr>
            <w:tcW w:w="14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2017</w:t>
            </w:r>
          </w:p>
        </w:tc>
        <w:tc>
          <w:tcPr>
            <w:tcW w:w="14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2018</w:t>
            </w:r>
          </w:p>
        </w:tc>
        <w:tc>
          <w:tcPr>
            <w:tcW w:w="14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2019</w:t>
            </w:r>
          </w:p>
        </w:tc>
        <w:tc>
          <w:tcPr>
            <w:tcW w:w="14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2020</w:t>
            </w:r>
          </w:p>
        </w:tc>
        <w:tc>
          <w:tcPr>
            <w:tcW w:w="1412"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Calibri"/>
                <w:bCs/>
                <w:color w:val="000000"/>
                <w:sz w:val="20"/>
                <w:szCs w:val="20"/>
                <w:lang w:eastAsia="pl-PL"/>
              </w:rPr>
            </w:pPr>
            <w:r w:rsidRPr="001B6600">
              <w:rPr>
                <w:rFonts w:eastAsia="Times New Roman" w:cs="Calibri"/>
                <w:bCs/>
                <w:color w:val="000000"/>
                <w:sz w:val="20"/>
                <w:szCs w:val="20"/>
                <w:lang w:eastAsia="pl-PL"/>
              </w:rPr>
              <w:t>2021</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Czernica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-3 057 604,51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-8 181 605,24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7 058 768,98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5 544 791,39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12 159 752,98</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Długołęka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2 353 319,65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-7 634 469,84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19 513 514,37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-13 103 980,85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4 390 520,78</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Dobroszyce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-4 218 125,80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-581 345,93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-2 035 356,13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15 756 083,52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639 462,90</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Jelcz-Laskowice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-4 258 807,50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5 284 242,05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3 336 266,61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7 191 906,78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6 575 244,69</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Kąty Wrocławskie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-4 651 111,13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-13 162 114,53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-10 291 127,99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11 609 981,33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22 315 097,90</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Kobierzyce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33 571 832,55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-19 243 595,48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-13 793 106,59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17 869 593,60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61 738 881,87</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Miękinia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-6 154 072,12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-13 713 201,18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10 193 072,32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4 619 231,31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9 711 632,81</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Oborniki Śląskie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-3 378 387,63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-5 603 665,81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-3 347 197,42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3 798 703,75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9 035 911,47</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(miasto)</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3 515 274,81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5 158 979,80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29 292 319,56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-10 609 696,84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-3 307 129,59</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(gmina wiejska)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-896 143,26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-4 152 725,05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-1 065 827,72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4 113 646,31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5 427 910,59</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(miasto)</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2 564 208,94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-3 825 465,21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-7 803 872,54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11 585 997,42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1 621 249,45</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(gmina wiejska)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-4 216 515,05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-5 642 810,39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3 142 012,77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12 230 257,74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19 432 857,62</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Siechnice</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-3 901 511,47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-4 147 885,77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1 568 654,97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2 329 715,36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-7 552 809,67</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Sobótka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1 976 869,84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1 301 099,21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-3 205 967,19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9 901 178,56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10 909 359,58</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Trzebnica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-2 725 756,62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-13 239 529,49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-26 425,56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1 429 088,17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4 837 832,62</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Wisznia Mała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-2 305 410,75</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-12 436 548,41</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-3 004 837,86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4 854 260,73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8 180 526,99</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Wrocław</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18"/>
                <w:szCs w:val="20"/>
                <w:lang w:eastAsia="pl-PL"/>
              </w:rPr>
            </w:pPr>
            <w:r w:rsidRPr="001B6600">
              <w:rPr>
                <w:rFonts w:eastAsia="Times New Roman" w:cstheme="minorHAnsi"/>
                <w:sz w:val="18"/>
                <w:szCs w:val="20"/>
                <w:lang w:eastAsia="pl-PL"/>
              </w:rPr>
              <w:t>9 761 477,43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18"/>
                <w:szCs w:val="20"/>
                <w:lang w:eastAsia="pl-PL"/>
              </w:rPr>
            </w:pPr>
            <w:r w:rsidRPr="001B6600">
              <w:rPr>
                <w:rFonts w:eastAsia="Times New Roman" w:cstheme="minorHAnsi"/>
                <w:sz w:val="18"/>
                <w:szCs w:val="20"/>
                <w:lang w:eastAsia="pl-PL"/>
              </w:rPr>
              <w:t>-109 710 546,10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18"/>
                <w:szCs w:val="20"/>
                <w:lang w:eastAsia="pl-PL"/>
              </w:rPr>
            </w:pPr>
            <w:r w:rsidRPr="001B6600">
              <w:rPr>
                <w:rFonts w:eastAsia="Times New Roman" w:cstheme="minorHAnsi"/>
                <w:sz w:val="18"/>
                <w:szCs w:val="20"/>
                <w:lang w:eastAsia="pl-PL"/>
              </w:rPr>
              <w:t>-52 504 945,18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18"/>
                <w:szCs w:val="20"/>
                <w:lang w:eastAsia="pl-PL"/>
              </w:rPr>
            </w:pPr>
            <w:r w:rsidRPr="001B6600">
              <w:rPr>
                <w:rFonts w:eastAsia="Times New Roman" w:cstheme="minorHAnsi"/>
                <w:sz w:val="18"/>
                <w:szCs w:val="20"/>
                <w:lang w:eastAsia="pl-PL"/>
              </w:rPr>
              <w:t>-256 748 425,29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18"/>
                <w:szCs w:val="20"/>
                <w:lang w:eastAsia="pl-PL"/>
              </w:rPr>
            </w:pPr>
            <w:r w:rsidRPr="001B6600">
              <w:rPr>
                <w:rFonts w:eastAsia="Times New Roman" w:cstheme="minorHAnsi"/>
                <w:sz w:val="18"/>
                <w:szCs w:val="20"/>
                <w:lang w:eastAsia="pl-PL"/>
              </w:rPr>
              <w:t>183 304 392,16</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Zawonia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3 506 468,80</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-2 009 714,22</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-37 393,03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9 980 464,69</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8 211 262,09</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Żórawina</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1 590 164,76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-260 795,74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1 890 427,86</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1 945 510,64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12 163 038,28</w:t>
            </w:r>
          </w:p>
        </w:tc>
      </w:tr>
      <w:tr w:rsidR="009E7B91" w:rsidRPr="001B6600" w:rsidTr="001B6600">
        <w:trPr>
          <w:trHeight w:val="567"/>
        </w:trPr>
        <w:tc>
          <w:tcPr>
            <w:tcW w:w="20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20"/>
                <w:szCs w:val="20"/>
                <w:lang w:eastAsia="pl-PL"/>
              </w:rPr>
            </w:pPr>
            <w:r w:rsidRPr="001B6600">
              <w:rPr>
                <w:rFonts w:eastAsia="Times New Roman" w:cstheme="minorHAnsi"/>
                <w:b/>
                <w:sz w:val="20"/>
                <w:szCs w:val="20"/>
                <w:lang w:eastAsia="pl-PL"/>
              </w:rPr>
              <w:t>WrOF</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18"/>
                <w:szCs w:val="20"/>
                <w:lang w:eastAsia="pl-PL"/>
              </w:rPr>
            </w:pPr>
            <w:r w:rsidRPr="001B6600">
              <w:rPr>
                <w:rFonts w:eastAsia="Times New Roman" w:cstheme="minorHAnsi"/>
                <w:b/>
                <w:sz w:val="18"/>
                <w:szCs w:val="20"/>
                <w:lang w:eastAsia="pl-PL"/>
              </w:rPr>
              <w:t>19 076 170,94</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18"/>
                <w:szCs w:val="20"/>
                <w:lang w:eastAsia="pl-PL"/>
              </w:rPr>
            </w:pPr>
            <w:r w:rsidRPr="001B6600">
              <w:rPr>
                <w:rFonts w:eastAsia="Times New Roman" w:cstheme="minorHAnsi"/>
                <w:b/>
                <w:sz w:val="18"/>
                <w:szCs w:val="20"/>
                <w:lang w:eastAsia="pl-PL"/>
              </w:rPr>
              <w:t>-211 801 697,33</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18"/>
                <w:szCs w:val="20"/>
                <w:lang w:eastAsia="pl-PL"/>
              </w:rPr>
            </w:pPr>
            <w:r w:rsidRPr="001B6600">
              <w:rPr>
                <w:rFonts w:eastAsia="Times New Roman" w:cstheme="minorHAnsi"/>
                <w:b/>
                <w:sz w:val="18"/>
                <w:szCs w:val="20"/>
                <w:lang w:eastAsia="pl-PL"/>
              </w:rPr>
              <w:t>-21 121 019,77</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18"/>
                <w:szCs w:val="20"/>
                <w:lang w:eastAsia="pl-PL"/>
              </w:rPr>
            </w:pPr>
            <w:r w:rsidRPr="001B6600">
              <w:rPr>
                <w:rFonts w:eastAsia="Times New Roman" w:cstheme="minorHAnsi"/>
                <w:b/>
                <w:sz w:val="18"/>
                <w:szCs w:val="20"/>
                <w:lang w:eastAsia="pl-PL"/>
              </w:rPr>
              <w:t>-155 701 691,68</w:t>
            </w:r>
          </w:p>
        </w:tc>
        <w:tc>
          <w:tcPr>
            <w:tcW w:w="1412"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 w:val="18"/>
                <w:szCs w:val="20"/>
                <w:lang w:eastAsia="pl-PL"/>
              </w:rPr>
            </w:pPr>
            <w:r w:rsidRPr="001B6600">
              <w:rPr>
                <w:rFonts w:eastAsia="Times New Roman" w:cstheme="minorHAnsi"/>
                <w:b/>
                <w:sz w:val="18"/>
                <w:szCs w:val="20"/>
                <w:lang w:eastAsia="pl-PL"/>
              </w:rPr>
              <w:t>369 794 995,52</w:t>
            </w:r>
          </w:p>
        </w:tc>
      </w:tr>
    </w:tbl>
    <w:p w:rsidR="009E7B91" w:rsidRPr="00ED1504" w:rsidRDefault="009E7B91" w:rsidP="00337060">
      <w:pPr>
        <w:pStyle w:val="PODWrof"/>
        <w:rPr>
          <w:rStyle w:val="podWrOFZnak0"/>
          <w:rFonts w:asciiTheme="minorHAnsi" w:hAnsiTheme="minorHAnsi" w:cstheme="minorHAnsi"/>
          <w:i/>
          <w:iCs/>
        </w:rPr>
      </w:pPr>
      <w:r w:rsidRPr="00ED1504">
        <w:rPr>
          <w:rStyle w:val="podWrOFZnak0"/>
          <w:rFonts w:asciiTheme="minorHAnsi" w:hAnsiTheme="minorHAnsi" w:cstheme="minorHAnsi"/>
          <w:i/>
          <w:iCs/>
        </w:rPr>
        <w:t xml:space="preserve">Źródło: opracowanie własne na podstawie danych </w:t>
      </w:r>
      <w:r w:rsidRPr="00ED30DB">
        <w:rPr>
          <w:rStyle w:val="podWrOFZnak0"/>
          <w:i/>
        </w:rPr>
        <w:t>BDL</w:t>
      </w:r>
      <w:r w:rsidRPr="00ED1504">
        <w:rPr>
          <w:rStyle w:val="podWrOFZnak0"/>
          <w:rFonts w:asciiTheme="minorHAnsi" w:hAnsiTheme="minorHAnsi" w:cstheme="minorHAnsi"/>
          <w:i/>
          <w:iCs/>
        </w:rPr>
        <w:t xml:space="preserve"> GUS [Stan na</w:t>
      </w:r>
      <w:r w:rsidRPr="00ED30DB">
        <w:t>:</w:t>
      </w:r>
      <w:r w:rsidRPr="00ED1504">
        <w:rPr>
          <w:rStyle w:val="podWrOFZnak0"/>
          <w:rFonts w:asciiTheme="minorHAnsi" w:hAnsiTheme="minorHAnsi" w:cstheme="minorHAnsi"/>
          <w:i/>
          <w:iCs/>
        </w:rPr>
        <w:t xml:space="preserve"> 31.12.2021].</w:t>
      </w:r>
    </w:p>
    <w:p w:rsidR="009E7B91" w:rsidRPr="001B6600" w:rsidRDefault="009E7B91" w:rsidP="001B6600">
      <w:pPr>
        <w:spacing w:before="120" w:after="120"/>
        <w:jc w:val="left"/>
        <w:rPr>
          <w:rFonts w:cstheme="minorHAnsi"/>
          <w:sz w:val="24"/>
        </w:rPr>
      </w:pPr>
      <w:r w:rsidRPr="001B6600">
        <w:rPr>
          <w:rFonts w:cstheme="minorHAnsi"/>
          <w:sz w:val="24"/>
        </w:rPr>
        <w:t>W latach 2017-2019 ponad połowa JST generowała nadwyżkę wydatków nad dochodami, podczas gdy w 2020 roku były to już jedynie 3 JST (Długołęka, Oleśnica (miasto) oraz Wrocław), a w 2021 roku jedynie 2 JST (Oleśnica (miasto) oraz Siechnice). Wyższe dochody uzyskane w 2021 roku w stosunku do 2020 roku wynikają z dodatkowych środków przekazanych w 2021 roku w ramach uzupełnienia subwencji ogólnej (ponad 273 mln zł więcej niż w 2020 roku) oraz dotacji celowych, zwłaszcza dotacji celowych inwestycyjnych (ponad 55,8 mln zł więcej niż w 2020 roku). Na trend te</w:t>
      </w:r>
      <w:r w:rsidR="00857609">
        <w:rPr>
          <w:rFonts w:cstheme="minorHAnsi"/>
          <w:sz w:val="24"/>
        </w:rPr>
        <w:t>n miały również wpływ zmiany w </w:t>
      </w:r>
      <w:r w:rsidRPr="001B6600">
        <w:rPr>
          <w:rFonts w:cstheme="minorHAnsi"/>
          <w:sz w:val="24"/>
        </w:rPr>
        <w:t>prawie podatkowym oraz konsekwencje pandemi</w:t>
      </w:r>
      <w:r w:rsidR="00B97598" w:rsidRPr="001B6600">
        <w:rPr>
          <w:rFonts w:cstheme="minorHAnsi"/>
          <w:sz w:val="24"/>
        </w:rPr>
        <w:t>i</w:t>
      </w:r>
      <w:r w:rsidRPr="001B6600">
        <w:rPr>
          <w:rFonts w:cstheme="minorHAnsi"/>
          <w:sz w:val="24"/>
        </w:rPr>
        <w:t xml:space="preserve"> COVID</w:t>
      </w:r>
      <w:r w:rsidR="003434BA" w:rsidRPr="001B6600">
        <w:rPr>
          <w:rFonts w:cstheme="minorHAnsi"/>
          <w:sz w:val="24"/>
        </w:rPr>
        <w:t>-</w:t>
      </w:r>
      <w:r w:rsidRPr="001B6600">
        <w:rPr>
          <w:rFonts w:cstheme="minorHAnsi"/>
          <w:sz w:val="24"/>
        </w:rPr>
        <w:t>19.</w:t>
      </w:r>
    </w:p>
    <w:p w:rsidR="009E7B91" w:rsidRPr="001B6600" w:rsidRDefault="009E7B91" w:rsidP="001B6600">
      <w:pPr>
        <w:spacing w:after="120"/>
        <w:jc w:val="left"/>
        <w:rPr>
          <w:rFonts w:cstheme="minorHAnsi"/>
          <w:sz w:val="24"/>
        </w:rPr>
      </w:pPr>
      <w:bookmarkStart w:id="192" w:name="_Toc25225826"/>
      <w:r w:rsidRPr="001B6600">
        <w:rPr>
          <w:rFonts w:cstheme="minorHAnsi"/>
          <w:sz w:val="24"/>
        </w:rPr>
        <w:t>Wartość wskaźnika samofinansowania wskazuje stopień, w jakim jednostka samorządu terytorialnego finansuje inwestycje środkami własnymi, czyli zdolność do samofinansowania. Im wyższa jest ta relacja, tym mniejsze ryzyko utraty p</w:t>
      </w:r>
      <w:r w:rsidR="00857609">
        <w:rPr>
          <w:rFonts w:cstheme="minorHAnsi"/>
          <w:sz w:val="24"/>
        </w:rPr>
        <w:t>łynności finansowej w związku z </w:t>
      </w:r>
      <w:r w:rsidRPr="001B6600">
        <w:rPr>
          <w:rFonts w:cstheme="minorHAnsi"/>
          <w:sz w:val="24"/>
        </w:rPr>
        <w:t>nadmiernymi kosztami obsługi zadłużenia. Z drugiej strony jego wysoka wartość może świadczyć o niskim poziomie realizowanych inwestycji w stosunku do własnych możliwości.</w:t>
      </w:r>
      <w:r w:rsidRPr="001B6600">
        <w:rPr>
          <w:rFonts w:cstheme="minorHAnsi"/>
          <w:sz w:val="24"/>
          <w:vertAlign w:val="superscript"/>
        </w:rPr>
        <w:footnoteReference w:id="128"/>
      </w:r>
    </w:p>
    <w:p w:rsidR="009E7B91" w:rsidRDefault="009E7B91" w:rsidP="00ED30DB">
      <w:pPr>
        <w:pStyle w:val="nadWrOF"/>
      </w:pPr>
      <w:bookmarkStart w:id="193" w:name="_Toc143606978"/>
      <w:r>
        <w:t xml:space="preserve">Tabela </w:t>
      </w:r>
      <w:r w:rsidR="00C73793">
        <w:rPr>
          <w:noProof/>
        </w:rPr>
        <w:fldChar w:fldCharType="begin"/>
      </w:r>
      <w:r w:rsidR="00B96950">
        <w:rPr>
          <w:noProof/>
        </w:rPr>
        <w:instrText xml:space="preserve"> SEQ Tabela \* ARABIC </w:instrText>
      </w:r>
      <w:r w:rsidR="00C73793">
        <w:rPr>
          <w:noProof/>
        </w:rPr>
        <w:fldChar w:fldCharType="separate"/>
      </w:r>
      <w:r w:rsidR="00C96A96">
        <w:rPr>
          <w:noProof/>
        </w:rPr>
        <w:t>21</w:t>
      </w:r>
      <w:r w:rsidR="00C73793">
        <w:rPr>
          <w:noProof/>
        </w:rPr>
        <w:fldChar w:fldCharType="end"/>
      </w:r>
      <w:r w:rsidR="00AE1747">
        <w:rPr>
          <w:noProof/>
        </w:rPr>
        <w:t xml:space="preserve"> </w:t>
      </w:r>
      <w:r w:rsidRPr="00B27A13">
        <w:t xml:space="preserve">Wskaźnik samofinansowania w </w:t>
      </w:r>
      <w:r w:rsidRPr="006055F4">
        <w:t xml:space="preserve">latach </w:t>
      </w:r>
      <w:r w:rsidRPr="00B27A13">
        <w:t xml:space="preserve">2017 r. </w:t>
      </w:r>
      <w:r w:rsidRPr="006055F4">
        <w:t xml:space="preserve">- </w:t>
      </w:r>
      <w:r w:rsidRPr="00B27A13">
        <w:t>202</w:t>
      </w:r>
      <w:r w:rsidRPr="006055F4">
        <w:t>1</w:t>
      </w:r>
      <w:r w:rsidRPr="00B27A13">
        <w:t xml:space="preserve"> r.</w:t>
      </w:r>
      <w:r w:rsidRPr="006055F4">
        <w:t xml:space="preserve"> we WrOF</w:t>
      </w:r>
      <w:bookmarkEnd w:id="193"/>
    </w:p>
    <w:tbl>
      <w:tblPr>
        <w:tblW w:w="92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Wskaźnik samofinansowania w latach 2017 r. - 2021 r. we WrOF"/>
        <w:tblDescription w:val="Wskaźnik samofinansowania w latach 2017 r. - 2021 r. we WrOF"/>
      </w:tblPr>
      <w:tblGrid>
        <w:gridCol w:w="1880"/>
        <w:gridCol w:w="1540"/>
        <w:gridCol w:w="1600"/>
        <w:gridCol w:w="1600"/>
        <w:gridCol w:w="1320"/>
        <w:gridCol w:w="1320"/>
      </w:tblGrid>
      <w:tr w:rsidR="009E7B91" w:rsidRPr="001B6600" w:rsidTr="001B6600">
        <w:trPr>
          <w:trHeight w:val="567"/>
          <w:tblHeader/>
        </w:trPr>
        <w:tc>
          <w:tcPr>
            <w:tcW w:w="188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Wyszczególnienie</w:t>
            </w:r>
          </w:p>
        </w:tc>
        <w:tc>
          <w:tcPr>
            <w:tcW w:w="154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2017</w:t>
            </w:r>
          </w:p>
        </w:tc>
        <w:tc>
          <w:tcPr>
            <w:tcW w:w="160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2018</w:t>
            </w:r>
          </w:p>
        </w:tc>
        <w:tc>
          <w:tcPr>
            <w:tcW w:w="160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2019</w:t>
            </w:r>
          </w:p>
        </w:tc>
        <w:tc>
          <w:tcPr>
            <w:tcW w:w="132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2020</w:t>
            </w:r>
          </w:p>
        </w:tc>
        <w:tc>
          <w:tcPr>
            <w:tcW w:w="1320" w:type="dxa"/>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2021</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Czernica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104,1%</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70,7%</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150,4%</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121,9%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153,7%</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Długołęka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188,2%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87,2%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148,7%</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81,1%</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107,8%</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Dobroszyce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85,6%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90,6%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76,5%</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439,6%</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107,2%</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Jelcz-Laskowice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20,3%</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123,0%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113,7%</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130,9%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121,3%</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Kąty Wrocławskie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97,8%</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74,5%</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78,1%</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128,9%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170,9%</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Kobierzyce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148,6%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80,0%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85,5%</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121,9%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207,4%</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Miękinia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465,3%</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68,7%</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146,5%</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122,3%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140,5%</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Oborniki Śląskie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169,2%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76,0%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81,0%</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126,9%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178,8%</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Oleśnica (miasto)</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114,6%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118,0%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203,3%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65,5%</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89,3%</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Oleśnica (gmina wiejska)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176,0%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59,0%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91,4%</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136,8%</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154,2%</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Oława (miasto)</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112,7%</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90,2%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76,6%</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157,3%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104,9%</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Oława (gmina wiejska)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104,7%</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83,2%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110,8%</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202,3%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267,1%</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Siechnice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50,6%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82,0%</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108,0%</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107,3%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83,6%</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Sobótka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139,3%</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109,3%</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83,2%</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193,8%</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263,6%</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Trzebnica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72,5%</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58,5%</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99,9%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108,5%</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123,9%</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Wisznia Mała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53,4%</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42,2%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78,3%</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143,9%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147,7%</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Wrocław</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101,5%</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87,3%</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92,8%</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66,1%</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118,0%</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Zawonia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123,9%</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83,2%</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99,7%</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657,6%</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347,6%</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Żórawina</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95,8%</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96,5%</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111,7%</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111,1%</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szCs w:val="18"/>
                <w:lang w:eastAsia="pl-PL"/>
              </w:rPr>
            </w:pPr>
            <w:r w:rsidRPr="001B6600">
              <w:rPr>
                <w:rFonts w:eastAsia="Times New Roman" w:cstheme="minorHAnsi"/>
                <w:szCs w:val="18"/>
                <w:lang w:eastAsia="pl-PL"/>
              </w:rPr>
              <w:t>234,0%</w:t>
            </w:r>
          </w:p>
        </w:tc>
      </w:tr>
      <w:tr w:rsidR="009E7B91" w:rsidRPr="001B6600" w:rsidTr="001B6600">
        <w:trPr>
          <w:trHeight w:val="567"/>
        </w:trPr>
        <w:tc>
          <w:tcPr>
            <w:tcW w:w="188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woj. dolnośląskie</w:t>
            </w:r>
          </w:p>
        </w:tc>
        <w:tc>
          <w:tcPr>
            <w:tcW w:w="154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110,6%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131,6%</w:t>
            </w:r>
          </w:p>
        </w:tc>
        <w:tc>
          <w:tcPr>
            <w:tcW w:w="160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120,9%</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189,4%</w:t>
            </w:r>
          </w:p>
        </w:tc>
        <w:tc>
          <w:tcPr>
            <w:tcW w:w="1320"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szCs w:val="18"/>
                <w:lang w:eastAsia="pl-PL"/>
              </w:rPr>
            </w:pPr>
            <w:r w:rsidRPr="001B6600">
              <w:rPr>
                <w:rFonts w:eastAsia="Times New Roman" w:cstheme="minorHAnsi"/>
                <w:b/>
                <w:szCs w:val="18"/>
                <w:lang w:eastAsia="pl-PL"/>
              </w:rPr>
              <w:t>164,5%</w:t>
            </w:r>
          </w:p>
        </w:tc>
      </w:tr>
    </w:tbl>
    <w:p w:rsidR="009E7B91" w:rsidRPr="002E6C3E" w:rsidRDefault="009E7B91" w:rsidP="001B6600">
      <w:pPr>
        <w:pStyle w:val="PODWrof"/>
        <w:rPr>
          <w:rStyle w:val="podWrOFZnak0"/>
          <w:rFonts w:asciiTheme="minorHAnsi" w:hAnsiTheme="minorHAnsi" w:cstheme="minorHAnsi"/>
          <w:iCs/>
        </w:rPr>
      </w:pPr>
      <w:r w:rsidRPr="002E6C3E">
        <w:rPr>
          <w:rStyle w:val="podWrOFZnak0"/>
          <w:rFonts w:asciiTheme="minorHAnsi" w:hAnsiTheme="minorHAnsi" w:cstheme="minorHAnsi"/>
          <w:iCs/>
        </w:rPr>
        <w:t xml:space="preserve">Źródło: </w:t>
      </w:r>
      <w:r w:rsidRPr="00B27A13">
        <w:t>opracowanie własne na podstawie WSKAŹNIKI do oceny sytuacji finansowej jednostek samorządu terytorialnego w</w:t>
      </w:r>
      <w:r>
        <w:t> </w:t>
      </w:r>
      <w:r w:rsidRPr="00B27A13">
        <w:t>latach 201</w:t>
      </w:r>
      <w:r>
        <w:t>9-2021</w:t>
      </w:r>
      <w:r w:rsidRPr="00B27A13">
        <w:t xml:space="preserve">, Ministerstwo Finansów, </w:t>
      </w:r>
      <w:r w:rsidRPr="006055F4">
        <w:t>Warszawa 2022</w:t>
      </w:r>
    </w:p>
    <w:p w:rsidR="009E7B91" w:rsidRPr="001B6600" w:rsidRDefault="009E7B91" w:rsidP="001B6600">
      <w:pPr>
        <w:spacing w:before="120" w:after="120"/>
        <w:jc w:val="left"/>
        <w:rPr>
          <w:rFonts w:cstheme="minorHAnsi"/>
          <w:sz w:val="24"/>
        </w:rPr>
      </w:pPr>
      <w:r w:rsidRPr="001B6600">
        <w:rPr>
          <w:rFonts w:cstheme="minorHAnsi"/>
          <w:sz w:val="24"/>
        </w:rPr>
        <w:t>Wskaźnik samofinansowania w 2021 roku w przypadku województwa dolnośląskiego wzrósł z 110,6% do poziomu 164,5%. Wzrost odnotowało również 14 gmin WrOF. W 2021 roku wskaźnik samofinansowania jest wyższy niż dla województwa dolnośląskiego w przypadku siedmiu gmin: Zawonia (347,6%),  Oława (gmina wiejska) (267,1%), Sobótka (263,6%), Żórawina (234,0%), Kobierzyce (207,4%), Oborniki Śląskie (178,8%), Kąty Wrocławskie (170,9%). Z kolei wartość wskaźnika dla Oleśnicy (miasto) oraz Siechnic spada poniżej 100%.</w:t>
      </w:r>
    </w:p>
    <w:p w:rsidR="009E7B91" w:rsidRPr="001B6600" w:rsidRDefault="009E7B91" w:rsidP="001B6600">
      <w:pPr>
        <w:spacing w:before="120" w:after="120"/>
        <w:jc w:val="left"/>
        <w:rPr>
          <w:rFonts w:cstheme="minorHAnsi"/>
          <w:sz w:val="24"/>
        </w:rPr>
      </w:pPr>
      <w:r w:rsidRPr="001B6600">
        <w:rPr>
          <w:rFonts w:cstheme="minorHAnsi"/>
          <w:spacing w:val="-2"/>
          <w:kern w:val="22"/>
          <w:sz w:val="24"/>
        </w:rPr>
        <w:t>Konsekwencją aktywności inwestycyjnych gmin WrOF realizowanych obecnie i w latach poprzednich było zaciąganie zobowiązań, których wysokość na koniec 2022 roku sz</w:t>
      </w:r>
      <w:r w:rsidR="003434BA" w:rsidRPr="001B6600">
        <w:rPr>
          <w:rFonts w:cstheme="minorHAnsi"/>
          <w:spacing w:val="-2"/>
          <w:kern w:val="22"/>
          <w:sz w:val="24"/>
        </w:rPr>
        <w:t>acuje się na kwotę  ponad 5 mld </w:t>
      </w:r>
      <w:r w:rsidRPr="001B6600">
        <w:rPr>
          <w:rFonts w:cstheme="minorHAnsi"/>
          <w:spacing w:val="-2"/>
          <w:kern w:val="22"/>
          <w:sz w:val="24"/>
        </w:rPr>
        <w:t>zł</w:t>
      </w:r>
      <w:r w:rsidRPr="001B6600">
        <w:rPr>
          <w:rFonts w:cstheme="minorHAnsi"/>
          <w:sz w:val="24"/>
        </w:rPr>
        <w:t>. Największe zadłużenie posiada Wrocław, który jest największym ośrodkiem miejskim skupiającym największą liczbę mieszkańców i ponoszącym znaczne koszty na zapewnienie odpowiedniego poziomu i skali usług publicznych. Najniższe zadłużenie posiada Zawonia. Szczegóły przedstawia poniższa tabela.</w:t>
      </w:r>
    </w:p>
    <w:p w:rsidR="009E7B91" w:rsidRPr="00B27A13" w:rsidRDefault="009E7B91" w:rsidP="009E7B91">
      <w:pPr>
        <w:pStyle w:val="nadWrOF"/>
      </w:pPr>
      <w:bookmarkStart w:id="194" w:name="_Toc125101198"/>
      <w:bookmarkStart w:id="195" w:name="_Toc143606979"/>
      <w:r w:rsidRPr="00B27A13">
        <w:t xml:space="preserve">Tabela </w:t>
      </w:r>
      <w:r w:rsidR="00C73793" w:rsidRPr="00B27A13">
        <w:rPr>
          <w:noProof/>
        </w:rPr>
        <w:fldChar w:fldCharType="begin"/>
      </w:r>
      <w:r w:rsidRPr="00B27A13">
        <w:rPr>
          <w:noProof/>
        </w:rPr>
        <w:instrText xml:space="preserve"> SEQ Tabela \* ARABIC </w:instrText>
      </w:r>
      <w:r w:rsidR="00C73793" w:rsidRPr="00B27A13">
        <w:rPr>
          <w:noProof/>
        </w:rPr>
        <w:fldChar w:fldCharType="separate"/>
      </w:r>
      <w:r w:rsidR="00C96A96">
        <w:rPr>
          <w:noProof/>
        </w:rPr>
        <w:t>22</w:t>
      </w:r>
      <w:r w:rsidR="00C73793" w:rsidRPr="00B27A13">
        <w:rPr>
          <w:noProof/>
        </w:rPr>
        <w:fldChar w:fldCharType="end"/>
      </w:r>
      <w:r w:rsidRPr="00B27A13">
        <w:t xml:space="preserve"> Prognoza planowanego zadłużenia poszczególnych JST na lata 2022 - 2026</w:t>
      </w:r>
      <w:bookmarkEnd w:id="194"/>
      <w:bookmarkEnd w:id="195"/>
    </w:p>
    <w:tbl>
      <w:tblPr>
        <w:tblW w:w="92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gnoza planowanego zadłużenia poszczególnych JST na lata 2022 - 2026"/>
        <w:tblDescription w:val="Prognoza planowanego zadłużenia poszczególnych JST na lata 2022 - 2026"/>
      </w:tblPr>
      <w:tblGrid>
        <w:gridCol w:w="1817"/>
        <w:gridCol w:w="1483"/>
        <w:gridCol w:w="1483"/>
        <w:gridCol w:w="1483"/>
        <w:gridCol w:w="1483"/>
        <w:gridCol w:w="1483"/>
      </w:tblGrid>
      <w:tr w:rsidR="009E7B91" w:rsidRPr="001B6600" w:rsidTr="001B6600">
        <w:trPr>
          <w:trHeight w:val="567"/>
          <w:tblHeader/>
        </w:trPr>
        <w:tc>
          <w:tcPr>
            <w:tcW w:w="1817"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Wyszczególnienie</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2022</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2023</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2024</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2025</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2026</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Czernica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17 986 972,00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37 173 092,00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51 578 560,00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55 019 040,00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54 359 520,00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Długołęka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98 570 669,00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148 952 169,00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158 543 269,00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167 507 269,00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151 832 269,00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Dobroszyce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13 200 000,00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14 200 000,00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12 700 000,00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11 000 000,00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9 600 000,00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Jelcz-Laskowice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23 500 000,00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22 000 000,00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18 857 140,00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15 714 280,00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12 571 420,00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Kąty Wrocławskie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89 096 320,00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112 478 200,00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132 093 400,00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121 818 400,00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108 275 000,00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Kobierzyce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40 124 247,00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34 560 007,00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28 995 767,00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23 976 992,00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19 511 824,00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Miękinia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37 007 800,00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35 000 000,00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33 000 000,00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30 000 000,00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27 000 000,00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Oborniki Śląskie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47 561 728,73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44 960 727,95</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40 800 000,00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35 600 000,00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32 600 000,00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(miasto)</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17 000 000,00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12 000 000,00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2 000 000,00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(gmina wiejska)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26 773 000,00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31 073 000,00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30 373 000,00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28 773 000,00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27 073 000,00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(miasto)</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56 393 081,00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48 644 631,00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40 449 911,00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31 200 000,00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21 750 000,00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(gmina wiejska)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8 605 000,00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7 885 000,00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7 165 000,00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6 365 000,00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5 442 500,00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Siechnice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143 711 519,00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160 570 500,00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153 970 500,00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147 270 500,00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138 720 500,00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Sobótka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6 320 155,59</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16 886 689,00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14 118 689,00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11 583 000,00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9 759 000,00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Trzebnica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86 783 336,01</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82 932 341,65</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76 281 347,29</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69 117 852,93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61 954 358,57</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Wisznia Mała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34 913 160,00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32 000 960,00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29 088 760,00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26 288 760,00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23 388 760,00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Wrocław</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18"/>
                <w:szCs w:val="20"/>
                <w:lang w:eastAsia="pl-PL"/>
              </w:rPr>
            </w:pPr>
            <w:r w:rsidRPr="001B6600">
              <w:rPr>
                <w:rFonts w:eastAsia="Times New Roman" w:cstheme="minorHAnsi"/>
                <w:color w:val="000000"/>
                <w:sz w:val="18"/>
                <w:szCs w:val="20"/>
                <w:lang w:eastAsia="pl-PL"/>
              </w:rPr>
              <w:t>4 434 788 078,98</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18"/>
                <w:szCs w:val="20"/>
                <w:lang w:eastAsia="pl-PL"/>
              </w:rPr>
            </w:pPr>
            <w:r w:rsidRPr="001B6600">
              <w:rPr>
                <w:rFonts w:eastAsia="Times New Roman" w:cstheme="minorHAnsi"/>
                <w:color w:val="000000"/>
                <w:sz w:val="18"/>
                <w:szCs w:val="20"/>
                <w:lang w:eastAsia="pl-PL"/>
              </w:rPr>
              <w:t>4 587 228 255,49</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18"/>
                <w:szCs w:val="20"/>
                <w:lang w:eastAsia="pl-PL"/>
              </w:rPr>
            </w:pPr>
            <w:r w:rsidRPr="001B6600">
              <w:rPr>
                <w:rFonts w:eastAsia="Times New Roman" w:cstheme="minorHAnsi"/>
                <w:color w:val="000000"/>
                <w:sz w:val="18"/>
                <w:szCs w:val="20"/>
                <w:lang w:eastAsia="pl-PL"/>
              </w:rPr>
              <w:t>4 536 833 579,23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18"/>
                <w:szCs w:val="20"/>
                <w:lang w:eastAsia="pl-PL"/>
              </w:rPr>
            </w:pPr>
            <w:r w:rsidRPr="001B6600">
              <w:rPr>
                <w:rFonts w:eastAsia="Times New Roman" w:cstheme="minorHAnsi"/>
                <w:color w:val="000000"/>
                <w:sz w:val="18"/>
                <w:szCs w:val="20"/>
                <w:lang w:eastAsia="pl-PL"/>
              </w:rPr>
              <w:t>4 463 410 893,23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18"/>
                <w:szCs w:val="20"/>
                <w:lang w:eastAsia="pl-PL"/>
              </w:rPr>
            </w:pPr>
            <w:r w:rsidRPr="001B6600">
              <w:rPr>
                <w:rFonts w:eastAsia="Times New Roman" w:cstheme="minorHAnsi"/>
                <w:color w:val="000000"/>
                <w:sz w:val="18"/>
                <w:szCs w:val="20"/>
                <w:lang w:eastAsia="pl-PL"/>
              </w:rPr>
              <w:t>4 282 288 964,46</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Zawonia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776 800,00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801 500,00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641 200,00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480 900,00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320 600,00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Żórawina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1 000 000,00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0,00</w:t>
            </w:r>
          </w:p>
        </w:tc>
      </w:tr>
      <w:tr w:rsidR="009E7B91" w:rsidRPr="001B6600" w:rsidTr="001B6600">
        <w:trPr>
          <w:trHeight w:val="567"/>
        </w:trPr>
        <w:tc>
          <w:tcPr>
            <w:tcW w:w="1817"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sz w:val="20"/>
                <w:szCs w:val="20"/>
                <w:lang w:eastAsia="pl-PL"/>
              </w:rPr>
            </w:pPr>
            <w:r w:rsidRPr="001B6600">
              <w:rPr>
                <w:rFonts w:eastAsia="Times New Roman" w:cstheme="minorHAnsi"/>
                <w:b/>
                <w:bCs/>
                <w:sz w:val="20"/>
                <w:szCs w:val="20"/>
                <w:lang w:eastAsia="pl-PL"/>
              </w:rPr>
              <w:t>WrOF</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18"/>
                <w:szCs w:val="20"/>
                <w:lang w:eastAsia="pl-PL"/>
              </w:rPr>
            </w:pPr>
            <w:r w:rsidRPr="001B6600">
              <w:rPr>
                <w:rFonts w:eastAsia="Times New Roman" w:cstheme="minorHAnsi"/>
                <w:b/>
                <w:bCs/>
                <w:color w:val="000000"/>
                <w:sz w:val="18"/>
                <w:szCs w:val="20"/>
                <w:lang w:eastAsia="pl-PL"/>
              </w:rPr>
              <w:t xml:space="preserve">5 184 111 867,31   </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18"/>
                <w:szCs w:val="20"/>
                <w:lang w:eastAsia="pl-PL"/>
              </w:rPr>
            </w:pPr>
            <w:r w:rsidRPr="001B6600">
              <w:rPr>
                <w:rFonts w:eastAsia="Times New Roman" w:cstheme="minorHAnsi"/>
                <w:b/>
                <w:bCs/>
                <w:color w:val="000000"/>
                <w:sz w:val="18"/>
                <w:szCs w:val="20"/>
                <w:lang w:eastAsia="pl-PL"/>
              </w:rPr>
              <w:t>5 429 347 073,09</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18"/>
                <w:szCs w:val="20"/>
                <w:lang w:eastAsia="pl-PL"/>
              </w:rPr>
            </w:pPr>
            <w:r w:rsidRPr="001B6600">
              <w:rPr>
                <w:rFonts w:eastAsia="Times New Roman" w:cstheme="minorHAnsi"/>
                <w:b/>
                <w:bCs/>
                <w:color w:val="000000"/>
                <w:sz w:val="18"/>
                <w:szCs w:val="20"/>
                <w:lang w:eastAsia="pl-PL"/>
              </w:rPr>
              <w:t>5 373 490 122,52</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18"/>
                <w:szCs w:val="20"/>
                <w:lang w:eastAsia="pl-PL"/>
              </w:rPr>
            </w:pPr>
            <w:r w:rsidRPr="001B6600">
              <w:rPr>
                <w:rFonts w:eastAsia="Times New Roman" w:cstheme="minorHAnsi"/>
                <w:b/>
                <w:bCs/>
                <w:color w:val="000000"/>
                <w:sz w:val="18"/>
                <w:szCs w:val="20"/>
                <w:lang w:eastAsia="pl-PL"/>
              </w:rPr>
              <w:t>5 249 125 887,16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18"/>
                <w:szCs w:val="20"/>
                <w:lang w:eastAsia="pl-PL"/>
              </w:rPr>
            </w:pPr>
            <w:r w:rsidRPr="001B6600">
              <w:rPr>
                <w:rFonts w:eastAsia="Times New Roman" w:cstheme="minorHAnsi"/>
                <w:b/>
                <w:bCs/>
                <w:color w:val="000000"/>
                <w:sz w:val="18"/>
                <w:szCs w:val="20"/>
                <w:lang w:eastAsia="pl-PL"/>
              </w:rPr>
              <w:t>4 988 447 716,03</w:t>
            </w:r>
          </w:p>
        </w:tc>
      </w:tr>
    </w:tbl>
    <w:p w:rsidR="009E7B91" w:rsidRPr="00B27A13" w:rsidRDefault="009E7B91" w:rsidP="00337060">
      <w:pPr>
        <w:pStyle w:val="PODWrof"/>
      </w:pPr>
      <w:r w:rsidRPr="00B27A13">
        <w:t>Źródło: opracowanie własne na podstawie Wieloletnich Prognoz Finansowych gmin i miast tworzących WrOF</w:t>
      </w:r>
      <w:r>
        <w:t>.</w:t>
      </w:r>
    </w:p>
    <w:p w:rsidR="009E7B91" w:rsidRPr="001B6600" w:rsidRDefault="009E7B91" w:rsidP="001B6600">
      <w:pPr>
        <w:spacing w:after="120"/>
        <w:jc w:val="left"/>
        <w:rPr>
          <w:rFonts w:cstheme="minorHAnsi"/>
          <w:sz w:val="24"/>
        </w:rPr>
      </w:pPr>
      <w:r w:rsidRPr="001B6600">
        <w:rPr>
          <w:rFonts w:cstheme="minorHAnsi"/>
          <w:sz w:val="24"/>
        </w:rPr>
        <w:t>Zobowiązania systematycznie będą spłacane, a prognoza w</w:t>
      </w:r>
      <w:r w:rsidR="00857609">
        <w:rPr>
          <w:rFonts w:cstheme="minorHAnsi"/>
          <w:sz w:val="24"/>
        </w:rPr>
        <w:t>skaźników obliczonych zgodnie z </w:t>
      </w:r>
      <w:r w:rsidRPr="001B6600">
        <w:rPr>
          <w:rFonts w:cstheme="minorHAnsi"/>
          <w:sz w:val="24"/>
        </w:rPr>
        <w:t>art. 243 ustawy z dnia 27 sierpnia 2009 r. o finansach publicznych wskazuje, iż relacja z art. 243 ust. 1 ustawy o finansach publicznych począwszy od 2022 roku w przypadku wszystkich JST zostanie zachowana.</w:t>
      </w:r>
    </w:p>
    <w:p w:rsidR="009E7B91" w:rsidRPr="001B6600" w:rsidRDefault="009E7B91" w:rsidP="001B6600">
      <w:pPr>
        <w:spacing w:after="120"/>
        <w:jc w:val="left"/>
        <w:rPr>
          <w:rFonts w:cstheme="minorHAnsi"/>
          <w:sz w:val="24"/>
        </w:rPr>
      </w:pPr>
      <w:r w:rsidRPr="001B6600">
        <w:rPr>
          <w:rFonts w:cstheme="minorHAnsi"/>
          <w:sz w:val="24"/>
        </w:rPr>
        <w:t xml:space="preserve">Zarówno osiągane dochody, jak i ponoszone wydatki, w tym wydatki inwestycyjne i związane z tym wydatki na obsługę długu, wpływają na wynik budżetu danej JST. Według poniższego zestawienia przygotowanego na podstawie Wieloletnich </w:t>
      </w:r>
      <w:r w:rsidR="00857609">
        <w:rPr>
          <w:rFonts w:cstheme="minorHAnsi"/>
          <w:sz w:val="24"/>
        </w:rPr>
        <w:t>Prognoz Finansowych gmin WrOF w </w:t>
      </w:r>
      <w:r w:rsidRPr="001B6600">
        <w:rPr>
          <w:rFonts w:cstheme="minorHAnsi"/>
          <w:sz w:val="24"/>
        </w:rPr>
        <w:t xml:space="preserve">2022 roku wszystkie JST generują deficyt. </w:t>
      </w:r>
    </w:p>
    <w:p w:rsidR="009E7B91" w:rsidRPr="00B27A13" w:rsidRDefault="009E7B91" w:rsidP="009E7B91">
      <w:pPr>
        <w:pStyle w:val="nadWrOF"/>
      </w:pPr>
      <w:bookmarkStart w:id="196" w:name="_Toc125101199"/>
      <w:bookmarkStart w:id="197" w:name="_Toc143606980"/>
      <w:r w:rsidRPr="00B27A13">
        <w:t xml:space="preserve">Tabela </w:t>
      </w:r>
      <w:r w:rsidR="00C73793" w:rsidRPr="00B27A13">
        <w:rPr>
          <w:noProof/>
        </w:rPr>
        <w:fldChar w:fldCharType="begin"/>
      </w:r>
      <w:r w:rsidRPr="00B27A13">
        <w:rPr>
          <w:noProof/>
        </w:rPr>
        <w:instrText xml:space="preserve"> SEQ Tabela \* ARABIC </w:instrText>
      </w:r>
      <w:r w:rsidR="00C73793" w:rsidRPr="00B27A13">
        <w:rPr>
          <w:noProof/>
        </w:rPr>
        <w:fldChar w:fldCharType="separate"/>
      </w:r>
      <w:r w:rsidR="00C96A96">
        <w:rPr>
          <w:noProof/>
        </w:rPr>
        <w:t>23</w:t>
      </w:r>
      <w:r w:rsidR="00C73793" w:rsidRPr="00B27A13">
        <w:rPr>
          <w:noProof/>
        </w:rPr>
        <w:fldChar w:fldCharType="end"/>
      </w:r>
      <w:r w:rsidRPr="00B27A13">
        <w:t xml:space="preserve"> Prognoza wyniku budżetu </w:t>
      </w:r>
      <w:r>
        <w:t>poszczególnych gmin WrOF</w:t>
      </w:r>
      <w:r w:rsidR="00AE1747">
        <w:t xml:space="preserve"> </w:t>
      </w:r>
      <w:r w:rsidRPr="00B27A13">
        <w:t>na lata 2022-2026</w:t>
      </w:r>
      <w:bookmarkEnd w:id="196"/>
      <w:bookmarkEnd w:id="197"/>
    </w:p>
    <w:tbl>
      <w:tblPr>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Caption w:val="Prognoza wyniku budżetu poszczególnych gmin WrOF na lata 2022-2026"/>
        <w:tblDescription w:val="Prognoza wyniku budżetu poszczególnych gmin WrOF na lata 2022-2026"/>
      </w:tblPr>
      <w:tblGrid>
        <w:gridCol w:w="1657"/>
        <w:gridCol w:w="1483"/>
        <w:gridCol w:w="1483"/>
        <w:gridCol w:w="1483"/>
        <w:gridCol w:w="1483"/>
        <w:gridCol w:w="1483"/>
      </w:tblGrid>
      <w:tr w:rsidR="009E7B91" w:rsidRPr="001B6600" w:rsidTr="001B6600">
        <w:trPr>
          <w:trHeight w:val="567"/>
          <w:tblHeader/>
        </w:trPr>
        <w:tc>
          <w:tcPr>
            <w:tcW w:w="1657"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Gmina</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2022</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2023</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2024</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2025</w:t>
            </w:r>
          </w:p>
        </w:tc>
        <w:tc>
          <w:tcPr>
            <w:tcW w:w="1483"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2026</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Czernica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-24 281 369,26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-19 186 120,00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-14 405 468,00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-3 440 480,00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659 520,00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Długołęka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-59 829 071,44</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-50 381 500,00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-9 705 100,00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-8 964 000,00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15 675 000,00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Dobroszyce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-16 385 943,41</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1 500 000,00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1 700 000,00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1 400 000,00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Jelcz-Laskowice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-34 784 099,46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1 500 000,00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3 142 860,00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3 142 860,00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3 142 860,00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Kąty Wrocławskie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-48 961 614,57</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-38 721 016,00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-19 615 200,00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10 275 000,00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13 543 400,00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Kobierzyce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-32 967 446,04</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-37 651 710,00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-23 193 687,00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-2 747 356,00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Miękinia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-24 806 660,00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2 007 800,00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3 000 000,00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Oborniki Śląskie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-14 687 063,28</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2 500 000,00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4 071 400,00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5 200 000,00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3 000 000,00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Oleśnica (miasto)</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-32 195 370,00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5 000 000,00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4 000 000,00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2 000 000,00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 xml:space="preserve">Oleśnica </w:t>
            </w:r>
          </w:p>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(gmina wiejska)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-13 782 349,73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-6 300 000,00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700 000,00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1 600 000,00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1 700 000,00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Oława (miasto)</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-39 389 962,06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7 748 450,00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8 194 720,00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9 249 911,00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9 450 000,00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 xml:space="preserve">Oława </w:t>
            </w:r>
          </w:p>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(gmina wiejska)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-12 294 622,17</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720 000,00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720 000,00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800 000,00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922 500,00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Siechnice</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-65 070 161,86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-18 610 241,00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4 735 000,00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4 990 000,00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6 840 000,00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Sobótka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-19 447 200,66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-15 625 480,96</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2 618 400,00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2 535 689,00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1 824 000,00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Trzebnica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-24 332 848,28</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1 540 520,60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4 340 520,60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4 853 020,60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4 853 020,60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Wisznia Mała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-9 725 101,02</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2 900 000,00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2 900 000,00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2 800 000,00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2 900 000,00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Wrocław</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-820 556 197,00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-284 398 642,17</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8 194 975,5</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50 824 713,23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113 398 326,97</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Zawonia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-7 591 346,43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-490 260,00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160 300,00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160 300,00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160 300,00</w:t>
            </w:r>
          </w:p>
        </w:tc>
      </w:tr>
      <w:tr w:rsidR="009E7B91" w:rsidRPr="00F8258A"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sz w:val="20"/>
                <w:szCs w:val="18"/>
                <w:lang w:eastAsia="pl-PL"/>
              </w:rPr>
            </w:pPr>
            <w:r w:rsidRPr="001B6600">
              <w:rPr>
                <w:rFonts w:eastAsia="Times New Roman" w:cstheme="minorHAnsi"/>
                <w:sz w:val="20"/>
                <w:szCs w:val="18"/>
                <w:lang w:eastAsia="pl-PL"/>
              </w:rPr>
              <w:t>Żórawina</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-14 060 937,84</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1 500 000,00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385 400,00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0,00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18"/>
                <w:lang w:eastAsia="pl-PL"/>
              </w:rPr>
            </w:pPr>
            <w:r w:rsidRPr="001B6600">
              <w:rPr>
                <w:rFonts w:eastAsia="Times New Roman" w:cstheme="minorHAnsi"/>
                <w:color w:val="000000"/>
                <w:sz w:val="20"/>
                <w:szCs w:val="18"/>
                <w:lang w:eastAsia="pl-PL"/>
              </w:rPr>
              <w:t>0,00</w:t>
            </w:r>
          </w:p>
        </w:tc>
      </w:tr>
      <w:tr w:rsidR="009E7B91" w:rsidRPr="00362096" w:rsidTr="001B6600">
        <w:trPr>
          <w:trHeight w:val="567"/>
        </w:trPr>
        <w:tc>
          <w:tcPr>
            <w:tcW w:w="1657"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sz w:val="20"/>
                <w:szCs w:val="18"/>
                <w:lang w:eastAsia="pl-PL"/>
              </w:rPr>
            </w:pPr>
            <w:r w:rsidRPr="001B6600">
              <w:rPr>
                <w:rFonts w:eastAsia="Times New Roman" w:cstheme="minorHAnsi"/>
                <w:b/>
                <w:bCs/>
                <w:sz w:val="20"/>
                <w:szCs w:val="18"/>
                <w:lang w:eastAsia="pl-PL"/>
              </w:rPr>
              <w:t>WrOF</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18"/>
                <w:lang w:eastAsia="pl-PL"/>
              </w:rPr>
            </w:pPr>
            <w:r w:rsidRPr="001B6600">
              <w:rPr>
                <w:rFonts w:eastAsia="Times New Roman" w:cstheme="minorHAnsi"/>
                <w:b/>
                <w:bCs/>
                <w:color w:val="000000"/>
                <w:sz w:val="18"/>
                <w:szCs w:val="18"/>
                <w:lang w:eastAsia="pl-PL"/>
              </w:rPr>
              <w:t>-1 392 832 799,51</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18"/>
                <w:lang w:eastAsia="pl-PL"/>
              </w:rPr>
            </w:pPr>
            <w:r w:rsidRPr="001B6600">
              <w:rPr>
                <w:rFonts w:eastAsia="Times New Roman" w:cstheme="minorHAnsi"/>
                <w:b/>
                <w:bCs/>
                <w:color w:val="000000"/>
                <w:sz w:val="20"/>
                <w:szCs w:val="18"/>
                <w:lang w:eastAsia="pl-PL"/>
              </w:rPr>
              <w:t>-375 283 535,54</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18"/>
                <w:lang w:eastAsia="pl-PL"/>
              </w:rPr>
            </w:pPr>
            <w:r w:rsidRPr="001B6600">
              <w:rPr>
                <w:rFonts w:eastAsia="Times New Roman" w:cstheme="minorHAnsi"/>
                <w:b/>
                <w:bCs/>
                <w:color w:val="000000"/>
                <w:sz w:val="20"/>
                <w:szCs w:val="18"/>
                <w:lang w:eastAsia="pl-PL"/>
              </w:rPr>
              <w:t>-34 070 149,90</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18"/>
                <w:lang w:eastAsia="pl-PL"/>
              </w:rPr>
            </w:pPr>
            <w:r w:rsidRPr="001B6600">
              <w:rPr>
                <w:rFonts w:eastAsia="Times New Roman" w:cstheme="minorHAnsi"/>
                <w:b/>
                <w:bCs/>
                <w:color w:val="000000"/>
                <w:sz w:val="20"/>
                <w:szCs w:val="18"/>
                <w:lang w:eastAsia="pl-PL"/>
              </w:rPr>
              <w:t>55 479 657,83</w:t>
            </w:r>
          </w:p>
        </w:tc>
        <w:tc>
          <w:tcPr>
            <w:tcW w:w="1483"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18"/>
                <w:lang w:eastAsia="pl-PL"/>
              </w:rPr>
            </w:pPr>
            <w:r w:rsidRPr="001B6600">
              <w:rPr>
                <w:rFonts w:eastAsia="Times New Roman" w:cstheme="minorHAnsi"/>
                <w:b/>
                <w:bCs/>
                <w:color w:val="000000"/>
                <w:sz w:val="20"/>
                <w:szCs w:val="18"/>
                <w:lang w:eastAsia="pl-PL"/>
              </w:rPr>
              <w:t>182 468 927,57</w:t>
            </w:r>
          </w:p>
        </w:tc>
      </w:tr>
    </w:tbl>
    <w:p w:rsidR="009E7B91" w:rsidRPr="00B27A13" w:rsidRDefault="009E7B91" w:rsidP="00337060">
      <w:pPr>
        <w:pStyle w:val="PODWrof"/>
      </w:pPr>
      <w:r w:rsidRPr="00B27A13">
        <w:t>Źródło: opracowanie własne na podstawie WPF gmin i miast tworzących WrOF</w:t>
      </w:r>
    </w:p>
    <w:bookmarkEnd w:id="192"/>
    <w:p w:rsidR="009E7B91" w:rsidRPr="001B6600" w:rsidRDefault="009E7B91" w:rsidP="001B6600">
      <w:pPr>
        <w:spacing w:after="0"/>
        <w:jc w:val="left"/>
        <w:rPr>
          <w:rFonts w:eastAsia="font339" w:cstheme="minorHAnsi"/>
          <w:b/>
          <w:color w:val="276E8B"/>
          <w:sz w:val="28"/>
          <w:szCs w:val="24"/>
        </w:rPr>
      </w:pPr>
      <w:r w:rsidRPr="001B6600">
        <w:rPr>
          <w:rFonts w:cstheme="minorHAnsi"/>
          <w:sz w:val="24"/>
          <w:szCs w:val="20"/>
        </w:rPr>
        <w:t xml:space="preserve">W gminach WrOF przekazywane i pozyskiwane </w:t>
      </w:r>
      <w:r w:rsidR="005D2280" w:rsidRPr="001B6600">
        <w:rPr>
          <w:rFonts w:cstheme="minorHAnsi"/>
          <w:sz w:val="24"/>
          <w:szCs w:val="20"/>
        </w:rPr>
        <w:t>są fundusze unijne na realizację</w:t>
      </w:r>
      <w:r w:rsidRPr="001B6600">
        <w:rPr>
          <w:rFonts w:cstheme="minorHAnsi"/>
          <w:sz w:val="24"/>
          <w:szCs w:val="20"/>
        </w:rPr>
        <w:t xml:space="preserve"> inwestycji. </w:t>
      </w:r>
      <w:r w:rsidRPr="001B6600">
        <w:rPr>
          <w:rFonts w:cstheme="minorHAnsi"/>
          <w:sz w:val="24"/>
          <w:szCs w:val="20"/>
        </w:rPr>
        <w:br/>
        <w:t>Ich uzupełnienie stanowią środki pozyskane ze środków krajowych, w tym między innymi Rządowego Funduszu Polski Ład: Program Inwestycji Strategicznych, Rządowego Funduszu Inwestycji Lokalnych, Funduszu Dróg Samorzą</w:t>
      </w:r>
      <w:r w:rsidR="005D2280" w:rsidRPr="001B6600">
        <w:rPr>
          <w:rFonts w:cstheme="minorHAnsi"/>
          <w:sz w:val="24"/>
          <w:szCs w:val="20"/>
        </w:rPr>
        <w:t>dowych oraz dotacji celowych z b</w:t>
      </w:r>
      <w:r w:rsidRPr="001B6600">
        <w:rPr>
          <w:rFonts w:cstheme="minorHAnsi"/>
          <w:sz w:val="24"/>
          <w:szCs w:val="20"/>
        </w:rPr>
        <w:t xml:space="preserve">udżetu województwa dolnośląskiego. </w:t>
      </w:r>
    </w:p>
    <w:p w:rsidR="009E7B91" w:rsidRPr="001B6600" w:rsidRDefault="009E7B91" w:rsidP="001B6600">
      <w:pPr>
        <w:spacing w:after="0"/>
        <w:jc w:val="left"/>
        <w:rPr>
          <w:rFonts w:cstheme="minorHAnsi"/>
          <w:sz w:val="24"/>
        </w:rPr>
      </w:pPr>
      <w:bookmarkStart w:id="198" w:name="_Toc25225827"/>
      <w:r w:rsidRPr="001B6600">
        <w:rPr>
          <w:rFonts w:cstheme="minorHAnsi"/>
          <w:sz w:val="24"/>
        </w:rPr>
        <w:t>W poniższej tabeli zaprezentowano środki pozyskane przez poszczególne gminy na realizowane w latach 2017-2021 projekty.</w:t>
      </w:r>
      <w:bookmarkEnd w:id="198"/>
    </w:p>
    <w:p w:rsidR="009E7B91" w:rsidRPr="00B27A13" w:rsidRDefault="009E7B91" w:rsidP="009E7B91">
      <w:pPr>
        <w:pStyle w:val="nadWrOF"/>
      </w:pPr>
      <w:bookmarkStart w:id="199" w:name="_Toc125101201"/>
      <w:bookmarkStart w:id="200" w:name="_Toc143606981"/>
      <w:r w:rsidRPr="00B27A13">
        <w:t xml:space="preserve">Tabela </w:t>
      </w:r>
      <w:r w:rsidR="00C73793" w:rsidRPr="00B27A13">
        <w:rPr>
          <w:noProof/>
        </w:rPr>
        <w:fldChar w:fldCharType="begin"/>
      </w:r>
      <w:r w:rsidRPr="00B27A13">
        <w:rPr>
          <w:noProof/>
        </w:rPr>
        <w:instrText xml:space="preserve"> SEQ Tabela \* ARABIC </w:instrText>
      </w:r>
      <w:r w:rsidR="00C73793" w:rsidRPr="00B27A13">
        <w:rPr>
          <w:noProof/>
        </w:rPr>
        <w:fldChar w:fldCharType="separate"/>
      </w:r>
      <w:r w:rsidR="00C96A96">
        <w:rPr>
          <w:noProof/>
        </w:rPr>
        <w:t>24</w:t>
      </w:r>
      <w:r w:rsidR="00C73793" w:rsidRPr="00B27A13">
        <w:rPr>
          <w:noProof/>
        </w:rPr>
        <w:fldChar w:fldCharType="end"/>
      </w:r>
      <w:r w:rsidR="00AE1747">
        <w:rPr>
          <w:noProof/>
        </w:rPr>
        <w:t xml:space="preserve"> </w:t>
      </w:r>
      <w:r w:rsidRPr="00B27A13">
        <w:t>Otrzymane dotacje w latach 2017-2021 r</w:t>
      </w:r>
      <w:r>
        <w:t>.</w:t>
      </w:r>
      <w:r w:rsidR="00AE1747">
        <w:t xml:space="preserve"> </w:t>
      </w:r>
      <w:r>
        <w:t xml:space="preserve">w </w:t>
      </w:r>
      <w:r w:rsidRPr="00B27A13">
        <w:t>podziale na projekty finansowane ze środków unijnych oraz projekty finansowane z innych źródeł</w:t>
      </w:r>
      <w:bookmarkEnd w:id="199"/>
      <w:bookmarkEnd w:id="200"/>
    </w:p>
    <w:tbl>
      <w:tblPr>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Caption w:val="Otrzymane dotacje w latach 2017-2021 r. w podziale na projekty finansowane ze środków unijnych oraz projekty finansowane z innych źródeł"/>
        <w:tblDescription w:val="Otrzymane dotacje w latach 2017-2021 r. w podziale na projekty finansowane ze środków unijnych oraz projekty finansowane z innych źródeł"/>
      </w:tblPr>
      <w:tblGrid>
        <w:gridCol w:w="1814"/>
        <w:gridCol w:w="1814"/>
        <w:gridCol w:w="1815"/>
        <w:gridCol w:w="1814"/>
        <w:gridCol w:w="1815"/>
      </w:tblGrid>
      <w:tr w:rsidR="001B6600" w:rsidRPr="00236834" w:rsidTr="001B6600">
        <w:trPr>
          <w:trHeight w:val="284"/>
          <w:tblHeader/>
        </w:trPr>
        <w:tc>
          <w:tcPr>
            <w:tcW w:w="1814" w:type="dxa"/>
            <w:vMerge w:val="restart"/>
            <w:shd w:val="clear" w:color="auto" w:fill="F2F2F2" w:themeFill="background1" w:themeFillShade="F2"/>
            <w:noWrap/>
            <w:vAlign w:val="center"/>
            <w:hideMark/>
          </w:tcPr>
          <w:p w:rsidR="001B6600" w:rsidRPr="001B6600" w:rsidRDefault="001B6600"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Wyszczególnienie</w:t>
            </w:r>
          </w:p>
        </w:tc>
        <w:tc>
          <w:tcPr>
            <w:tcW w:w="1814" w:type="dxa"/>
            <w:shd w:val="clear" w:color="auto" w:fill="F2F2F2" w:themeFill="background1" w:themeFillShade="F2"/>
            <w:noWrap/>
            <w:vAlign w:val="center"/>
            <w:hideMark/>
          </w:tcPr>
          <w:p w:rsidR="001B6600" w:rsidRPr="001B6600" w:rsidRDefault="001B6600"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Projekty finansowane ze środków unijnych</w:t>
            </w:r>
            <w:r w:rsidRPr="001B6600">
              <w:rPr>
                <w:rStyle w:val="Odwoanieprzypisudolnego"/>
                <w:rFonts w:eastAsia="Times New Roman" w:cstheme="minorHAnsi"/>
                <w:color w:val="000000"/>
                <w:sz w:val="20"/>
                <w:szCs w:val="20"/>
                <w:lang w:eastAsia="pl-PL"/>
              </w:rPr>
              <w:footnoteReference w:id="129"/>
            </w:r>
          </w:p>
        </w:tc>
        <w:tc>
          <w:tcPr>
            <w:tcW w:w="1815" w:type="dxa"/>
            <w:shd w:val="clear" w:color="auto" w:fill="F2F2F2" w:themeFill="background1" w:themeFillShade="F2"/>
            <w:vAlign w:val="center"/>
          </w:tcPr>
          <w:p w:rsidR="001B6600" w:rsidRPr="001B6600" w:rsidRDefault="001B6600"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Projekty finansowane ze środków unijnych</w:t>
            </w:r>
          </w:p>
        </w:tc>
        <w:tc>
          <w:tcPr>
            <w:tcW w:w="1814" w:type="dxa"/>
            <w:shd w:val="clear" w:color="auto" w:fill="F2F2F2" w:themeFill="background1" w:themeFillShade="F2"/>
            <w:noWrap/>
            <w:vAlign w:val="center"/>
            <w:hideMark/>
          </w:tcPr>
          <w:p w:rsidR="001B6600" w:rsidRPr="001B6600" w:rsidRDefault="001B6600"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Projekty finansowane z innych źródeł niż UE</w:t>
            </w:r>
          </w:p>
        </w:tc>
        <w:tc>
          <w:tcPr>
            <w:tcW w:w="1815" w:type="dxa"/>
            <w:shd w:val="clear" w:color="auto" w:fill="F2F2F2" w:themeFill="background1" w:themeFillShade="F2"/>
            <w:vAlign w:val="center"/>
          </w:tcPr>
          <w:p w:rsidR="001B6600" w:rsidRPr="001B6600" w:rsidRDefault="001B6600"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Projekty finansowane z innych źródeł niż UE</w:t>
            </w:r>
          </w:p>
        </w:tc>
      </w:tr>
      <w:tr w:rsidR="009E7B91" w:rsidRPr="00181A4F" w:rsidTr="001B6600">
        <w:trPr>
          <w:trHeight w:val="284"/>
          <w:tblHeader/>
        </w:trPr>
        <w:tc>
          <w:tcPr>
            <w:tcW w:w="1814" w:type="dxa"/>
            <w:vMerge/>
            <w:shd w:val="clear" w:color="auto" w:fill="F2F2F2" w:themeFill="background1" w:themeFillShade="F2"/>
            <w:vAlign w:val="center"/>
            <w:hideMark/>
          </w:tcPr>
          <w:p w:rsidR="009E7B91" w:rsidRPr="001B6600" w:rsidRDefault="009E7B91" w:rsidP="00320A03">
            <w:pPr>
              <w:spacing w:after="0" w:line="240" w:lineRule="auto"/>
              <w:jc w:val="left"/>
              <w:rPr>
                <w:rFonts w:eastAsia="Times New Roman" w:cstheme="minorHAnsi"/>
                <w:b/>
                <w:bCs/>
                <w:color w:val="000000"/>
                <w:sz w:val="20"/>
                <w:szCs w:val="20"/>
                <w:lang w:eastAsia="pl-PL"/>
              </w:rPr>
            </w:pPr>
          </w:p>
        </w:tc>
        <w:tc>
          <w:tcPr>
            <w:tcW w:w="1814"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Wartość otrzymanego dofinansowania</w:t>
            </w:r>
          </w:p>
        </w:tc>
        <w:tc>
          <w:tcPr>
            <w:tcW w:w="1815"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Liczba projektów</w:t>
            </w:r>
          </w:p>
        </w:tc>
        <w:tc>
          <w:tcPr>
            <w:tcW w:w="1814"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Wartość otrzymanego dofinansowania</w:t>
            </w:r>
          </w:p>
        </w:tc>
        <w:tc>
          <w:tcPr>
            <w:tcW w:w="1815" w:type="dxa"/>
            <w:shd w:val="clear" w:color="auto" w:fill="F2F2F2" w:themeFill="background1" w:themeFillShade="F2"/>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eastAsia="Times New Roman" w:cstheme="minorHAnsi"/>
                <w:color w:val="000000"/>
                <w:sz w:val="20"/>
                <w:szCs w:val="20"/>
                <w:lang w:eastAsia="pl-PL"/>
              </w:rPr>
              <w:t>Liczba projektów</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Czernica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14 082 448,31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16</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19 559 820,31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17</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Długołęka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24 320 529,55</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24 027 658,70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82</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Dobroszyce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22 737 734,75</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16</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19 473 780,80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21</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Jelcz-Laskowice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25 681 668,05</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16</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6 207 377,83</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Kąty Wrocławskie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21 434 962,49</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17 003 647,79</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21</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Kobierzyce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19 449 200,00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20</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35 607 989,49</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12</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Miękinia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28 220 738,99</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13</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19 375 746,58</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15</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Oborniki Śląskie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30 545 792,62</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22</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5 341 919,17</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14</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(miasto)</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26 306 718,74</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10</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28 990 774,16</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14</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Oleśnica (gmina wiejska)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10 992 752,51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26 444 189,50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75</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(miasto)</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25 640 415,91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21</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36 961 016,00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42</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Oława (gmina wiejska)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25 268 306,88</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7</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1 832 883,00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Siechnice</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60 084 847,21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20 522 075,85</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48</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Sobótka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26 351 061,70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36 702 044,59</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50</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Trzebnica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23 702 981,90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15</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23 713 520,68</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38</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Wisznia Mała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78 585 417,51</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30</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5 421 456,33</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28</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Wrocław</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1 151 987 962,63</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253</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18 716 164,42</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30</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Zawonia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28 226 273,56</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15</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23 290 290,50</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12</w:t>
            </w:r>
          </w:p>
        </w:tc>
      </w:tr>
      <w:tr w:rsidR="009E7B91" w:rsidRPr="00181A4F" w:rsidTr="001B6600">
        <w:trPr>
          <w:trHeight w:val="340"/>
        </w:trPr>
        <w:tc>
          <w:tcPr>
            <w:tcW w:w="1814" w:type="dxa"/>
            <w:shd w:val="clear" w:color="auto" w:fill="auto"/>
            <w:vAlign w:val="center"/>
            <w:hideMark/>
          </w:tcPr>
          <w:p w:rsidR="009E7B91" w:rsidRPr="001B6600" w:rsidRDefault="009E7B91" w:rsidP="00320A03">
            <w:pPr>
              <w:spacing w:after="0" w:line="240" w:lineRule="auto"/>
              <w:jc w:val="left"/>
              <w:rPr>
                <w:rFonts w:eastAsia="Times New Roman" w:cstheme="minorHAnsi"/>
                <w:sz w:val="20"/>
                <w:szCs w:val="20"/>
                <w:lang w:eastAsia="pl-PL"/>
              </w:rPr>
            </w:pPr>
            <w:r w:rsidRPr="001B6600">
              <w:rPr>
                <w:rFonts w:eastAsia="Times New Roman" w:cstheme="minorHAnsi"/>
                <w:sz w:val="20"/>
                <w:szCs w:val="20"/>
                <w:lang w:eastAsia="pl-PL"/>
              </w:rPr>
              <w:t>Żórawina</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23 254 739,45</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16</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19 870 843,83</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color w:val="000000"/>
                <w:sz w:val="20"/>
                <w:szCs w:val="20"/>
                <w:lang w:eastAsia="pl-PL"/>
              </w:rPr>
            </w:pPr>
            <w:r w:rsidRPr="001B6600">
              <w:rPr>
                <w:rFonts w:cstheme="minorHAnsi"/>
                <w:color w:val="000000"/>
                <w:sz w:val="20"/>
                <w:szCs w:val="20"/>
              </w:rPr>
              <w:t>9</w:t>
            </w:r>
          </w:p>
        </w:tc>
      </w:tr>
      <w:tr w:rsidR="009E7B91" w:rsidRPr="00362096" w:rsidTr="001B6600">
        <w:trPr>
          <w:trHeight w:val="340"/>
        </w:trPr>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sz w:val="20"/>
                <w:szCs w:val="20"/>
                <w:lang w:eastAsia="pl-PL"/>
              </w:rPr>
            </w:pPr>
            <w:r w:rsidRPr="001B6600">
              <w:rPr>
                <w:rFonts w:eastAsia="Times New Roman" w:cstheme="minorHAnsi"/>
                <w:b/>
                <w:bCs/>
                <w:sz w:val="20"/>
                <w:szCs w:val="20"/>
                <w:lang w:eastAsia="pl-PL"/>
              </w:rPr>
              <w:t>WrOF</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20"/>
                <w:lang w:eastAsia="pl-PL"/>
              </w:rPr>
            </w:pPr>
            <w:r w:rsidRPr="001B6600">
              <w:rPr>
                <w:rFonts w:eastAsia="Times New Roman" w:cstheme="minorHAnsi"/>
                <w:b/>
                <w:bCs/>
                <w:color w:val="000000"/>
                <w:sz w:val="20"/>
                <w:szCs w:val="20"/>
                <w:lang w:eastAsia="pl-PL"/>
              </w:rPr>
              <w:t>1 666 874 552,76</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20"/>
                <w:lang w:eastAsia="pl-PL"/>
              </w:rPr>
            </w:pPr>
            <w:r w:rsidRPr="001B6600">
              <w:rPr>
                <w:rFonts w:eastAsia="Times New Roman" w:cstheme="minorHAnsi"/>
                <w:b/>
                <w:bCs/>
                <w:color w:val="000000"/>
                <w:sz w:val="20"/>
                <w:szCs w:val="20"/>
                <w:lang w:eastAsia="pl-PL"/>
              </w:rPr>
              <w:t>573</w:t>
            </w:r>
          </w:p>
        </w:tc>
        <w:tc>
          <w:tcPr>
            <w:tcW w:w="1814"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20"/>
                <w:lang w:eastAsia="pl-PL"/>
              </w:rPr>
            </w:pPr>
            <w:r w:rsidRPr="001B6600">
              <w:rPr>
                <w:rFonts w:cstheme="minorHAnsi"/>
                <w:b/>
                <w:bCs/>
                <w:color w:val="000000"/>
                <w:sz w:val="20"/>
                <w:szCs w:val="20"/>
              </w:rPr>
              <w:t>389 063 199,53</w:t>
            </w:r>
          </w:p>
        </w:tc>
        <w:tc>
          <w:tcPr>
            <w:tcW w:w="1815" w:type="dxa"/>
            <w:shd w:val="clear" w:color="auto" w:fill="auto"/>
            <w:noWrap/>
            <w:vAlign w:val="center"/>
            <w:hideMark/>
          </w:tcPr>
          <w:p w:rsidR="009E7B91" w:rsidRPr="001B6600" w:rsidRDefault="009E7B91" w:rsidP="00320A03">
            <w:pPr>
              <w:spacing w:after="0" w:line="240" w:lineRule="auto"/>
              <w:jc w:val="left"/>
              <w:rPr>
                <w:rFonts w:eastAsia="Times New Roman" w:cstheme="minorHAnsi"/>
                <w:b/>
                <w:bCs/>
                <w:color w:val="000000"/>
                <w:sz w:val="20"/>
                <w:szCs w:val="20"/>
                <w:lang w:eastAsia="pl-PL"/>
              </w:rPr>
            </w:pPr>
            <w:r w:rsidRPr="001B6600">
              <w:rPr>
                <w:rFonts w:cstheme="minorHAnsi"/>
                <w:b/>
                <w:bCs/>
                <w:color w:val="000000"/>
                <w:sz w:val="20"/>
                <w:szCs w:val="20"/>
              </w:rPr>
              <w:t>554</w:t>
            </w:r>
          </w:p>
        </w:tc>
      </w:tr>
    </w:tbl>
    <w:p w:rsidR="009E7B91" w:rsidRPr="00A03278" w:rsidRDefault="009E7B91" w:rsidP="001B6600">
      <w:pPr>
        <w:pStyle w:val="podWrOF0"/>
      </w:pPr>
      <w:r w:rsidRPr="00B27A13">
        <w:t>Źródło: opracowanie własne na podstawie danych gmin WrOF</w:t>
      </w:r>
      <w:r>
        <w:t>.</w:t>
      </w:r>
      <w:r w:rsidR="00337060">
        <w:tab/>
      </w:r>
    </w:p>
    <w:p w:rsidR="009E7B91" w:rsidRPr="001B6600" w:rsidRDefault="009E7B91" w:rsidP="001B6600">
      <w:pPr>
        <w:spacing w:after="120"/>
        <w:jc w:val="left"/>
        <w:rPr>
          <w:rFonts w:cstheme="minorHAnsi"/>
          <w:sz w:val="24"/>
        </w:rPr>
      </w:pPr>
      <w:r w:rsidRPr="001B6600">
        <w:rPr>
          <w:rFonts w:cstheme="minorHAnsi"/>
          <w:sz w:val="24"/>
        </w:rPr>
        <w:t xml:space="preserve">W analizowanym okresie gminy tworzące WrOF przy wykorzystaniu środków UE zrealizowały łącznie 573 projekty, uzyskując na nie ponad 1,66 mld zł dofinansowania. W tym samym okresie JST z Wrocławskiego Obszaru Funkcjonalnego uzyskały ponad 386 mln zł na realizację 554 projektów z innych źródeł niż UE. Dofinansowanie w ramach tej grupy projektów pochodziło głównie z dotacji w ramach Rządowego Funduszu Polski Ład: Program Inwestycji Strategicznych, Rządowego Funduszu Inwestycji Lokalnych, Funduszu Dróg Samorządowych oraz dotacji celowych z </w:t>
      </w:r>
      <w:r w:rsidR="000D47E2" w:rsidRPr="001B6600">
        <w:rPr>
          <w:rFonts w:cstheme="minorHAnsi"/>
          <w:sz w:val="24"/>
        </w:rPr>
        <w:t>b</w:t>
      </w:r>
      <w:r w:rsidRPr="001B6600">
        <w:rPr>
          <w:rFonts w:cstheme="minorHAnsi"/>
          <w:sz w:val="24"/>
        </w:rPr>
        <w:t>udżetu województwa dolnośląskiego.</w:t>
      </w:r>
    </w:p>
    <w:p w:rsidR="009E7B91" w:rsidRPr="001B6600" w:rsidRDefault="009E7B91" w:rsidP="001B6600">
      <w:pPr>
        <w:spacing w:after="120"/>
        <w:jc w:val="left"/>
        <w:rPr>
          <w:rFonts w:cstheme="minorHAnsi"/>
          <w:sz w:val="24"/>
        </w:rPr>
      </w:pPr>
      <w:r w:rsidRPr="001B6600">
        <w:rPr>
          <w:rFonts w:cstheme="minorHAnsi"/>
          <w:sz w:val="24"/>
        </w:rPr>
        <w:t>Łączna wartość środków dotacyjnych uzyskanych w latach 2017-2021 przez gminy WrOF wyniosła ponad 2 mld zł, co stanowi 5,8% wszystkich wydatków ponoszonych przez gminy WrOF w badanych latach. Najwięcej dotacji w latach 2017-2021 uzyskał Wrocław, bo aż 56,9% ogólnej wysokości dotacji udzielonych gminom WrOF (1 170 704 127,05 zł). Korzystnie pod tym względem wypadają również Wisznia Mała (4,1%), Siechnice (3,9%), Sobótka (3,1%) oraz Oława (miasto – 3%). Pozostałe gminy WrOF uzyskały mniej niż 3% ogólnej wysokości środków dotacyjnych uzyskanych przez JST tworzące WrOF.</w:t>
      </w:r>
    </w:p>
    <w:p w:rsidR="009E7B91" w:rsidRPr="001B6600" w:rsidRDefault="009E7B91" w:rsidP="001B6600">
      <w:pPr>
        <w:spacing w:after="120"/>
        <w:jc w:val="left"/>
        <w:rPr>
          <w:rFonts w:cstheme="minorHAnsi"/>
          <w:sz w:val="24"/>
        </w:rPr>
      </w:pPr>
      <w:r w:rsidRPr="001B6600">
        <w:rPr>
          <w:rFonts w:cstheme="minorHAnsi"/>
          <w:sz w:val="24"/>
        </w:rPr>
        <w:t>Obecnie kończy się realizacja projektów z perspektywy finansowej UE 2014-2020 (wydatkowanie i rozliczanie środków zgodnie z zasadą n</w:t>
      </w:r>
      <w:r w:rsidR="00857609">
        <w:rPr>
          <w:rFonts w:cstheme="minorHAnsi"/>
          <w:sz w:val="24"/>
        </w:rPr>
        <w:t>+3 zakończy się w 2023 roku), a </w:t>
      </w:r>
      <w:r w:rsidRPr="001B6600">
        <w:rPr>
          <w:rFonts w:cstheme="minorHAnsi"/>
          <w:sz w:val="24"/>
        </w:rPr>
        <w:t>nowa perspektywa 2021-2027 daje kolejne możliwości na realizację projektów inwestycyjnych.</w:t>
      </w:r>
    </w:p>
    <w:p w:rsidR="006174E4" w:rsidRDefault="009E7B91" w:rsidP="001B6600">
      <w:pPr>
        <w:spacing w:after="120"/>
        <w:jc w:val="left"/>
      </w:pPr>
      <w:r w:rsidRPr="001B6600">
        <w:rPr>
          <w:rFonts w:cstheme="minorHAnsi"/>
          <w:sz w:val="24"/>
        </w:rPr>
        <w:t>W poniższych tabelach wskazano wielkość środków finansowych planowanych na realizację strategii wraz z potencjalnymi źródłami finansowania, w podziale na poszczególne gminy.</w:t>
      </w:r>
      <w:r w:rsidR="00702D7A" w:rsidRPr="001B6600">
        <w:rPr>
          <w:rFonts w:cstheme="minorHAnsi"/>
          <w:sz w:val="24"/>
        </w:rPr>
        <w:t xml:space="preserve"> </w:t>
      </w:r>
      <w:r w:rsidRPr="001B6600">
        <w:rPr>
          <w:rFonts w:cstheme="minorHAnsi"/>
          <w:sz w:val="24"/>
        </w:rPr>
        <w:t>Planowanymi źródłami finansowania będą środki dotacyjne z Programu Fundusze Europejskie dla Dolnego Śląska 2021-2027 (FEDS 2021-2027) oraz Programu Fundusze Europejskie na Infrastrukturę, Klimat, Środowisko 2021-2027 (</w:t>
      </w:r>
      <w:proofErr w:type="spellStart"/>
      <w:r w:rsidRPr="001B6600">
        <w:rPr>
          <w:rFonts w:cstheme="minorHAnsi"/>
          <w:sz w:val="24"/>
        </w:rPr>
        <w:t>FEnIKS</w:t>
      </w:r>
      <w:proofErr w:type="spellEnd"/>
      <w:r w:rsidRPr="001B6600">
        <w:rPr>
          <w:rFonts w:cstheme="minorHAnsi"/>
          <w:sz w:val="24"/>
        </w:rPr>
        <w:t xml:space="preserve"> 2021-2027</w:t>
      </w:r>
      <w:r w:rsidR="00ED1504" w:rsidRPr="001B6600">
        <w:rPr>
          <w:rFonts w:cstheme="minorHAnsi"/>
          <w:sz w:val="24"/>
        </w:rPr>
        <w:t>).</w:t>
      </w:r>
      <w:r w:rsidR="006174E4">
        <w:br w:type="page"/>
      </w:r>
    </w:p>
    <w:p w:rsidR="00A71A1F" w:rsidRPr="00750A76" w:rsidRDefault="00A71A1F" w:rsidP="00750A76">
      <w:pPr>
        <w:pStyle w:val="Nagwek1"/>
      </w:pPr>
      <w:bookmarkStart w:id="201" w:name="_Toc143673242"/>
      <w:r w:rsidRPr="00750A76">
        <w:t>Spis tabel</w:t>
      </w:r>
      <w:r w:rsidR="00750A76" w:rsidRPr="00750A76">
        <w:t xml:space="preserve">, </w:t>
      </w:r>
      <w:r w:rsidR="00707387" w:rsidRPr="00750A76">
        <w:t>wykresów</w:t>
      </w:r>
      <w:r w:rsidR="00750A76" w:rsidRPr="00750A76">
        <w:t xml:space="preserve"> i map</w:t>
      </w:r>
      <w:bookmarkEnd w:id="201"/>
    </w:p>
    <w:p w:rsidR="0047323D" w:rsidRDefault="00C73793">
      <w:pPr>
        <w:pStyle w:val="Spisilustracji"/>
        <w:tabs>
          <w:tab w:val="right" w:leader="dot" w:pos="9062"/>
        </w:tabs>
        <w:rPr>
          <w:rFonts w:asciiTheme="minorHAnsi" w:eastAsiaTheme="minorEastAsia" w:hAnsiTheme="minorHAnsi" w:cstheme="minorBidi"/>
          <w:i w:val="0"/>
          <w:noProof/>
          <w:lang w:eastAsia="pl-PL"/>
        </w:rPr>
      </w:pPr>
      <w:r>
        <w:rPr>
          <w:i w:val="0"/>
        </w:rPr>
        <w:fldChar w:fldCharType="begin"/>
      </w:r>
      <w:r w:rsidR="00707387">
        <w:rPr>
          <w:i w:val="0"/>
        </w:rPr>
        <w:instrText xml:space="preserve"> TOC \h \z \c "Tabela" </w:instrText>
      </w:r>
      <w:r>
        <w:rPr>
          <w:i w:val="0"/>
        </w:rPr>
        <w:fldChar w:fldCharType="separate"/>
      </w:r>
      <w:hyperlink w:anchor="_Toc143606958" w:history="1">
        <w:r w:rsidR="0047323D" w:rsidRPr="001F3A02">
          <w:rPr>
            <w:rStyle w:val="Hipercze"/>
            <w:noProof/>
          </w:rPr>
          <w:t>Tabela 1 Liczba ludności, powierzchnia i gęstość zaludnienia gmin WrOF w 2021 r.</w:t>
        </w:r>
        <w:r w:rsidR="0047323D">
          <w:rPr>
            <w:noProof/>
            <w:webHidden/>
          </w:rPr>
          <w:tab/>
        </w:r>
        <w:r w:rsidR="0047323D">
          <w:rPr>
            <w:noProof/>
            <w:webHidden/>
          </w:rPr>
          <w:fldChar w:fldCharType="begin"/>
        </w:r>
        <w:r w:rsidR="0047323D">
          <w:rPr>
            <w:noProof/>
            <w:webHidden/>
          </w:rPr>
          <w:instrText xml:space="preserve"> PAGEREF _Toc143606958 \h </w:instrText>
        </w:r>
        <w:r w:rsidR="0047323D">
          <w:rPr>
            <w:noProof/>
            <w:webHidden/>
          </w:rPr>
        </w:r>
        <w:r w:rsidR="0047323D">
          <w:rPr>
            <w:noProof/>
            <w:webHidden/>
          </w:rPr>
          <w:fldChar w:fldCharType="separate"/>
        </w:r>
        <w:r w:rsidR="00C96A96">
          <w:rPr>
            <w:noProof/>
            <w:webHidden/>
          </w:rPr>
          <w:t>19</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59" w:history="1">
        <w:r w:rsidR="0047323D" w:rsidRPr="001F3A02">
          <w:rPr>
            <w:rStyle w:val="Hipercze"/>
            <w:noProof/>
          </w:rPr>
          <w:t>Tabela 2 Nasycenie gmin WrOF miejscami postojowymi Park&amp;Ride oraz Bike&amp;Ride</w:t>
        </w:r>
        <w:r w:rsidR="0047323D">
          <w:rPr>
            <w:noProof/>
            <w:webHidden/>
          </w:rPr>
          <w:tab/>
        </w:r>
        <w:r w:rsidR="0047323D">
          <w:rPr>
            <w:noProof/>
            <w:webHidden/>
          </w:rPr>
          <w:fldChar w:fldCharType="begin"/>
        </w:r>
        <w:r w:rsidR="0047323D">
          <w:rPr>
            <w:noProof/>
            <w:webHidden/>
          </w:rPr>
          <w:instrText xml:space="preserve"> PAGEREF _Toc143606959 \h </w:instrText>
        </w:r>
        <w:r w:rsidR="0047323D">
          <w:rPr>
            <w:noProof/>
            <w:webHidden/>
          </w:rPr>
        </w:r>
        <w:r w:rsidR="0047323D">
          <w:rPr>
            <w:noProof/>
            <w:webHidden/>
          </w:rPr>
          <w:fldChar w:fldCharType="separate"/>
        </w:r>
        <w:r>
          <w:rPr>
            <w:noProof/>
            <w:webHidden/>
          </w:rPr>
          <w:t>25</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0" w:history="1">
        <w:r w:rsidR="0047323D" w:rsidRPr="001F3A02">
          <w:rPr>
            <w:rStyle w:val="Hipercze"/>
            <w:noProof/>
          </w:rPr>
          <w:t>Tabela 3 Produkt krajowy brutto [zł] na jednego mieszkańca w latach 2017-2019 we WrOF</w:t>
        </w:r>
        <w:r w:rsidR="0047323D">
          <w:rPr>
            <w:noProof/>
            <w:webHidden/>
          </w:rPr>
          <w:tab/>
        </w:r>
        <w:r w:rsidR="0047323D">
          <w:rPr>
            <w:noProof/>
            <w:webHidden/>
          </w:rPr>
          <w:fldChar w:fldCharType="begin"/>
        </w:r>
        <w:r w:rsidR="0047323D">
          <w:rPr>
            <w:noProof/>
            <w:webHidden/>
          </w:rPr>
          <w:instrText xml:space="preserve"> PAGEREF _Toc143606960 \h </w:instrText>
        </w:r>
        <w:r w:rsidR="0047323D">
          <w:rPr>
            <w:noProof/>
            <w:webHidden/>
          </w:rPr>
        </w:r>
        <w:r w:rsidR="0047323D">
          <w:rPr>
            <w:noProof/>
            <w:webHidden/>
          </w:rPr>
          <w:fldChar w:fldCharType="separate"/>
        </w:r>
        <w:r>
          <w:rPr>
            <w:noProof/>
            <w:webHidden/>
          </w:rPr>
          <w:t>40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1" w:history="1">
        <w:r w:rsidR="0047323D" w:rsidRPr="001F3A02">
          <w:rPr>
            <w:rStyle w:val="Hipercze"/>
            <w:rFonts w:cstheme="minorHAnsi"/>
            <w:noProof/>
          </w:rPr>
          <w:t>Tabela 4 Dominujące branże gospodarki w 2021 r. w poszczególnych gminach WrOF</w:t>
        </w:r>
        <w:r w:rsidR="0047323D">
          <w:rPr>
            <w:noProof/>
            <w:webHidden/>
          </w:rPr>
          <w:tab/>
        </w:r>
        <w:r w:rsidR="0047323D">
          <w:rPr>
            <w:noProof/>
            <w:webHidden/>
          </w:rPr>
          <w:fldChar w:fldCharType="begin"/>
        </w:r>
        <w:r w:rsidR="0047323D">
          <w:rPr>
            <w:noProof/>
            <w:webHidden/>
          </w:rPr>
          <w:instrText xml:space="preserve"> PAGEREF _Toc143606961 \h </w:instrText>
        </w:r>
        <w:r w:rsidR="0047323D">
          <w:rPr>
            <w:noProof/>
            <w:webHidden/>
          </w:rPr>
        </w:r>
        <w:r w:rsidR="0047323D">
          <w:rPr>
            <w:noProof/>
            <w:webHidden/>
          </w:rPr>
          <w:fldChar w:fldCharType="separate"/>
        </w:r>
        <w:r>
          <w:rPr>
            <w:noProof/>
            <w:webHidden/>
          </w:rPr>
          <w:t>41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2" w:history="1">
        <w:r w:rsidR="0047323D" w:rsidRPr="001F3A02">
          <w:rPr>
            <w:rStyle w:val="Hipercze"/>
            <w:noProof/>
          </w:rPr>
          <w:t>Tabela 5 Tereny zieleni na obszarze ZIT WrOF w latach 2017-2021</w:t>
        </w:r>
        <w:r w:rsidR="0047323D">
          <w:rPr>
            <w:noProof/>
            <w:webHidden/>
          </w:rPr>
          <w:tab/>
        </w:r>
        <w:r w:rsidR="0047323D">
          <w:rPr>
            <w:noProof/>
            <w:webHidden/>
          </w:rPr>
          <w:fldChar w:fldCharType="begin"/>
        </w:r>
        <w:r w:rsidR="0047323D">
          <w:rPr>
            <w:noProof/>
            <w:webHidden/>
          </w:rPr>
          <w:instrText xml:space="preserve"> PAGEREF _Toc143606962 \h </w:instrText>
        </w:r>
        <w:r w:rsidR="0047323D">
          <w:rPr>
            <w:noProof/>
            <w:webHidden/>
          </w:rPr>
        </w:r>
        <w:r w:rsidR="0047323D">
          <w:rPr>
            <w:noProof/>
            <w:webHidden/>
          </w:rPr>
          <w:fldChar w:fldCharType="separate"/>
        </w:r>
        <w:r>
          <w:rPr>
            <w:noProof/>
            <w:webHidden/>
          </w:rPr>
          <w:t>55</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3" w:history="1">
        <w:r w:rsidR="0047323D" w:rsidRPr="001F3A02">
          <w:rPr>
            <w:rStyle w:val="Hipercze"/>
            <w:noProof/>
          </w:rPr>
          <w:t xml:space="preserve">Tabela 6 </w:t>
        </w:r>
        <w:r w:rsidR="0047323D" w:rsidRPr="001F3A02">
          <w:rPr>
            <w:rStyle w:val="Hipercze"/>
            <w:rFonts w:eastAsia="Times New Roman"/>
            <w:noProof/>
            <w:lang w:eastAsia="pl-PL"/>
          </w:rPr>
          <w:t>Parki spacerowo - wypoczynkowe</w:t>
        </w:r>
        <w:r w:rsidR="0047323D" w:rsidRPr="001F3A02">
          <w:rPr>
            <w:rStyle w:val="Hipercze"/>
            <w:noProof/>
          </w:rPr>
          <w:t xml:space="preserve"> w gminach ZIT WrOF w roku 2021</w:t>
        </w:r>
        <w:r w:rsidR="0047323D">
          <w:rPr>
            <w:noProof/>
            <w:webHidden/>
          </w:rPr>
          <w:tab/>
        </w:r>
        <w:r w:rsidR="0047323D">
          <w:rPr>
            <w:noProof/>
            <w:webHidden/>
          </w:rPr>
          <w:fldChar w:fldCharType="begin"/>
        </w:r>
        <w:r w:rsidR="0047323D">
          <w:rPr>
            <w:noProof/>
            <w:webHidden/>
          </w:rPr>
          <w:instrText xml:space="preserve"> PAGEREF _Toc143606963 \h </w:instrText>
        </w:r>
        <w:r w:rsidR="0047323D">
          <w:rPr>
            <w:noProof/>
            <w:webHidden/>
          </w:rPr>
        </w:r>
        <w:r w:rsidR="0047323D">
          <w:rPr>
            <w:noProof/>
            <w:webHidden/>
          </w:rPr>
          <w:fldChar w:fldCharType="separate"/>
        </w:r>
        <w:r>
          <w:rPr>
            <w:noProof/>
            <w:webHidden/>
          </w:rPr>
          <w:t>56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4" w:history="1">
        <w:r w:rsidR="0047323D" w:rsidRPr="001F3A02">
          <w:rPr>
            <w:rStyle w:val="Hipercze"/>
            <w:noProof/>
          </w:rPr>
          <w:t>Tabela 7 Tereny zieleni w poszczególnych gminach (ha) w latach 2017-2021 wraz z dynamiką zmian</w:t>
        </w:r>
        <w:r w:rsidR="0047323D">
          <w:rPr>
            <w:noProof/>
            <w:webHidden/>
          </w:rPr>
          <w:tab/>
        </w:r>
        <w:r w:rsidR="0047323D">
          <w:rPr>
            <w:noProof/>
            <w:webHidden/>
          </w:rPr>
          <w:fldChar w:fldCharType="begin"/>
        </w:r>
        <w:r w:rsidR="0047323D">
          <w:rPr>
            <w:noProof/>
            <w:webHidden/>
          </w:rPr>
          <w:instrText xml:space="preserve"> PAGEREF _Toc143606964 \h </w:instrText>
        </w:r>
        <w:r w:rsidR="0047323D">
          <w:rPr>
            <w:noProof/>
            <w:webHidden/>
          </w:rPr>
        </w:r>
        <w:r w:rsidR="0047323D">
          <w:rPr>
            <w:noProof/>
            <w:webHidden/>
          </w:rPr>
          <w:fldChar w:fldCharType="separate"/>
        </w:r>
        <w:r>
          <w:rPr>
            <w:noProof/>
            <w:webHidden/>
          </w:rPr>
          <w:t>56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5" w:history="1">
        <w:r w:rsidR="0047323D" w:rsidRPr="001F3A02">
          <w:rPr>
            <w:rStyle w:val="Hipercze"/>
            <w:noProof/>
          </w:rPr>
          <w:t>Tabela 8 Zabytki ujęte w rejestrze zabytków Wojewódzki Urząd Ochrony Zabytków we Wrocławiu</w:t>
        </w:r>
        <w:r w:rsidR="0047323D">
          <w:rPr>
            <w:noProof/>
            <w:webHidden/>
          </w:rPr>
          <w:tab/>
        </w:r>
        <w:r w:rsidR="0047323D">
          <w:rPr>
            <w:noProof/>
            <w:webHidden/>
          </w:rPr>
          <w:fldChar w:fldCharType="begin"/>
        </w:r>
        <w:r w:rsidR="0047323D">
          <w:rPr>
            <w:noProof/>
            <w:webHidden/>
          </w:rPr>
          <w:instrText xml:space="preserve"> PAGEREF _Toc143606965 \h </w:instrText>
        </w:r>
        <w:r w:rsidR="0047323D">
          <w:rPr>
            <w:noProof/>
            <w:webHidden/>
          </w:rPr>
        </w:r>
        <w:r w:rsidR="0047323D">
          <w:rPr>
            <w:noProof/>
            <w:webHidden/>
          </w:rPr>
          <w:fldChar w:fldCharType="separate"/>
        </w:r>
        <w:r>
          <w:rPr>
            <w:noProof/>
            <w:webHidden/>
          </w:rPr>
          <w:t>86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6" w:history="1">
        <w:r w:rsidR="0047323D" w:rsidRPr="001F3A02">
          <w:rPr>
            <w:rStyle w:val="Hipercze"/>
            <w:noProof/>
          </w:rPr>
          <w:t>Tabela 9 Rejestr zabytków ruchomych (klasa B – zabytki sztuki i rzemiosła artystycznego)</w:t>
        </w:r>
        <w:r w:rsidR="0047323D">
          <w:rPr>
            <w:noProof/>
            <w:webHidden/>
          </w:rPr>
          <w:tab/>
        </w:r>
        <w:r w:rsidR="0047323D">
          <w:rPr>
            <w:noProof/>
            <w:webHidden/>
          </w:rPr>
          <w:fldChar w:fldCharType="begin"/>
        </w:r>
        <w:r w:rsidR="0047323D">
          <w:rPr>
            <w:noProof/>
            <w:webHidden/>
          </w:rPr>
          <w:instrText xml:space="preserve"> PAGEREF _Toc143606966 \h </w:instrText>
        </w:r>
        <w:r w:rsidR="0047323D">
          <w:rPr>
            <w:noProof/>
            <w:webHidden/>
          </w:rPr>
        </w:r>
        <w:r w:rsidR="0047323D">
          <w:rPr>
            <w:noProof/>
            <w:webHidden/>
          </w:rPr>
          <w:fldChar w:fldCharType="separate"/>
        </w:r>
        <w:r>
          <w:rPr>
            <w:noProof/>
            <w:webHidden/>
          </w:rPr>
          <w:t>86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7" w:history="1">
        <w:r w:rsidR="0047323D" w:rsidRPr="001F3A02">
          <w:rPr>
            <w:rStyle w:val="Hipercze"/>
            <w:noProof/>
          </w:rPr>
          <w:t>Tabela 10 Udział obiektów dostosowanych do osób z niepełnosprawnością w 2018 r. we WrOF</w:t>
        </w:r>
        <w:r w:rsidR="0047323D">
          <w:rPr>
            <w:noProof/>
            <w:webHidden/>
          </w:rPr>
          <w:tab/>
        </w:r>
        <w:r w:rsidR="0047323D">
          <w:rPr>
            <w:noProof/>
            <w:webHidden/>
          </w:rPr>
          <w:fldChar w:fldCharType="begin"/>
        </w:r>
        <w:r w:rsidR="0047323D">
          <w:rPr>
            <w:noProof/>
            <w:webHidden/>
          </w:rPr>
          <w:instrText xml:space="preserve"> PAGEREF _Toc143606967 \h </w:instrText>
        </w:r>
        <w:r w:rsidR="0047323D">
          <w:rPr>
            <w:noProof/>
            <w:webHidden/>
          </w:rPr>
        </w:r>
        <w:r w:rsidR="0047323D">
          <w:rPr>
            <w:noProof/>
            <w:webHidden/>
          </w:rPr>
          <w:fldChar w:fldCharType="separate"/>
        </w:r>
        <w:r>
          <w:rPr>
            <w:noProof/>
            <w:webHidden/>
          </w:rPr>
          <w:t>91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8" w:history="1">
        <w:r w:rsidR="0047323D" w:rsidRPr="001F3A02">
          <w:rPr>
            <w:rStyle w:val="Hipercze"/>
            <w:noProof/>
          </w:rPr>
          <w:t>Tabela 11 Pożary i miejscowe zagrożenia ogółem w latach 2018-2021 we WrOF, woj. dolnośląskim i Polsce</w:t>
        </w:r>
        <w:r w:rsidR="0047323D">
          <w:rPr>
            <w:noProof/>
            <w:webHidden/>
          </w:rPr>
          <w:tab/>
        </w:r>
        <w:r w:rsidR="0047323D">
          <w:rPr>
            <w:noProof/>
            <w:webHidden/>
          </w:rPr>
          <w:fldChar w:fldCharType="begin"/>
        </w:r>
        <w:r w:rsidR="0047323D">
          <w:rPr>
            <w:noProof/>
            <w:webHidden/>
          </w:rPr>
          <w:instrText xml:space="preserve"> PAGEREF _Toc143606968 \h </w:instrText>
        </w:r>
        <w:r w:rsidR="0047323D">
          <w:rPr>
            <w:noProof/>
            <w:webHidden/>
          </w:rPr>
        </w:r>
        <w:r w:rsidR="0047323D">
          <w:rPr>
            <w:noProof/>
            <w:webHidden/>
          </w:rPr>
          <w:fldChar w:fldCharType="separate"/>
        </w:r>
        <w:r>
          <w:rPr>
            <w:noProof/>
            <w:webHidden/>
          </w:rPr>
          <w:t>96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69" w:history="1">
        <w:r w:rsidR="0047323D" w:rsidRPr="001F3A02">
          <w:rPr>
            <w:rStyle w:val="Hipercze"/>
            <w:noProof/>
          </w:rPr>
          <w:t>Tabela 12 Przestępstwa i zdarzenia w ruchu drogowym w latach 2017-2021 we WrOF</w:t>
        </w:r>
        <w:r w:rsidR="0047323D">
          <w:rPr>
            <w:noProof/>
            <w:webHidden/>
          </w:rPr>
          <w:tab/>
        </w:r>
        <w:r w:rsidR="0047323D">
          <w:rPr>
            <w:noProof/>
            <w:webHidden/>
          </w:rPr>
          <w:fldChar w:fldCharType="begin"/>
        </w:r>
        <w:r w:rsidR="0047323D">
          <w:rPr>
            <w:noProof/>
            <w:webHidden/>
          </w:rPr>
          <w:instrText xml:space="preserve"> PAGEREF _Toc143606969 \h </w:instrText>
        </w:r>
        <w:r w:rsidR="0047323D">
          <w:rPr>
            <w:noProof/>
            <w:webHidden/>
          </w:rPr>
        </w:r>
        <w:r w:rsidR="0047323D">
          <w:rPr>
            <w:noProof/>
            <w:webHidden/>
          </w:rPr>
          <w:fldChar w:fldCharType="separate"/>
        </w:r>
        <w:r>
          <w:rPr>
            <w:noProof/>
            <w:webHidden/>
          </w:rPr>
          <w:t>97</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0" w:history="1">
        <w:r w:rsidR="0047323D" w:rsidRPr="001F3A02">
          <w:rPr>
            <w:rStyle w:val="Hipercze"/>
            <w:noProof/>
          </w:rPr>
          <w:t>Tabela 13 Prognoza planowanego zadłużenia poszczególnych JST na lata 2022 - 2026</w:t>
        </w:r>
        <w:r w:rsidR="0047323D">
          <w:rPr>
            <w:noProof/>
            <w:webHidden/>
          </w:rPr>
          <w:tab/>
        </w:r>
        <w:r w:rsidR="0047323D">
          <w:rPr>
            <w:noProof/>
            <w:webHidden/>
          </w:rPr>
          <w:fldChar w:fldCharType="begin"/>
        </w:r>
        <w:r w:rsidR="0047323D">
          <w:rPr>
            <w:noProof/>
            <w:webHidden/>
          </w:rPr>
          <w:instrText xml:space="preserve"> PAGEREF _Toc143606970 \h </w:instrText>
        </w:r>
        <w:r w:rsidR="0047323D">
          <w:rPr>
            <w:noProof/>
            <w:webHidden/>
          </w:rPr>
        </w:r>
        <w:r w:rsidR="0047323D">
          <w:rPr>
            <w:noProof/>
            <w:webHidden/>
          </w:rPr>
          <w:fldChar w:fldCharType="separate"/>
        </w:r>
        <w:r>
          <w:rPr>
            <w:noProof/>
            <w:webHidden/>
          </w:rPr>
          <w:t>126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1" w:history="1">
        <w:r w:rsidR="0047323D" w:rsidRPr="001F3A02">
          <w:rPr>
            <w:rStyle w:val="Hipercze"/>
            <w:noProof/>
          </w:rPr>
          <w:t>Tabela 14 Podmioty zaangażowane w realizację Strategii ZIT WrOF 2021-2027</w:t>
        </w:r>
        <w:r w:rsidR="0047323D">
          <w:rPr>
            <w:noProof/>
            <w:webHidden/>
          </w:rPr>
          <w:tab/>
        </w:r>
        <w:r w:rsidR="0047323D">
          <w:rPr>
            <w:noProof/>
            <w:webHidden/>
          </w:rPr>
          <w:fldChar w:fldCharType="begin"/>
        </w:r>
        <w:r w:rsidR="0047323D">
          <w:rPr>
            <w:noProof/>
            <w:webHidden/>
          </w:rPr>
          <w:instrText xml:space="preserve"> PAGEREF _Toc143606971 \h </w:instrText>
        </w:r>
        <w:r w:rsidR="0047323D">
          <w:rPr>
            <w:noProof/>
            <w:webHidden/>
          </w:rPr>
        </w:r>
        <w:r w:rsidR="0047323D">
          <w:rPr>
            <w:noProof/>
            <w:webHidden/>
          </w:rPr>
          <w:fldChar w:fldCharType="separate"/>
        </w:r>
        <w:r>
          <w:rPr>
            <w:noProof/>
            <w:webHidden/>
          </w:rPr>
          <w:t>290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2" w:history="1">
        <w:r w:rsidR="0047323D" w:rsidRPr="001F3A02">
          <w:rPr>
            <w:rStyle w:val="Hipercze"/>
            <w:noProof/>
          </w:rPr>
          <w:t>Tabela 15 Skład Rady ZIT WrOF</w:t>
        </w:r>
        <w:r w:rsidR="0047323D">
          <w:rPr>
            <w:noProof/>
            <w:webHidden/>
          </w:rPr>
          <w:tab/>
        </w:r>
        <w:r w:rsidR="0047323D">
          <w:rPr>
            <w:noProof/>
            <w:webHidden/>
          </w:rPr>
          <w:fldChar w:fldCharType="begin"/>
        </w:r>
        <w:r w:rsidR="0047323D">
          <w:rPr>
            <w:noProof/>
            <w:webHidden/>
          </w:rPr>
          <w:instrText xml:space="preserve"> PAGEREF _Toc143606972 \h </w:instrText>
        </w:r>
        <w:r w:rsidR="0047323D">
          <w:rPr>
            <w:noProof/>
            <w:webHidden/>
          </w:rPr>
        </w:r>
        <w:r w:rsidR="0047323D">
          <w:rPr>
            <w:noProof/>
            <w:webHidden/>
          </w:rPr>
          <w:fldChar w:fldCharType="separate"/>
        </w:r>
        <w:r>
          <w:rPr>
            <w:noProof/>
            <w:webHidden/>
          </w:rPr>
          <w:t>294</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3" w:history="1">
        <w:r w:rsidR="0047323D" w:rsidRPr="001F3A02">
          <w:rPr>
            <w:rStyle w:val="Hipercze"/>
            <w:noProof/>
          </w:rPr>
          <w:t xml:space="preserve">Tabela 16 Monitoring Strategii ZIT WrOF 2021-2027 - </w:t>
        </w:r>
        <w:r w:rsidR="0047323D" w:rsidRPr="001F3A02">
          <w:rPr>
            <w:rStyle w:val="Hipercze"/>
            <w:noProof/>
            <w:lang w:eastAsia="pl-PL"/>
          </w:rPr>
          <w:t>FEDS - wykaz planowanych wskaźników do realizacji</w:t>
        </w:r>
        <w:r w:rsidR="0047323D">
          <w:rPr>
            <w:noProof/>
            <w:webHidden/>
          </w:rPr>
          <w:tab/>
        </w:r>
        <w:r w:rsidR="0047323D">
          <w:rPr>
            <w:noProof/>
            <w:webHidden/>
          </w:rPr>
          <w:fldChar w:fldCharType="begin"/>
        </w:r>
        <w:r w:rsidR="0047323D">
          <w:rPr>
            <w:noProof/>
            <w:webHidden/>
          </w:rPr>
          <w:instrText xml:space="preserve"> PAGEREF _Toc143606973 \h </w:instrText>
        </w:r>
        <w:r w:rsidR="0047323D">
          <w:rPr>
            <w:noProof/>
            <w:webHidden/>
          </w:rPr>
        </w:r>
        <w:r w:rsidR="0047323D">
          <w:rPr>
            <w:noProof/>
            <w:webHidden/>
          </w:rPr>
          <w:fldChar w:fldCharType="separate"/>
        </w:r>
        <w:r>
          <w:rPr>
            <w:noProof/>
            <w:webHidden/>
          </w:rPr>
          <w:t>302</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4" w:history="1">
        <w:r w:rsidR="0047323D" w:rsidRPr="001F3A02">
          <w:rPr>
            <w:rStyle w:val="Hipercze"/>
            <w:noProof/>
          </w:rPr>
          <w:t>Tabela 17 Monitoring Strategii ZIT WrOF 2021-2027 - FEnIKS 2021-2027  - wykaz planowanych wskaźników do realizacji</w:t>
        </w:r>
        <w:r w:rsidR="0047323D">
          <w:rPr>
            <w:noProof/>
            <w:webHidden/>
          </w:rPr>
          <w:tab/>
        </w:r>
        <w:r w:rsidR="0047323D">
          <w:rPr>
            <w:noProof/>
            <w:webHidden/>
          </w:rPr>
          <w:fldChar w:fldCharType="begin"/>
        </w:r>
        <w:r w:rsidR="0047323D">
          <w:rPr>
            <w:noProof/>
            <w:webHidden/>
          </w:rPr>
          <w:instrText xml:space="preserve"> PAGEREF _Toc143606974 \h </w:instrText>
        </w:r>
        <w:r w:rsidR="0047323D">
          <w:rPr>
            <w:noProof/>
            <w:webHidden/>
          </w:rPr>
        </w:r>
        <w:r w:rsidR="0047323D">
          <w:rPr>
            <w:noProof/>
            <w:webHidden/>
          </w:rPr>
          <w:fldChar w:fldCharType="separate"/>
        </w:r>
        <w:r>
          <w:rPr>
            <w:noProof/>
            <w:webHidden/>
          </w:rPr>
          <w:t>304</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5" w:history="1">
        <w:r w:rsidR="0047323D" w:rsidRPr="001F3A02">
          <w:rPr>
            <w:rStyle w:val="Hipercze"/>
            <w:noProof/>
          </w:rPr>
          <w:t>Tabela 18 Dochody gmin WrOF w latach 2017-2021 [zł]</w:t>
        </w:r>
        <w:r w:rsidR="0047323D">
          <w:rPr>
            <w:noProof/>
            <w:webHidden/>
          </w:rPr>
          <w:tab/>
        </w:r>
        <w:r w:rsidR="0047323D">
          <w:rPr>
            <w:noProof/>
            <w:webHidden/>
          </w:rPr>
          <w:fldChar w:fldCharType="begin"/>
        </w:r>
        <w:r w:rsidR="0047323D">
          <w:rPr>
            <w:noProof/>
            <w:webHidden/>
          </w:rPr>
          <w:instrText xml:space="preserve"> PAGEREF _Toc143606975 \h </w:instrText>
        </w:r>
        <w:r w:rsidR="0047323D">
          <w:rPr>
            <w:noProof/>
            <w:webHidden/>
          </w:rPr>
        </w:r>
        <w:r w:rsidR="0047323D">
          <w:rPr>
            <w:noProof/>
            <w:webHidden/>
          </w:rPr>
          <w:fldChar w:fldCharType="separate"/>
        </w:r>
        <w:r>
          <w:rPr>
            <w:noProof/>
            <w:webHidden/>
          </w:rPr>
          <w:t>316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6" w:history="1">
        <w:r w:rsidR="0047323D" w:rsidRPr="001F3A02">
          <w:rPr>
            <w:rStyle w:val="Hipercze"/>
            <w:noProof/>
          </w:rPr>
          <w:t>Tabela 19 Wydatki gmin WrOF w latach 2017-2021 [zł]</w:t>
        </w:r>
        <w:r w:rsidR="0047323D">
          <w:rPr>
            <w:noProof/>
            <w:webHidden/>
          </w:rPr>
          <w:tab/>
        </w:r>
        <w:r w:rsidR="0047323D">
          <w:rPr>
            <w:noProof/>
            <w:webHidden/>
          </w:rPr>
          <w:fldChar w:fldCharType="begin"/>
        </w:r>
        <w:r w:rsidR="0047323D">
          <w:rPr>
            <w:noProof/>
            <w:webHidden/>
          </w:rPr>
          <w:instrText xml:space="preserve"> PAGEREF _Toc143606976 \h </w:instrText>
        </w:r>
        <w:r w:rsidR="0047323D">
          <w:rPr>
            <w:noProof/>
            <w:webHidden/>
          </w:rPr>
        </w:r>
        <w:r w:rsidR="0047323D">
          <w:rPr>
            <w:noProof/>
            <w:webHidden/>
          </w:rPr>
          <w:fldChar w:fldCharType="separate"/>
        </w:r>
        <w:r>
          <w:rPr>
            <w:noProof/>
            <w:webHidden/>
          </w:rPr>
          <w:t>317</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7" w:history="1">
        <w:r w:rsidR="0047323D" w:rsidRPr="001F3A02">
          <w:rPr>
            <w:rStyle w:val="Hipercze"/>
            <w:noProof/>
          </w:rPr>
          <w:t>Tabela 20 Wynik budżetu gmin WrOF w latach 2017-2021 [zł]</w:t>
        </w:r>
        <w:r w:rsidR="0047323D">
          <w:rPr>
            <w:noProof/>
            <w:webHidden/>
          </w:rPr>
          <w:tab/>
        </w:r>
        <w:r w:rsidR="0047323D">
          <w:rPr>
            <w:noProof/>
            <w:webHidden/>
          </w:rPr>
          <w:fldChar w:fldCharType="begin"/>
        </w:r>
        <w:r w:rsidR="0047323D">
          <w:rPr>
            <w:noProof/>
            <w:webHidden/>
          </w:rPr>
          <w:instrText xml:space="preserve"> PAGEREF _Toc143606977 \h </w:instrText>
        </w:r>
        <w:r w:rsidR="0047323D">
          <w:rPr>
            <w:noProof/>
            <w:webHidden/>
          </w:rPr>
        </w:r>
        <w:r w:rsidR="0047323D">
          <w:rPr>
            <w:noProof/>
            <w:webHidden/>
          </w:rPr>
          <w:fldChar w:fldCharType="separate"/>
        </w:r>
        <w:r>
          <w:rPr>
            <w:noProof/>
            <w:webHidden/>
          </w:rPr>
          <w:t>318</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8" w:history="1">
        <w:r w:rsidR="0047323D" w:rsidRPr="001F3A02">
          <w:rPr>
            <w:rStyle w:val="Hipercze"/>
            <w:noProof/>
          </w:rPr>
          <w:t>Tabela 21 Wskaźnik samofinansowania w latach 2017 r. - 2021 r. we WrOF</w:t>
        </w:r>
        <w:r w:rsidR="0047323D">
          <w:rPr>
            <w:noProof/>
            <w:webHidden/>
          </w:rPr>
          <w:tab/>
        </w:r>
        <w:r w:rsidR="0047323D">
          <w:rPr>
            <w:noProof/>
            <w:webHidden/>
          </w:rPr>
          <w:fldChar w:fldCharType="begin"/>
        </w:r>
        <w:r w:rsidR="0047323D">
          <w:rPr>
            <w:noProof/>
            <w:webHidden/>
          </w:rPr>
          <w:instrText xml:space="preserve"> PAGEREF _Toc143606978 \h </w:instrText>
        </w:r>
        <w:r w:rsidR="0047323D">
          <w:rPr>
            <w:noProof/>
            <w:webHidden/>
          </w:rPr>
        </w:r>
        <w:r w:rsidR="0047323D">
          <w:rPr>
            <w:noProof/>
            <w:webHidden/>
          </w:rPr>
          <w:fldChar w:fldCharType="separate"/>
        </w:r>
        <w:r>
          <w:rPr>
            <w:noProof/>
            <w:webHidden/>
          </w:rPr>
          <w:t>320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79" w:history="1">
        <w:r w:rsidR="0047323D" w:rsidRPr="001F3A02">
          <w:rPr>
            <w:rStyle w:val="Hipercze"/>
            <w:noProof/>
          </w:rPr>
          <w:t>Tabela 22 Prognoza planowanego zadłużenia poszczególnych JST na lata 2022 - 2026</w:t>
        </w:r>
        <w:r w:rsidR="0047323D">
          <w:rPr>
            <w:noProof/>
            <w:webHidden/>
          </w:rPr>
          <w:tab/>
        </w:r>
        <w:r w:rsidR="0047323D">
          <w:rPr>
            <w:noProof/>
            <w:webHidden/>
          </w:rPr>
          <w:fldChar w:fldCharType="begin"/>
        </w:r>
        <w:r w:rsidR="0047323D">
          <w:rPr>
            <w:noProof/>
            <w:webHidden/>
          </w:rPr>
          <w:instrText xml:space="preserve"> PAGEREF _Toc143606979 \h </w:instrText>
        </w:r>
        <w:r w:rsidR="0047323D">
          <w:rPr>
            <w:noProof/>
            <w:webHidden/>
          </w:rPr>
        </w:r>
        <w:r w:rsidR="0047323D">
          <w:rPr>
            <w:noProof/>
            <w:webHidden/>
          </w:rPr>
          <w:fldChar w:fldCharType="separate"/>
        </w:r>
        <w:r>
          <w:rPr>
            <w:noProof/>
            <w:webHidden/>
          </w:rPr>
          <w:t>321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0" w:history="1">
        <w:r w:rsidR="0047323D" w:rsidRPr="001F3A02">
          <w:rPr>
            <w:rStyle w:val="Hipercze"/>
            <w:noProof/>
          </w:rPr>
          <w:t>Tabela 23 Prognoza wyniku budżetu poszczególnych gmin WrOF na lata 2022-2026</w:t>
        </w:r>
        <w:r w:rsidR="0047323D">
          <w:rPr>
            <w:noProof/>
            <w:webHidden/>
          </w:rPr>
          <w:tab/>
        </w:r>
        <w:r w:rsidR="0047323D">
          <w:rPr>
            <w:noProof/>
            <w:webHidden/>
          </w:rPr>
          <w:fldChar w:fldCharType="begin"/>
        </w:r>
        <w:r w:rsidR="0047323D">
          <w:rPr>
            <w:noProof/>
            <w:webHidden/>
          </w:rPr>
          <w:instrText xml:space="preserve"> PAGEREF _Toc143606980 \h </w:instrText>
        </w:r>
        <w:r w:rsidR="0047323D">
          <w:rPr>
            <w:noProof/>
            <w:webHidden/>
          </w:rPr>
        </w:r>
        <w:r w:rsidR="0047323D">
          <w:rPr>
            <w:noProof/>
            <w:webHidden/>
          </w:rPr>
          <w:fldChar w:fldCharType="separate"/>
        </w:r>
        <w:r>
          <w:rPr>
            <w:noProof/>
            <w:webHidden/>
          </w:rPr>
          <w:t>323</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1" w:history="1">
        <w:r w:rsidR="0047323D" w:rsidRPr="001F3A02">
          <w:rPr>
            <w:rStyle w:val="Hipercze"/>
            <w:noProof/>
          </w:rPr>
          <w:t>Tabela 24 Otrzymane dotacje w latach 2017-2021 r. w podziale na projekty finansowane ze środków unijnych oraz projekty finansowane z innych źródeł</w:t>
        </w:r>
        <w:r w:rsidR="0047323D">
          <w:rPr>
            <w:noProof/>
            <w:webHidden/>
          </w:rPr>
          <w:tab/>
        </w:r>
        <w:r w:rsidR="0047323D">
          <w:rPr>
            <w:noProof/>
            <w:webHidden/>
          </w:rPr>
          <w:fldChar w:fldCharType="begin"/>
        </w:r>
        <w:r w:rsidR="0047323D">
          <w:rPr>
            <w:noProof/>
            <w:webHidden/>
          </w:rPr>
          <w:instrText xml:space="preserve"> PAGEREF _Toc143606981 \h </w:instrText>
        </w:r>
        <w:r w:rsidR="0047323D">
          <w:rPr>
            <w:noProof/>
            <w:webHidden/>
          </w:rPr>
        </w:r>
        <w:r w:rsidR="0047323D">
          <w:rPr>
            <w:noProof/>
            <w:webHidden/>
          </w:rPr>
          <w:fldChar w:fldCharType="separate"/>
        </w:r>
        <w:r>
          <w:rPr>
            <w:noProof/>
            <w:webHidden/>
          </w:rPr>
          <w:t>324</w:t>
        </w:r>
        <w:r w:rsidR="0047323D">
          <w:rPr>
            <w:noProof/>
            <w:webHidden/>
          </w:rPr>
          <w:fldChar w:fldCharType="end"/>
        </w:r>
      </w:hyperlink>
    </w:p>
    <w:p w:rsidR="00A71A1F" w:rsidRPr="00750A76" w:rsidRDefault="00C73793" w:rsidP="00A71A1F">
      <w:pPr>
        <w:rPr>
          <w:rFonts w:ascii="Calibri" w:eastAsia="Calibri" w:hAnsi="Calibri" w:cs="Times New Roman"/>
          <w:i/>
          <w:sz w:val="2"/>
        </w:rPr>
      </w:pPr>
      <w:r>
        <w:rPr>
          <w:rFonts w:ascii="Calibri" w:eastAsia="Calibri" w:hAnsi="Calibri" w:cs="Times New Roman"/>
          <w:i/>
          <w:sz w:val="18"/>
        </w:rPr>
        <w:fldChar w:fldCharType="end"/>
      </w:r>
    </w:p>
    <w:p w:rsidR="0047323D" w:rsidRDefault="00C73793">
      <w:pPr>
        <w:pStyle w:val="Spisilustracji"/>
        <w:tabs>
          <w:tab w:val="right" w:leader="dot" w:pos="9062"/>
        </w:tabs>
        <w:rPr>
          <w:rFonts w:asciiTheme="minorHAnsi" w:eastAsiaTheme="minorEastAsia" w:hAnsiTheme="minorHAnsi" w:cstheme="minorBidi"/>
          <w:i w:val="0"/>
          <w:noProof/>
          <w:lang w:eastAsia="pl-PL"/>
        </w:rPr>
      </w:pPr>
      <w:r>
        <w:fldChar w:fldCharType="begin"/>
      </w:r>
      <w:r w:rsidR="00707387">
        <w:instrText xml:space="preserve"> TOC \h \z \c "Wykres" </w:instrText>
      </w:r>
      <w:r>
        <w:fldChar w:fldCharType="separate"/>
      </w:r>
      <w:hyperlink w:anchor="_Toc143606982" w:history="1">
        <w:r w:rsidR="0047323D" w:rsidRPr="009A2246">
          <w:rPr>
            <w:rStyle w:val="Hipercze"/>
            <w:noProof/>
          </w:rPr>
          <w:t>Wykres 1 Odpady zebrane w ciągu roku [t] na terenie WrOF w latach 2017-2021</w:t>
        </w:r>
        <w:r w:rsidR="0047323D">
          <w:rPr>
            <w:noProof/>
            <w:webHidden/>
          </w:rPr>
          <w:tab/>
        </w:r>
        <w:r w:rsidR="0047323D">
          <w:rPr>
            <w:noProof/>
            <w:webHidden/>
          </w:rPr>
          <w:fldChar w:fldCharType="begin"/>
        </w:r>
        <w:r w:rsidR="0047323D">
          <w:rPr>
            <w:noProof/>
            <w:webHidden/>
          </w:rPr>
          <w:instrText xml:space="preserve"> PAGEREF _Toc143606982 \h </w:instrText>
        </w:r>
        <w:r w:rsidR="0047323D">
          <w:rPr>
            <w:noProof/>
            <w:webHidden/>
          </w:rPr>
        </w:r>
        <w:r w:rsidR="0047323D">
          <w:rPr>
            <w:noProof/>
            <w:webHidden/>
          </w:rPr>
          <w:fldChar w:fldCharType="separate"/>
        </w:r>
        <w:r w:rsidR="00C96A96">
          <w:rPr>
            <w:noProof/>
            <w:webHidden/>
          </w:rPr>
          <w:t>80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3" w:history="1">
        <w:r w:rsidR="0047323D" w:rsidRPr="009A2246">
          <w:rPr>
            <w:rStyle w:val="Hipercze"/>
            <w:noProof/>
          </w:rPr>
          <w:t>Wykres 2 Masa wytworzonych odpadów komunalnych przez jednego mieszkańca w  gminach WrOF w 2021 r.</w:t>
        </w:r>
        <w:r w:rsidR="0047323D">
          <w:rPr>
            <w:noProof/>
            <w:webHidden/>
          </w:rPr>
          <w:tab/>
        </w:r>
        <w:r w:rsidR="0047323D">
          <w:rPr>
            <w:noProof/>
            <w:webHidden/>
          </w:rPr>
          <w:fldChar w:fldCharType="begin"/>
        </w:r>
        <w:r w:rsidR="0047323D">
          <w:rPr>
            <w:noProof/>
            <w:webHidden/>
          </w:rPr>
          <w:instrText xml:space="preserve"> PAGEREF _Toc143606983 \h </w:instrText>
        </w:r>
        <w:r w:rsidR="0047323D">
          <w:rPr>
            <w:noProof/>
            <w:webHidden/>
          </w:rPr>
        </w:r>
        <w:r w:rsidR="0047323D">
          <w:rPr>
            <w:noProof/>
            <w:webHidden/>
          </w:rPr>
          <w:fldChar w:fldCharType="separate"/>
        </w:r>
        <w:r>
          <w:rPr>
            <w:noProof/>
            <w:webHidden/>
          </w:rPr>
          <w:t>81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4" w:history="1">
        <w:r w:rsidR="0047323D" w:rsidRPr="009A2246">
          <w:rPr>
            <w:rStyle w:val="Hipercze"/>
            <w:rFonts w:cstheme="minorHAnsi"/>
            <w:noProof/>
          </w:rPr>
          <w:t>Wykres 3 Liczba ćwiczących do lat 18w latach 2010, 2012, 2014, 2016 i 2018 we WrOF</w:t>
        </w:r>
        <w:r w:rsidR="0047323D">
          <w:rPr>
            <w:noProof/>
            <w:webHidden/>
          </w:rPr>
          <w:tab/>
        </w:r>
        <w:r w:rsidR="0047323D">
          <w:rPr>
            <w:noProof/>
            <w:webHidden/>
          </w:rPr>
          <w:fldChar w:fldCharType="begin"/>
        </w:r>
        <w:r w:rsidR="0047323D">
          <w:rPr>
            <w:noProof/>
            <w:webHidden/>
          </w:rPr>
          <w:instrText xml:space="preserve"> PAGEREF _Toc143606984 \h </w:instrText>
        </w:r>
        <w:r w:rsidR="0047323D">
          <w:rPr>
            <w:noProof/>
            <w:webHidden/>
          </w:rPr>
        </w:r>
        <w:r w:rsidR="0047323D">
          <w:rPr>
            <w:noProof/>
            <w:webHidden/>
          </w:rPr>
          <w:fldChar w:fldCharType="separate"/>
        </w:r>
        <w:r>
          <w:rPr>
            <w:noProof/>
            <w:webHidden/>
          </w:rPr>
          <w:t>89</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5" w:history="1">
        <w:r w:rsidR="0047323D" w:rsidRPr="009A2246">
          <w:rPr>
            <w:rStyle w:val="Hipercze"/>
            <w:noProof/>
          </w:rPr>
          <w:t>Wykres 4 Ocena dostępności lekarzy rodzinnych i specjalistów na obszarze WrOF</w:t>
        </w:r>
        <w:r w:rsidR="0047323D">
          <w:rPr>
            <w:noProof/>
            <w:webHidden/>
          </w:rPr>
          <w:tab/>
        </w:r>
        <w:r w:rsidR="0047323D">
          <w:rPr>
            <w:noProof/>
            <w:webHidden/>
          </w:rPr>
          <w:fldChar w:fldCharType="begin"/>
        </w:r>
        <w:r w:rsidR="0047323D">
          <w:rPr>
            <w:noProof/>
            <w:webHidden/>
          </w:rPr>
          <w:instrText xml:space="preserve"> PAGEREF _Toc143606985 \h </w:instrText>
        </w:r>
        <w:r w:rsidR="0047323D">
          <w:rPr>
            <w:noProof/>
            <w:webHidden/>
          </w:rPr>
        </w:r>
        <w:r w:rsidR="0047323D">
          <w:rPr>
            <w:noProof/>
            <w:webHidden/>
          </w:rPr>
          <w:fldChar w:fldCharType="separate"/>
        </w:r>
        <w:r>
          <w:rPr>
            <w:noProof/>
            <w:webHidden/>
          </w:rPr>
          <w:t>106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6" w:history="1">
        <w:r w:rsidR="0047323D" w:rsidRPr="009A2246">
          <w:rPr>
            <w:rStyle w:val="Hipercze"/>
            <w:noProof/>
          </w:rPr>
          <w:t>Wykres 5 Ocena dostępność żłobków i przedszkoli na obszarze WrOF</w:t>
        </w:r>
        <w:r w:rsidR="0047323D">
          <w:rPr>
            <w:noProof/>
            <w:webHidden/>
          </w:rPr>
          <w:tab/>
        </w:r>
        <w:r w:rsidR="0047323D">
          <w:rPr>
            <w:noProof/>
            <w:webHidden/>
          </w:rPr>
          <w:fldChar w:fldCharType="begin"/>
        </w:r>
        <w:r w:rsidR="0047323D">
          <w:rPr>
            <w:noProof/>
            <w:webHidden/>
          </w:rPr>
          <w:instrText xml:space="preserve"> PAGEREF _Toc143606986 \h </w:instrText>
        </w:r>
        <w:r w:rsidR="0047323D">
          <w:rPr>
            <w:noProof/>
            <w:webHidden/>
          </w:rPr>
        </w:r>
        <w:r w:rsidR="0047323D">
          <w:rPr>
            <w:noProof/>
            <w:webHidden/>
          </w:rPr>
          <w:fldChar w:fldCharType="separate"/>
        </w:r>
        <w:r>
          <w:rPr>
            <w:noProof/>
            <w:webHidden/>
          </w:rPr>
          <w:t>108</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7" w:history="1">
        <w:r w:rsidR="0047323D" w:rsidRPr="009A2246">
          <w:rPr>
            <w:rStyle w:val="Hipercze"/>
            <w:noProof/>
          </w:rPr>
          <w:t>Wykres 6 Liczba organizacji pozarządowych w funkcjonujących w latach 2017-2021 we WrOF</w:t>
        </w:r>
        <w:r w:rsidR="0047323D">
          <w:rPr>
            <w:noProof/>
            <w:webHidden/>
          </w:rPr>
          <w:tab/>
        </w:r>
        <w:r w:rsidR="0047323D">
          <w:rPr>
            <w:noProof/>
            <w:webHidden/>
          </w:rPr>
          <w:fldChar w:fldCharType="begin"/>
        </w:r>
        <w:r w:rsidR="0047323D">
          <w:rPr>
            <w:noProof/>
            <w:webHidden/>
          </w:rPr>
          <w:instrText xml:space="preserve"> PAGEREF _Toc143606987 \h </w:instrText>
        </w:r>
        <w:r w:rsidR="0047323D">
          <w:rPr>
            <w:noProof/>
            <w:webHidden/>
          </w:rPr>
        </w:r>
        <w:r w:rsidR="0047323D">
          <w:rPr>
            <w:noProof/>
            <w:webHidden/>
          </w:rPr>
          <w:fldChar w:fldCharType="separate"/>
        </w:r>
        <w:r>
          <w:rPr>
            <w:noProof/>
            <w:webHidden/>
          </w:rPr>
          <w:t>120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8" w:history="1">
        <w:r w:rsidR="0047323D" w:rsidRPr="009A2246">
          <w:rPr>
            <w:rStyle w:val="Hipercze"/>
            <w:noProof/>
          </w:rPr>
          <w:t>Wykres 7 Dochody i wydatki ogółem gmin tworzących Wrocławski Obszar Funkcjonalny w latach 2017-2021 [zł]</w:t>
        </w:r>
        <w:r w:rsidR="0047323D">
          <w:rPr>
            <w:noProof/>
            <w:webHidden/>
          </w:rPr>
          <w:tab/>
        </w:r>
        <w:r w:rsidR="0047323D">
          <w:rPr>
            <w:noProof/>
            <w:webHidden/>
          </w:rPr>
          <w:fldChar w:fldCharType="begin"/>
        </w:r>
        <w:r w:rsidR="0047323D">
          <w:rPr>
            <w:noProof/>
            <w:webHidden/>
          </w:rPr>
          <w:instrText xml:space="preserve"> PAGEREF _Toc143606988 \h </w:instrText>
        </w:r>
        <w:r w:rsidR="0047323D">
          <w:rPr>
            <w:noProof/>
            <w:webHidden/>
          </w:rPr>
        </w:r>
        <w:r w:rsidR="0047323D">
          <w:rPr>
            <w:noProof/>
            <w:webHidden/>
          </w:rPr>
          <w:fldChar w:fldCharType="separate"/>
        </w:r>
        <w:r>
          <w:rPr>
            <w:noProof/>
            <w:webHidden/>
          </w:rPr>
          <w:t>123</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89" w:history="1">
        <w:r w:rsidR="0047323D" w:rsidRPr="009A2246">
          <w:rPr>
            <w:rStyle w:val="Hipercze"/>
            <w:noProof/>
          </w:rPr>
          <w:t>Wykres 8 Źródła dochodów własnych w 2017 i 2021 roku we WrOF</w:t>
        </w:r>
        <w:r w:rsidR="0047323D">
          <w:rPr>
            <w:noProof/>
            <w:webHidden/>
          </w:rPr>
          <w:tab/>
        </w:r>
        <w:r w:rsidR="0047323D">
          <w:rPr>
            <w:noProof/>
            <w:webHidden/>
          </w:rPr>
          <w:fldChar w:fldCharType="begin"/>
        </w:r>
        <w:r w:rsidR="0047323D">
          <w:rPr>
            <w:noProof/>
            <w:webHidden/>
          </w:rPr>
          <w:instrText xml:space="preserve"> PAGEREF _Toc143606989 \h </w:instrText>
        </w:r>
        <w:r w:rsidR="0047323D">
          <w:rPr>
            <w:noProof/>
            <w:webHidden/>
          </w:rPr>
        </w:r>
        <w:r w:rsidR="0047323D">
          <w:rPr>
            <w:noProof/>
            <w:webHidden/>
          </w:rPr>
          <w:fldChar w:fldCharType="separate"/>
        </w:r>
        <w:r>
          <w:rPr>
            <w:noProof/>
            <w:webHidden/>
          </w:rPr>
          <w:t>125</w:t>
        </w:r>
        <w:r w:rsidR="0047323D">
          <w:rPr>
            <w:noProof/>
            <w:webHidden/>
          </w:rPr>
          <w:fldChar w:fldCharType="end"/>
        </w:r>
      </w:hyperlink>
    </w:p>
    <w:p w:rsidR="00750A76" w:rsidRPr="00750A76" w:rsidRDefault="00C73793" w:rsidP="00750A76">
      <w:pPr>
        <w:rPr>
          <w:sz w:val="2"/>
        </w:rPr>
      </w:pPr>
      <w:r>
        <w:fldChar w:fldCharType="end"/>
      </w:r>
    </w:p>
    <w:p w:rsidR="0047323D" w:rsidRDefault="00C73793">
      <w:pPr>
        <w:pStyle w:val="Spisilustracji"/>
        <w:tabs>
          <w:tab w:val="right" w:leader="dot" w:pos="9062"/>
        </w:tabs>
        <w:rPr>
          <w:rFonts w:asciiTheme="minorHAnsi" w:eastAsiaTheme="minorEastAsia" w:hAnsiTheme="minorHAnsi" w:cstheme="minorBidi"/>
          <w:i w:val="0"/>
          <w:noProof/>
          <w:lang w:eastAsia="pl-PL"/>
        </w:rPr>
      </w:pPr>
      <w:r>
        <w:fldChar w:fldCharType="begin"/>
      </w:r>
      <w:r w:rsidR="00750A76">
        <w:instrText xml:space="preserve"> TOC \h \z \c "Mapa" </w:instrText>
      </w:r>
      <w:r>
        <w:fldChar w:fldCharType="separate"/>
      </w:r>
      <w:hyperlink w:anchor="_Toc143606990" w:history="1">
        <w:r w:rsidR="0047323D" w:rsidRPr="00D30013">
          <w:rPr>
            <w:rStyle w:val="Hipercze"/>
            <w:noProof/>
          </w:rPr>
          <w:t>Mapa 1 Struktura i położenie Wrocławskiego Obszaru Funkcjonalnego</w:t>
        </w:r>
        <w:r w:rsidR="0047323D">
          <w:rPr>
            <w:noProof/>
            <w:webHidden/>
          </w:rPr>
          <w:tab/>
        </w:r>
        <w:r w:rsidR="0047323D">
          <w:rPr>
            <w:noProof/>
            <w:webHidden/>
          </w:rPr>
          <w:fldChar w:fldCharType="begin"/>
        </w:r>
        <w:r w:rsidR="0047323D">
          <w:rPr>
            <w:noProof/>
            <w:webHidden/>
          </w:rPr>
          <w:instrText xml:space="preserve"> PAGEREF _Toc143606990 \h </w:instrText>
        </w:r>
        <w:r w:rsidR="0047323D">
          <w:rPr>
            <w:noProof/>
            <w:webHidden/>
          </w:rPr>
        </w:r>
        <w:r w:rsidR="0047323D">
          <w:rPr>
            <w:noProof/>
            <w:webHidden/>
          </w:rPr>
          <w:fldChar w:fldCharType="separate"/>
        </w:r>
        <w:r w:rsidR="00C96A96">
          <w:rPr>
            <w:noProof/>
            <w:webHidden/>
          </w:rPr>
          <w:t>9</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1" w:history="1">
        <w:r w:rsidR="0047323D" w:rsidRPr="00D30013">
          <w:rPr>
            <w:rStyle w:val="Hipercze"/>
            <w:noProof/>
          </w:rPr>
          <w:t>Mapa 2 Położenie WrOF względem innych ośrodków w wojewódzkie dolnośląskim</w:t>
        </w:r>
        <w:r w:rsidR="0047323D">
          <w:rPr>
            <w:noProof/>
            <w:webHidden/>
          </w:rPr>
          <w:tab/>
        </w:r>
        <w:r w:rsidR="0047323D">
          <w:rPr>
            <w:noProof/>
            <w:webHidden/>
          </w:rPr>
          <w:fldChar w:fldCharType="begin"/>
        </w:r>
        <w:r w:rsidR="0047323D">
          <w:rPr>
            <w:noProof/>
            <w:webHidden/>
          </w:rPr>
          <w:instrText xml:space="preserve"> PAGEREF _Toc143606991 \h </w:instrText>
        </w:r>
        <w:r w:rsidR="0047323D">
          <w:rPr>
            <w:noProof/>
            <w:webHidden/>
          </w:rPr>
        </w:r>
        <w:r w:rsidR="0047323D">
          <w:rPr>
            <w:noProof/>
            <w:webHidden/>
          </w:rPr>
          <w:fldChar w:fldCharType="separate"/>
        </w:r>
        <w:r>
          <w:rPr>
            <w:noProof/>
            <w:webHidden/>
          </w:rPr>
          <w:t>17</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2" w:history="1">
        <w:r w:rsidR="0047323D" w:rsidRPr="00D30013">
          <w:rPr>
            <w:rStyle w:val="Hipercze"/>
            <w:noProof/>
          </w:rPr>
          <w:t>Mapa 3 Struktura i położenie Wrocławskiego Obszaru Funkcjonalnego</w:t>
        </w:r>
        <w:r w:rsidR="0047323D">
          <w:rPr>
            <w:noProof/>
            <w:webHidden/>
          </w:rPr>
          <w:tab/>
        </w:r>
        <w:r w:rsidR="0047323D">
          <w:rPr>
            <w:noProof/>
            <w:webHidden/>
          </w:rPr>
          <w:fldChar w:fldCharType="begin"/>
        </w:r>
        <w:r w:rsidR="0047323D">
          <w:rPr>
            <w:noProof/>
            <w:webHidden/>
          </w:rPr>
          <w:instrText xml:space="preserve"> PAGEREF _Toc143606992 \h </w:instrText>
        </w:r>
        <w:r w:rsidR="0047323D">
          <w:rPr>
            <w:noProof/>
            <w:webHidden/>
          </w:rPr>
        </w:r>
        <w:r w:rsidR="0047323D">
          <w:rPr>
            <w:noProof/>
            <w:webHidden/>
          </w:rPr>
          <w:fldChar w:fldCharType="separate"/>
        </w:r>
        <w:r>
          <w:rPr>
            <w:noProof/>
            <w:webHidden/>
          </w:rPr>
          <w:t>18</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3" w:history="1">
        <w:r w:rsidR="0047323D" w:rsidRPr="00D30013">
          <w:rPr>
            <w:rStyle w:val="Hipercze"/>
            <w:noProof/>
          </w:rPr>
          <w:t>Mapa 4 Wewnętrzna i zewnętrzna dostępność komunikacyjna oraz planowane inwestycje celu publicznego</w:t>
        </w:r>
        <w:r w:rsidR="0047323D">
          <w:rPr>
            <w:noProof/>
            <w:webHidden/>
          </w:rPr>
          <w:tab/>
        </w:r>
        <w:r w:rsidR="0047323D">
          <w:rPr>
            <w:noProof/>
            <w:webHidden/>
          </w:rPr>
          <w:fldChar w:fldCharType="begin"/>
        </w:r>
        <w:r w:rsidR="0047323D">
          <w:rPr>
            <w:noProof/>
            <w:webHidden/>
          </w:rPr>
          <w:instrText xml:space="preserve"> PAGEREF _Toc143606993 \h </w:instrText>
        </w:r>
        <w:r w:rsidR="0047323D">
          <w:rPr>
            <w:noProof/>
            <w:webHidden/>
          </w:rPr>
        </w:r>
        <w:r w:rsidR="0047323D">
          <w:rPr>
            <w:noProof/>
            <w:webHidden/>
          </w:rPr>
          <w:fldChar w:fldCharType="separate"/>
        </w:r>
        <w:r>
          <w:rPr>
            <w:noProof/>
            <w:webHidden/>
          </w:rPr>
          <w:t>21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4" w:history="1">
        <w:r w:rsidR="0047323D" w:rsidRPr="00D30013">
          <w:rPr>
            <w:rStyle w:val="Hipercze"/>
            <w:noProof/>
          </w:rPr>
          <w:t>Mapa 5 Postulowane w Planie zagospodarowania przestrzennego woj. dolnośląskiego inwestycje komunikacyjne</w:t>
        </w:r>
        <w:r w:rsidR="0047323D">
          <w:rPr>
            <w:noProof/>
            <w:webHidden/>
          </w:rPr>
          <w:tab/>
        </w:r>
        <w:r w:rsidR="0047323D">
          <w:rPr>
            <w:noProof/>
            <w:webHidden/>
          </w:rPr>
          <w:fldChar w:fldCharType="begin"/>
        </w:r>
        <w:r w:rsidR="0047323D">
          <w:rPr>
            <w:noProof/>
            <w:webHidden/>
          </w:rPr>
          <w:instrText xml:space="preserve"> PAGEREF _Toc143606994 \h </w:instrText>
        </w:r>
        <w:r w:rsidR="0047323D">
          <w:rPr>
            <w:noProof/>
            <w:webHidden/>
          </w:rPr>
        </w:r>
        <w:r w:rsidR="0047323D">
          <w:rPr>
            <w:noProof/>
            <w:webHidden/>
          </w:rPr>
          <w:fldChar w:fldCharType="separate"/>
        </w:r>
        <w:r>
          <w:rPr>
            <w:noProof/>
            <w:webHidden/>
          </w:rPr>
          <w:t>23</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5" w:history="1">
        <w:r w:rsidR="0047323D" w:rsidRPr="00D30013">
          <w:rPr>
            <w:rStyle w:val="Hipercze"/>
            <w:noProof/>
          </w:rPr>
          <w:t>Mapa 6 Obszary chronione na terenie WrOF</w:t>
        </w:r>
        <w:r w:rsidR="0047323D">
          <w:rPr>
            <w:noProof/>
            <w:webHidden/>
          </w:rPr>
          <w:tab/>
        </w:r>
        <w:r w:rsidR="0047323D">
          <w:rPr>
            <w:noProof/>
            <w:webHidden/>
          </w:rPr>
          <w:fldChar w:fldCharType="begin"/>
        </w:r>
        <w:r w:rsidR="0047323D">
          <w:rPr>
            <w:noProof/>
            <w:webHidden/>
          </w:rPr>
          <w:instrText xml:space="preserve"> PAGEREF _Toc143606995 \h </w:instrText>
        </w:r>
        <w:r w:rsidR="0047323D">
          <w:rPr>
            <w:noProof/>
            <w:webHidden/>
          </w:rPr>
        </w:r>
        <w:r w:rsidR="0047323D">
          <w:rPr>
            <w:noProof/>
            <w:webHidden/>
          </w:rPr>
          <w:fldChar w:fldCharType="separate"/>
        </w:r>
        <w:r>
          <w:rPr>
            <w:noProof/>
            <w:webHidden/>
          </w:rPr>
          <w:t>50</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6" w:history="1">
        <w:r w:rsidR="0047323D" w:rsidRPr="00D30013">
          <w:rPr>
            <w:rStyle w:val="Hipercze"/>
            <w:noProof/>
          </w:rPr>
          <w:t>Mapa 7 Lesistość gmin WrOF w 2021 r.</w:t>
        </w:r>
        <w:r w:rsidR="0047323D">
          <w:rPr>
            <w:noProof/>
            <w:webHidden/>
          </w:rPr>
          <w:tab/>
        </w:r>
        <w:r w:rsidR="0047323D">
          <w:rPr>
            <w:noProof/>
            <w:webHidden/>
          </w:rPr>
          <w:fldChar w:fldCharType="begin"/>
        </w:r>
        <w:r w:rsidR="0047323D">
          <w:rPr>
            <w:noProof/>
            <w:webHidden/>
          </w:rPr>
          <w:instrText xml:space="preserve"> PAGEREF _Toc143606996 \h </w:instrText>
        </w:r>
        <w:r w:rsidR="0047323D">
          <w:rPr>
            <w:noProof/>
            <w:webHidden/>
          </w:rPr>
        </w:r>
        <w:r w:rsidR="0047323D">
          <w:rPr>
            <w:noProof/>
            <w:webHidden/>
          </w:rPr>
          <w:fldChar w:fldCharType="separate"/>
        </w:r>
        <w:r>
          <w:rPr>
            <w:noProof/>
            <w:webHidden/>
          </w:rPr>
          <w:t>59</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7" w:history="1">
        <w:r w:rsidR="0047323D" w:rsidRPr="00D30013">
          <w:rPr>
            <w:rStyle w:val="Hipercze"/>
            <w:noProof/>
          </w:rPr>
          <w:t>Mapa 8 Kompleksy leśne w gminach WrOF</w:t>
        </w:r>
        <w:r w:rsidR="0047323D">
          <w:rPr>
            <w:noProof/>
            <w:webHidden/>
          </w:rPr>
          <w:tab/>
        </w:r>
        <w:r w:rsidR="0047323D">
          <w:rPr>
            <w:noProof/>
            <w:webHidden/>
          </w:rPr>
          <w:fldChar w:fldCharType="begin"/>
        </w:r>
        <w:r w:rsidR="0047323D">
          <w:rPr>
            <w:noProof/>
            <w:webHidden/>
          </w:rPr>
          <w:instrText xml:space="preserve"> PAGEREF _Toc143606997 \h </w:instrText>
        </w:r>
        <w:r w:rsidR="0047323D">
          <w:rPr>
            <w:noProof/>
            <w:webHidden/>
          </w:rPr>
        </w:r>
        <w:r w:rsidR="0047323D">
          <w:rPr>
            <w:noProof/>
            <w:webHidden/>
          </w:rPr>
          <w:fldChar w:fldCharType="separate"/>
        </w:r>
        <w:r>
          <w:rPr>
            <w:noProof/>
            <w:webHidden/>
          </w:rPr>
          <w:t>61</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8" w:history="1">
        <w:r w:rsidR="0047323D" w:rsidRPr="00D30013">
          <w:rPr>
            <w:rStyle w:val="Hipercze"/>
            <w:noProof/>
          </w:rPr>
          <w:t>Mapa 9 Udział ludności korzystającej z sieci wodociągowej w 2020 r. wraz z dynamiką zmian w latach 2017-2020 [%]</w:t>
        </w:r>
        <w:r w:rsidR="0047323D">
          <w:rPr>
            <w:noProof/>
            <w:webHidden/>
          </w:rPr>
          <w:tab/>
        </w:r>
        <w:r w:rsidR="0047323D">
          <w:rPr>
            <w:noProof/>
            <w:webHidden/>
          </w:rPr>
          <w:fldChar w:fldCharType="begin"/>
        </w:r>
        <w:r w:rsidR="0047323D">
          <w:rPr>
            <w:noProof/>
            <w:webHidden/>
          </w:rPr>
          <w:instrText xml:space="preserve"> PAGEREF _Toc143606998 \h </w:instrText>
        </w:r>
        <w:r w:rsidR="0047323D">
          <w:rPr>
            <w:noProof/>
            <w:webHidden/>
          </w:rPr>
        </w:r>
        <w:r w:rsidR="0047323D">
          <w:rPr>
            <w:noProof/>
            <w:webHidden/>
          </w:rPr>
          <w:fldChar w:fldCharType="separate"/>
        </w:r>
        <w:r>
          <w:rPr>
            <w:noProof/>
            <w:webHidden/>
          </w:rPr>
          <w:t>62</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6999" w:history="1">
        <w:r w:rsidR="0047323D" w:rsidRPr="00D30013">
          <w:rPr>
            <w:rStyle w:val="Hipercze"/>
            <w:noProof/>
          </w:rPr>
          <w:t>Mapa 10 Długość sieci wodociągowej rozdzielczej na 100 km</w:t>
        </w:r>
        <w:r w:rsidR="0047323D" w:rsidRPr="00D30013">
          <w:rPr>
            <w:rStyle w:val="Hipercze"/>
            <w:noProof/>
            <w:vertAlign w:val="superscript"/>
          </w:rPr>
          <w:t xml:space="preserve">2 </w:t>
        </w:r>
        <w:r w:rsidR="0047323D" w:rsidRPr="00D30013">
          <w:rPr>
            <w:rStyle w:val="Hipercze"/>
            <w:noProof/>
          </w:rPr>
          <w:t>w 2021 r. wraz z dynamiką zmian w latach 2017-2021</w:t>
        </w:r>
        <w:r w:rsidR="0047323D">
          <w:rPr>
            <w:noProof/>
            <w:webHidden/>
          </w:rPr>
          <w:tab/>
        </w:r>
        <w:r w:rsidR="0047323D">
          <w:rPr>
            <w:noProof/>
            <w:webHidden/>
          </w:rPr>
          <w:fldChar w:fldCharType="begin"/>
        </w:r>
        <w:r w:rsidR="0047323D">
          <w:rPr>
            <w:noProof/>
            <w:webHidden/>
          </w:rPr>
          <w:instrText xml:space="preserve"> PAGEREF _Toc143606999 \h </w:instrText>
        </w:r>
        <w:r w:rsidR="0047323D">
          <w:rPr>
            <w:noProof/>
            <w:webHidden/>
          </w:rPr>
        </w:r>
        <w:r w:rsidR="0047323D">
          <w:rPr>
            <w:noProof/>
            <w:webHidden/>
          </w:rPr>
          <w:fldChar w:fldCharType="separate"/>
        </w:r>
        <w:r>
          <w:rPr>
            <w:noProof/>
            <w:webHidden/>
          </w:rPr>
          <w:t>63</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7000" w:history="1">
        <w:r w:rsidR="0047323D" w:rsidRPr="00D30013">
          <w:rPr>
            <w:rStyle w:val="Hipercze"/>
            <w:noProof/>
          </w:rPr>
          <w:t>Mapa 11 Ujęcia wód podziemnych i powierzchniowych na terenie WrOF.</w:t>
        </w:r>
        <w:r w:rsidR="0047323D">
          <w:rPr>
            <w:noProof/>
            <w:webHidden/>
          </w:rPr>
          <w:tab/>
        </w:r>
        <w:r w:rsidR="0047323D">
          <w:rPr>
            <w:noProof/>
            <w:webHidden/>
          </w:rPr>
          <w:fldChar w:fldCharType="begin"/>
        </w:r>
        <w:r w:rsidR="0047323D">
          <w:rPr>
            <w:noProof/>
            <w:webHidden/>
          </w:rPr>
          <w:instrText xml:space="preserve"> PAGEREF _Toc143607000 \h </w:instrText>
        </w:r>
        <w:r w:rsidR="0047323D">
          <w:rPr>
            <w:noProof/>
            <w:webHidden/>
          </w:rPr>
        </w:r>
        <w:r w:rsidR="0047323D">
          <w:rPr>
            <w:noProof/>
            <w:webHidden/>
          </w:rPr>
          <w:fldChar w:fldCharType="separate"/>
        </w:r>
        <w:r>
          <w:rPr>
            <w:noProof/>
            <w:webHidden/>
          </w:rPr>
          <w:t>64</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7001" w:history="1">
        <w:r w:rsidR="0047323D" w:rsidRPr="00D30013">
          <w:rPr>
            <w:rStyle w:val="Hipercze"/>
            <w:noProof/>
          </w:rPr>
          <w:t>Mapa 12 Zużycie wody w gospodarstwach domowych ogółem na 1 korzystającego w 2020 r. wraz z dynamiką zmian w latach 2017-2020 [m</w:t>
        </w:r>
        <w:r w:rsidR="0047323D" w:rsidRPr="00D30013">
          <w:rPr>
            <w:rStyle w:val="Hipercze"/>
            <w:noProof/>
            <w:vertAlign w:val="superscript"/>
          </w:rPr>
          <w:t>3</w:t>
        </w:r>
        <w:r w:rsidR="0047323D" w:rsidRPr="00D30013">
          <w:rPr>
            <w:rStyle w:val="Hipercze"/>
            <w:noProof/>
          </w:rPr>
          <w:t>]</w:t>
        </w:r>
        <w:r w:rsidR="0047323D">
          <w:rPr>
            <w:noProof/>
            <w:webHidden/>
          </w:rPr>
          <w:tab/>
        </w:r>
        <w:r w:rsidR="0047323D">
          <w:rPr>
            <w:noProof/>
            <w:webHidden/>
          </w:rPr>
          <w:fldChar w:fldCharType="begin"/>
        </w:r>
        <w:r w:rsidR="0047323D">
          <w:rPr>
            <w:noProof/>
            <w:webHidden/>
          </w:rPr>
          <w:instrText xml:space="preserve"> PAGEREF _Toc143607001 \h </w:instrText>
        </w:r>
        <w:r w:rsidR="0047323D">
          <w:rPr>
            <w:noProof/>
            <w:webHidden/>
          </w:rPr>
        </w:r>
        <w:r w:rsidR="0047323D">
          <w:rPr>
            <w:noProof/>
            <w:webHidden/>
          </w:rPr>
          <w:fldChar w:fldCharType="separate"/>
        </w:r>
        <w:r>
          <w:rPr>
            <w:noProof/>
            <w:webHidden/>
          </w:rPr>
          <w:t>65</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7002" w:history="1">
        <w:r w:rsidR="0047323D" w:rsidRPr="00D30013">
          <w:rPr>
            <w:rStyle w:val="Hipercze"/>
            <w:noProof/>
          </w:rPr>
          <w:t>Mapa 13 Udział ludności korzystającej z sieci kanalizacyjnej w 2020 r. wraz z dynamiką zmian w latach 2017-2020</w:t>
        </w:r>
        <w:r w:rsidR="0047323D">
          <w:rPr>
            <w:noProof/>
            <w:webHidden/>
          </w:rPr>
          <w:tab/>
        </w:r>
        <w:r w:rsidR="0047323D">
          <w:rPr>
            <w:noProof/>
            <w:webHidden/>
          </w:rPr>
          <w:fldChar w:fldCharType="begin"/>
        </w:r>
        <w:r w:rsidR="0047323D">
          <w:rPr>
            <w:noProof/>
            <w:webHidden/>
          </w:rPr>
          <w:instrText xml:space="preserve"> PAGEREF _Toc143607002 \h </w:instrText>
        </w:r>
        <w:r w:rsidR="0047323D">
          <w:rPr>
            <w:noProof/>
            <w:webHidden/>
          </w:rPr>
        </w:r>
        <w:r w:rsidR="0047323D">
          <w:rPr>
            <w:noProof/>
            <w:webHidden/>
          </w:rPr>
          <w:fldChar w:fldCharType="separate"/>
        </w:r>
        <w:r>
          <w:rPr>
            <w:noProof/>
            <w:webHidden/>
          </w:rPr>
          <w:t>66</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7003" w:history="1">
        <w:r w:rsidR="0047323D" w:rsidRPr="00D30013">
          <w:rPr>
            <w:rStyle w:val="Hipercze"/>
            <w:noProof/>
          </w:rPr>
          <w:t>Mapa 14 Długość sieci kanalizacji rozdzielczej na 100km</w:t>
        </w:r>
        <w:r w:rsidR="0047323D" w:rsidRPr="00D30013">
          <w:rPr>
            <w:rStyle w:val="Hipercze"/>
            <w:noProof/>
            <w:vertAlign w:val="superscript"/>
          </w:rPr>
          <w:t>2</w:t>
        </w:r>
        <w:r w:rsidR="0047323D" w:rsidRPr="00D30013">
          <w:rPr>
            <w:rStyle w:val="Hipercze"/>
            <w:noProof/>
          </w:rPr>
          <w:t xml:space="preserve"> na terenie WrOF w 2021 r. wraz z dynamiką zmian w latach 2017-2021</w:t>
        </w:r>
        <w:r w:rsidR="0047323D">
          <w:rPr>
            <w:noProof/>
            <w:webHidden/>
          </w:rPr>
          <w:tab/>
        </w:r>
        <w:r w:rsidR="0047323D">
          <w:rPr>
            <w:noProof/>
            <w:webHidden/>
          </w:rPr>
          <w:fldChar w:fldCharType="begin"/>
        </w:r>
        <w:r w:rsidR="0047323D">
          <w:rPr>
            <w:noProof/>
            <w:webHidden/>
          </w:rPr>
          <w:instrText xml:space="preserve"> PAGEREF _Toc143607003 \h </w:instrText>
        </w:r>
        <w:r w:rsidR="0047323D">
          <w:rPr>
            <w:noProof/>
            <w:webHidden/>
          </w:rPr>
        </w:r>
        <w:r w:rsidR="0047323D">
          <w:rPr>
            <w:noProof/>
            <w:webHidden/>
          </w:rPr>
          <w:fldChar w:fldCharType="separate"/>
        </w:r>
        <w:r>
          <w:rPr>
            <w:noProof/>
            <w:webHidden/>
          </w:rPr>
          <w:t>67</w:t>
        </w:r>
        <w:r w:rsidR="0047323D">
          <w:rPr>
            <w:noProof/>
            <w:webHidden/>
          </w:rPr>
          <w:fldChar w:fldCharType="end"/>
        </w:r>
      </w:hyperlink>
    </w:p>
    <w:p w:rsidR="0047323D" w:rsidRDefault="00C96A96">
      <w:pPr>
        <w:pStyle w:val="Spisilustracji"/>
        <w:tabs>
          <w:tab w:val="right" w:leader="dot" w:pos="9062"/>
        </w:tabs>
        <w:rPr>
          <w:rFonts w:asciiTheme="minorHAnsi" w:eastAsiaTheme="minorEastAsia" w:hAnsiTheme="minorHAnsi" w:cstheme="minorBidi"/>
          <w:i w:val="0"/>
          <w:noProof/>
          <w:lang w:eastAsia="pl-PL"/>
        </w:rPr>
      </w:pPr>
      <w:hyperlink w:anchor="_Toc143607004" w:history="1">
        <w:r w:rsidR="0047323D" w:rsidRPr="00D30013">
          <w:rPr>
            <w:rStyle w:val="Hipercze"/>
            <w:noProof/>
          </w:rPr>
          <w:t>Mapa 15 Odpady zebrane selektywnie z gospodarstw domowych w 2021 r. w relacji do ogółu odpadów zebranych na terenie WrOF [%] wraz z dynamiką zmian w latach 2017-2021</w:t>
        </w:r>
        <w:r w:rsidR="0047323D">
          <w:rPr>
            <w:noProof/>
            <w:webHidden/>
          </w:rPr>
          <w:tab/>
        </w:r>
        <w:r w:rsidR="0047323D">
          <w:rPr>
            <w:noProof/>
            <w:webHidden/>
          </w:rPr>
          <w:fldChar w:fldCharType="begin"/>
        </w:r>
        <w:r w:rsidR="0047323D">
          <w:rPr>
            <w:noProof/>
            <w:webHidden/>
          </w:rPr>
          <w:instrText xml:space="preserve"> PAGEREF _Toc143607004 \h </w:instrText>
        </w:r>
        <w:r w:rsidR="0047323D">
          <w:rPr>
            <w:noProof/>
            <w:webHidden/>
          </w:rPr>
        </w:r>
        <w:r w:rsidR="0047323D">
          <w:rPr>
            <w:noProof/>
            <w:webHidden/>
          </w:rPr>
          <w:fldChar w:fldCharType="separate"/>
        </w:r>
        <w:r>
          <w:rPr>
            <w:noProof/>
            <w:webHidden/>
          </w:rPr>
          <w:t>82</w:t>
        </w:r>
        <w:r w:rsidR="0047323D">
          <w:rPr>
            <w:noProof/>
            <w:webHidden/>
          </w:rPr>
          <w:fldChar w:fldCharType="end"/>
        </w:r>
      </w:hyperlink>
    </w:p>
    <w:p w:rsidR="00750A76" w:rsidRPr="00750A76" w:rsidRDefault="00C73793" w:rsidP="00A71A1F">
      <w:pPr>
        <w:rPr>
          <w:sz w:val="6"/>
        </w:rPr>
      </w:pPr>
      <w:r>
        <w:fldChar w:fldCharType="end"/>
      </w:r>
    </w:p>
    <w:p w:rsidR="0047323D" w:rsidRDefault="00C73793">
      <w:pPr>
        <w:pStyle w:val="Spisilustracji"/>
        <w:tabs>
          <w:tab w:val="right" w:leader="dot" w:pos="9062"/>
        </w:tabs>
        <w:rPr>
          <w:rFonts w:asciiTheme="minorHAnsi" w:eastAsiaTheme="minorEastAsia" w:hAnsiTheme="minorHAnsi" w:cstheme="minorBidi"/>
          <w:i w:val="0"/>
          <w:noProof/>
          <w:lang w:eastAsia="pl-PL"/>
        </w:rPr>
      </w:pPr>
      <w:r>
        <w:fldChar w:fldCharType="begin"/>
      </w:r>
      <w:r w:rsidR="00ED30DB">
        <w:instrText xml:space="preserve"> TOC \h \z \c "Rysunek" </w:instrText>
      </w:r>
      <w:r>
        <w:fldChar w:fldCharType="separate"/>
      </w:r>
      <w:hyperlink r:id="rId85" w:anchor="_Toc143607005" w:history="1">
        <w:r w:rsidR="0047323D" w:rsidRPr="009D09D4">
          <w:rPr>
            <w:rStyle w:val="Hipercze"/>
            <w:noProof/>
          </w:rPr>
          <w:t>Rysunek 1 Logika planowanej interwencji</w:t>
        </w:r>
        <w:r w:rsidR="0047323D">
          <w:rPr>
            <w:noProof/>
            <w:webHidden/>
          </w:rPr>
          <w:tab/>
        </w:r>
        <w:r w:rsidR="0047323D">
          <w:rPr>
            <w:noProof/>
            <w:webHidden/>
          </w:rPr>
          <w:fldChar w:fldCharType="begin"/>
        </w:r>
        <w:r w:rsidR="0047323D">
          <w:rPr>
            <w:noProof/>
            <w:webHidden/>
          </w:rPr>
          <w:instrText xml:space="preserve"> PAGEREF _Toc143607005 \h </w:instrText>
        </w:r>
        <w:r w:rsidR="0047323D">
          <w:rPr>
            <w:noProof/>
            <w:webHidden/>
          </w:rPr>
        </w:r>
        <w:r w:rsidR="0047323D">
          <w:rPr>
            <w:noProof/>
            <w:webHidden/>
          </w:rPr>
          <w:fldChar w:fldCharType="separate"/>
        </w:r>
        <w:r w:rsidR="00C96A96">
          <w:rPr>
            <w:noProof/>
            <w:webHidden/>
          </w:rPr>
          <w:t>16</w:t>
        </w:r>
        <w:r w:rsidR="0047323D">
          <w:rPr>
            <w:noProof/>
            <w:webHidden/>
          </w:rPr>
          <w:fldChar w:fldCharType="end"/>
        </w:r>
      </w:hyperlink>
    </w:p>
    <w:p w:rsidR="00E43033" w:rsidRDefault="00C73793" w:rsidP="00E43033">
      <w:pPr>
        <w:rPr>
          <w:i/>
          <w:sz w:val="18"/>
        </w:rPr>
      </w:pPr>
      <w:r>
        <w:fldChar w:fldCharType="end"/>
      </w:r>
    </w:p>
    <w:p w:rsidR="00E43033" w:rsidRPr="00C67E37" w:rsidRDefault="00E43033" w:rsidP="00E43033">
      <w:pPr>
        <w:rPr>
          <w:i/>
          <w:sz w:val="18"/>
        </w:rPr>
      </w:pPr>
      <w:r>
        <w:rPr>
          <w:i/>
          <w:sz w:val="18"/>
        </w:rPr>
        <w:t>Źró</w:t>
      </w:r>
      <w:r w:rsidRPr="00C67E37">
        <w:rPr>
          <w:i/>
          <w:sz w:val="18"/>
        </w:rPr>
        <w:t>d</w:t>
      </w:r>
      <w:r>
        <w:rPr>
          <w:i/>
          <w:sz w:val="18"/>
        </w:rPr>
        <w:t>ł</w:t>
      </w:r>
      <w:r w:rsidRPr="00C67E37">
        <w:rPr>
          <w:i/>
          <w:sz w:val="18"/>
        </w:rPr>
        <w:t xml:space="preserve">a </w:t>
      </w:r>
      <w:proofErr w:type="spellStart"/>
      <w:r w:rsidRPr="00C67E37">
        <w:rPr>
          <w:i/>
          <w:sz w:val="18"/>
        </w:rPr>
        <w:t>ikonografik</w:t>
      </w:r>
      <w:proofErr w:type="spellEnd"/>
      <w:r w:rsidRPr="00C67E37">
        <w:rPr>
          <w:i/>
          <w:sz w:val="18"/>
        </w:rPr>
        <w:t>: https://www.flaticon.com/</w:t>
      </w:r>
    </w:p>
    <w:p w:rsidR="009F19B0" w:rsidRDefault="000E6CDE" w:rsidP="000E6CDE">
      <w:pPr>
        <w:sectPr w:rsidR="009F19B0" w:rsidSect="00B61BA4">
          <w:headerReference w:type="first" r:id="rId86"/>
          <w:pgSz w:w="11906" w:h="16838"/>
          <w:pgMar w:top="1417" w:right="1417" w:bottom="1417" w:left="1417" w:header="708" w:footer="708" w:gutter="0"/>
          <w:cols w:space="708"/>
          <w:docGrid w:linePitch="360"/>
        </w:sectPr>
      </w:pPr>
      <w:r>
        <w:br w:type="page"/>
      </w:r>
    </w:p>
    <w:p w:rsidR="00E30041" w:rsidRPr="00702D7A" w:rsidRDefault="000E6CDE" w:rsidP="00702D7A">
      <w:pPr>
        <w:pStyle w:val="Nagwek1"/>
      </w:pPr>
      <w:bookmarkStart w:id="202" w:name="_Toc143673243"/>
      <w:r w:rsidRPr="00702D7A">
        <w:t xml:space="preserve">Załącznik nr 1 </w:t>
      </w:r>
      <w:r w:rsidR="006E120D" w:rsidRPr="00702D7A">
        <w:t>Lista pozostałych projektów planowanych do realizacji przez gminy ZIT WrOF</w:t>
      </w:r>
      <w:bookmarkEnd w:id="202"/>
    </w:p>
    <w:p w:rsidR="00F2576B" w:rsidRPr="00111BB0" w:rsidRDefault="006E120D" w:rsidP="00111BB0">
      <w:pPr>
        <w:jc w:val="left"/>
        <w:rPr>
          <w:color w:val="000000" w:themeColor="text1"/>
          <w:sz w:val="24"/>
        </w:rPr>
      </w:pPr>
      <w:r w:rsidRPr="00111BB0">
        <w:rPr>
          <w:sz w:val="24"/>
        </w:rPr>
        <w:t>Lista pozostałych projektów planowanych do realizacji przez gminy ZIT WrOF</w:t>
      </w:r>
      <w:r w:rsidR="006D3080" w:rsidRPr="00111BB0">
        <w:rPr>
          <w:sz w:val="24"/>
        </w:rPr>
        <w:t xml:space="preserve"> </w:t>
      </w:r>
      <w:r w:rsidRPr="00111BB0">
        <w:rPr>
          <w:sz w:val="24"/>
        </w:rPr>
        <w:t>zawiera projekty, które ka</w:t>
      </w:r>
      <w:r w:rsidR="00111BB0">
        <w:rPr>
          <w:sz w:val="24"/>
        </w:rPr>
        <w:t>żda w gmin planuje realizować w </w:t>
      </w:r>
      <w:r w:rsidRPr="00111BB0">
        <w:rPr>
          <w:sz w:val="24"/>
        </w:rPr>
        <w:t>perspektywie finansowej 2021-2027. Projekty mogą być finansowane z różnych źró</w:t>
      </w:r>
      <w:r w:rsidRPr="00111BB0">
        <w:rPr>
          <w:color w:val="000000" w:themeColor="text1"/>
          <w:sz w:val="24"/>
        </w:rPr>
        <w:t>deł.</w:t>
      </w:r>
      <w:r w:rsidR="00047FE4" w:rsidRPr="00111BB0">
        <w:rPr>
          <w:color w:val="000000" w:themeColor="text1"/>
          <w:sz w:val="24"/>
        </w:rPr>
        <w:t xml:space="preserve"> </w:t>
      </w:r>
      <w:r w:rsidR="00F2576B" w:rsidRPr="00111BB0">
        <w:rPr>
          <w:color w:val="000000" w:themeColor="text1"/>
          <w:sz w:val="24"/>
        </w:rPr>
        <w:t>Projekty gmin zostały zgrupowane z uwzględnieniem priorytetu Strategii ZIT WrOF 2021-2027, który realizują. Ich realizacja projektów wpłynie na rozwój obszaru funkcjonalnego oraz poprawę życia ludności, która go zamieszkuje.</w:t>
      </w:r>
    </w:p>
    <w:p w:rsidR="007D07F9" w:rsidRPr="00111BB0" w:rsidRDefault="00F2576B" w:rsidP="00111BB0">
      <w:pPr>
        <w:jc w:val="left"/>
        <w:rPr>
          <w:color w:val="000000" w:themeColor="text1"/>
          <w:sz w:val="24"/>
        </w:rPr>
      </w:pPr>
      <w:r w:rsidRPr="00111BB0">
        <w:rPr>
          <w:color w:val="000000" w:themeColor="text1"/>
          <w:sz w:val="24"/>
        </w:rPr>
        <w:t>Projekty mogą by</w:t>
      </w:r>
      <w:r w:rsidR="00702D7A" w:rsidRPr="00111BB0">
        <w:rPr>
          <w:color w:val="000000" w:themeColor="text1"/>
          <w:sz w:val="24"/>
        </w:rPr>
        <w:t>ć finansowane z różnych źródeł.</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88"/>
        <w:gridCol w:w="1863"/>
        <w:gridCol w:w="6908"/>
        <w:gridCol w:w="1944"/>
        <w:gridCol w:w="2479"/>
        <w:gridCol w:w="19"/>
      </w:tblGrid>
      <w:tr w:rsidR="009D4286" w:rsidRPr="00702D7A" w:rsidTr="001B6600">
        <w:trPr>
          <w:gridAfter w:val="1"/>
          <w:wAfter w:w="19" w:type="dxa"/>
          <w:trHeight w:val="450"/>
          <w:tblHeader/>
        </w:trPr>
        <w:tc>
          <w:tcPr>
            <w:tcW w:w="0" w:type="auto"/>
            <w:shd w:val="clear" w:color="auto" w:fill="D9D9D9" w:themeFill="background1" w:themeFillShade="D9"/>
            <w:vAlign w:val="center"/>
            <w:hideMark/>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Lp.</w:t>
            </w:r>
          </w:p>
        </w:tc>
        <w:tc>
          <w:tcPr>
            <w:tcW w:w="1860" w:type="dxa"/>
            <w:shd w:val="clear" w:color="auto" w:fill="D9D9D9" w:themeFill="background1" w:themeFillShade="D9"/>
            <w:vAlign w:val="center"/>
            <w:hideMark/>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Gmina</w:t>
            </w:r>
          </w:p>
        </w:tc>
        <w:tc>
          <w:tcPr>
            <w:tcW w:w="6896" w:type="dxa"/>
            <w:shd w:val="clear" w:color="auto" w:fill="D9D9D9" w:themeFill="background1" w:themeFillShade="D9"/>
            <w:vAlign w:val="center"/>
            <w:hideMark/>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Nazwa projektu</w:t>
            </w:r>
          </w:p>
        </w:tc>
        <w:tc>
          <w:tcPr>
            <w:tcW w:w="1941" w:type="dxa"/>
            <w:shd w:val="clear" w:color="auto" w:fill="D9D9D9" w:themeFill="background1" w:themeFillShade="D9"/>
            <w:vAlign w:val="center"/>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Orientacyjny okres realizacji projektu</w:t>
            </w:r>
          </w:p>
        </w:tc>
        <w:tc>
          <w:tcPr>
            <w:tcW w:w="0" w:type="auto"/>
            <w:shd w:val="clear" w:color="auto" w:fill="D9D9D9" w:themeFill="background1" w:themeFillShade="D9"/>
            <w:vAlign w:val="center"/>
            <w:hideMark/>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Szacowana wartość</w:t>
            </w:r>
          </w:p>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całkowita projektu w PLN</w:t>
            </w:r>
          </w:p>
        </w:tc>
      </w:tr>
      <w:tr w:rsidR="009D4286" w:rsidRPr="00702D7A" w:rsidTr="001B6600">
        <w:trPr>
          <w:trHeight w:val="541"/>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sz w:val="20"/>
                <w:szCs w:val="20"/>
                <w:lang w:eastAsia="pl-PL"/>
              </w:rPr>
            </w:pPr>
            <w:r w:rsidRPr="00702D7A">
              <w:rPr>
                <w:rFonts w:eastAsia="Times New Roman" w:cstheme="minorHAnsi"/>
                <w:b/>
                <w:bCs/>
                <w:color w:val="000000"/>
                <w:sz w:val="20"/>
                <w:szCs w:val="20"/>
                <w:lang w:eastAsia="pl-PL"/>
              </w:rPr>
              <w:t>Priorytet 1: Kultura</w:t>
            </w:r>
          </w:p>
        </w:tc>
      </w:tr>
      <w:tr w:rsidR="009D4286" w:rsidRPr="00702D7A" w:rsidTr="001B6600">
        <w:trPr>
          <w:gridAfter w:val="1"/>
          <w:wAfter w:w="19" w:type="dxa"/>
          <w:trHeight w:val="652"/>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Gmina Dobroszyce</w:t>
            </w:r>
          </w:p>
        </w:tc>
        <w:tc>
          <w:tcPr>
            <w:tcW w:w="6896" w:type="dxa"/>
            <w:shd w:val="clear" w:color="auto" w:fill="auto"/>
            <w:vAlign w:val="center"/>
          </w:tcPr>
          <w:p w:rsidR="009D4286" w:rsidRPr="00702D7A" w:rsidRDefault="009D4286" w:rsidP="00ED30DB">
            <w:pPr>
              <w:spacing w:after="0" w:line="240" w:lineRule="auto"/>
              <w:jc w:val="left"/>
              <w:rPr>
                <w:rFonts w:cstheme="minorHAnsi"/>
                <w:sz w:val="20"/>
                <w:szCs w:val="20"/>
              </w:rPr>
            </w:pPr>
            <w:r w:rsidRPr="00702D7A">
              <w:rPr>
                <w:rFonts w:cstheme="minorHAnsi"/>
                <w:sz w:val="20"/>
                <w:szCs w:val="20"/>
              </w:rPr>
              <w:t>Budowa nowej Sali widowiskowej wraz ze świetlicą</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6 000 000,00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cstheme="minorHAnsi"/>
                <w:sz w:val="20"/>
                <w:szCs w:val="20"/>
              </w:rPr>
            </w:pPr>
            <w:r w:rsidRPr="00702D7A">
              <w:rPr>
                <w:rFonts w:cstheme="minorHAnsi"/>
                <w:sz w:val="20"/>
                <w:szCs w:val="20"/>
              </w:rPr>
              <w:t>Budowa siedziby ośrodka kultury w północnej oraz w centralnej części Gminy Kobierzyce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35 000 000,00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cstheme="minorHAnsi"/>
                <w:sz w:val="20"/>
                <w:szCs w:val="20"/>
              </w:rPr>
            </w:pPr>
            <w:r w:rsidRPr="00702D7A">
              <w:rPr>
                <w:rFonts w:cstheme="minorHAnsi"/>
                <w:sz w:val="20"/>
                <w:szCs w:val="20"/>
              </w:rPr>
              <w:t>Gminna Biblioteka Publiczna jako lokalne centrum kultury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3 000 000,00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Remont i budowa gminnych obiektów użyteczności publicznej pełniących funkcje kulturalne i turystyczne w gminie Sobótka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2500000,00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sz w:val="20"/>
                <w:szCs w:val="20"/>
                <w:lang w:eastAsia="pl-PL"/>
              </w:rPr>
            </w:pPr>
            <w:r w:rsidRPr="00702D7A">
              <w:rPr>
                <w:rFonts w:eastAsia="Times New Roman" w:cstheme="minorHAnsi"/>
                <w:color w:val="000000"/>
                <w:sz w:val="20"/>
                <w:szCs w:val="20"/>
                <w:lang w:eastAsia="pl-PL"/>
              </w:rPr>
              <w:t>Gmina Trzebnica</w:t>
            </w:r>
          </w:p>
        </w:tc>
        <w:tc>
          <w:tcPr>
            <w:tcW w:w="6896" w:type="dxa"/>
            <w:shd w:val="clear" w:color="auto" w:fill="auto"/>
            <w:vAlign w:val="center"/>
          </w:tcPr>
          <w:p w:rsidR="009D4286" w:rsidRPr="00702D7A" w:rsidRDefault="009D4286" w:rsidP="00ED30DB">
            <w:pPr>
              <w:spacing w:after="0" w:line="240" w:lineRule="auto"/>
              <w:jc w:val="left"/>
              <w:rPr>
                <w:rFonts w:cstheme="minorHAnsi"/>
                <w:sz w:val="20"/>
                <w:szCs w:val="20"/>
              </w:rPr>
            </w:pPr>
            <w:r w:rsidRPr="00702D7A">
              <w:rPr>
                <w:rFonts w:cstheme="minorHAnsi"/>
                <w:sz w:val="20"/>
                <w:szCs w:val="20"/>
              </w:rPr>
              <w:t>Budowa Miejskiej i Gminnej Biblioteki Publicznej w Trzebnicy, jako innowacyjnego centrum kulturalnego</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5 000 000,00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 xml:space="preserve">Zapewnienie bezpieczeństwa </w:t>
            </w:r>
            <w:proofErr w:type="spellStart"/>
            <w:r w:rsidRPr="00702D7A">
              <w:rPr>
                <w:rFonts w:cstheme="minorHAnsi"/>
                <w:color w:val="000000" w:themeColor="text1"/>
                <w:sz w:val="20"/>
                <w:szCs w:val="20"/>
              </w:rPr>
              <w:t>popoż</w:t>
            </w:r>
            <w:proofErr w:type="spellEnd"/>
            <w:r w:rsidRPr="00702D7A">
              <w:rPr>
                <w:rFonts w:cstheme="minorHAnsi"/>
                <w:color w:val="000000" w:themeColor="text1"/>
                <w:sz w:val="20"/>
                <w:szCs w:val="20"/>
              </w:rPr>
              <w:t xml:space="preserve"> i eksploatacyjnego budynków Zajezdni Popowice etap I:</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A. Analizy, instrukcje bezpieczeństwa i niezbędne opracowania dla hal Zajezdni Popowice – 50 000,00 zł brutto- realizacja w 2022 r.</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B. Niezbędne prace związane ze wskazaniami z opracowanej instrukcji bezpieczeństwa pożarowego dla wszystkich hal w kompleksie zajezdni</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C. Naprawy bieżące dachów hal przednich</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D. Modernizacja kanału rewizyjnego w hali zachodniej przedniej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1 500 000,00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Zapewnienie bezpieczeństwa eksploatacyjnego i technicznego budynków Zajezdni Popowice etap II:</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A. Zabezpieczenie i naprawa świetlików oraz dachów – hale tylne: nr 1037, 1038, 1041, 1042</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B. Modernizacja (kompleksowa) budynku administracyjnego od ul. Legnickiej pod usługi kulturalne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3 500 000,00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Realizacja nowego budynku od ul. Wejherowskiej pod usługi kulturalne i inne powiązane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104 000 000,00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(kompleksowa) zabytkowego zespołu hal od ul. Legnickiej pod usługi kulturalno-edukacyjno-rozrywkowe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69 000 000,00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Odbudowa zabytkowych pojazdów stanowiących własność Gminy Wrocław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2022-2027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3 420 000,00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 xml:space="preserve">Zapewnienie bezpieczeństwa </w:t>
            </w:r>
            <w:proofErr w:type="spellStart"/>
            <w:r w:rsidRPr="00702D7A">
              <w:rPr>
                <w:rFonts w:cstheme="minorHAnsi"/>
                <w:color w:val="000000" w:themeColor="text1"/>
                <w:sz w:val="20"/>
                <w:szCs w:val="20"/>
              </w:rPr>
              <w:t>popoż</w:t>
            </w:r>
            <w:proofErr w:type="spellEnd"/>
            <w:r w:rsidRPr="00702D7A">
              <w:rPr>
                <w:rFonts w:cstheme="minorHAnsi"/>
                <w:color w:val="000000" w:themeColor="text1"/>
                <w:sz w:val="20"/>
                <w:szCs w:val="20"/>
              </w:rPr>
              <w:t xml:space="preserve"> i eksploatacyjnego budynków Zajezdni Popowice etap I:</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A. Analizy, instrukcje bezpieczeństwa i niezbędne opracowania dla hal Zajezdni Popowice – 50 000,00 zł brutto- realizacja w 2022 r.</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B. Niezbędne prace związane ze wskazaniami z opracowanej instrukcji bezpieczeństwa pożarowego dla wszystkich hal w kompleksie zajezdni</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C. Naprawy bieżące dachów hal przednich</w:t>
            </w:r>
          </w:p>
          <w:p w:rsidR="009D4286" w:rsidRPr="00702D7A" w:rsidRDefault="009D4286" w:rsidP="00ED30DB">
            <w:pPr>
              <w:spacing w:after="0" w:line="240" w:lineRule="auto"/>
              <w:jc w:val="left"/>
              <w:rPr>
                <w:rFonts w:cstheme="minorHAnsi"/>
                <w:color w:val="000000" w:themeColor="text1"/>
                <w:sz w:val="20"/>
                <w:szCs w:val="20"/>
              </w:rPr>
            </w:pPr>
            <w:r w:rsidRPr="00702D7A">
              <w:rPr>
                <w:rFonts w:cstheme="minorHAnsi"/>
                <w:color w:val="000000" w:themeColor="text1"/>
                <w:sz w:val="20"/>
                <w:szCs w:val="20"/>
              </w:rPr>
              <w:t>D. Modernizacja kanału rewizyjnego w hali zachodniej przedniej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1 500 000,00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Zagospodarowanie uzupełniające terenów na historycznym osiedlu </w:t>
            </w:r>
            <w:proofErr w:type="spellStart"/>
            <w:r w:rsidRPr="00702D7A">
              <w:rPr>
                <w:rFonts w:cs="Arial"/>
                <w:color w:val="000000" w:themeColor="text1"/>
                <w:sz w:val="20"/>
                <w:szCs w:val="20"/>
              </w:rPr>
              <w:t>WuWA</w:t>
            </w:r>
            <w:proofErr w:type="spellEnd"/>
            <w:r w:rsidRPr="00702D7A">
              <w:rPr>
                <w:rFonts w:cs="Arial"/>
                <w:color w:val="000000" w:themeColor="text1"/>
                <w:sz w:val="20"/>
                <w:szCs w:val="20"/>
              </w:rPr>
              <w:t xml:space="preserve"> </w:t>
            </w:r>
            <w:r w:rsidR="00996BA6">
              <w:rPr>
                <w:rFonts w:cs="Arial"/>
                <w:color w:val="000000" w:themeColor="text1"/>
                <w:sz w:val="20"/>
                <w:szCs w:val="20"/>
              </w:rPr>
              <w:br/>
            </w:r>
            <w:r w:rsidRPr="00702D7A">
              <w:rPr>
                <w:rFonts w:cs="Arial"/>
                <w:color w:val="000000" w:themeColor="text1"/>
                <w:sz w:val="20"/>
                <w:szCs w:val="20"/>
              </w:rPr>
              <w:t xml:space="preserve">wraz z dokumentacją projektową (zakończenie sięgacza ulicy Zielonego Dębu wraz z kanalizacją deszczową oraz zagospodarowanie terenu tzw. </w:t>
            </w:r>
            <w:proofErr w:type="spellStart"/>
            <w:r w:rsidRPr="00702D7A">
              <w:rPr>
                <w:rFonts w:cs="Arial"/>
                <w:color w:val="000000" w:themeColor="text1"/>
                <w:sz w:val="20"/>
                <w:szCs w:val="20"/>
              </w:rPr>
              <w:t>przedogródków</w:t>
            </w:r>
            <w:proofErr w:type="spellEnd"/>
            <w:r w:rsidRPr="00702D7A">
              <w:rPr>
                <w:rFonts w:cs="Arial"/>
                <w:color w:val="000000" w:themeColor="text1"/>
                <w:sz w:val="20"/>
                <w:szCs w:val="20"/>
              </w:rPr>
              <w:t xml:space="preserve"> przy ul. Tramwajowej)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1 850 000,00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Dostosowanie Muz</w:t>
            </w:r>
            <w:r w:rsidR="006D3080">
              <w:rPr>
                <w:rFonts w:cs="Arial"/>
                <w:color w:val="000000" w:themeColor="text1"/>
                <w:sz w:val="20"/>
                <w:szCs w:val="20"/>
              </w:rPr>
              <w:t>eum Architektury do przepisów p</w:t>
            </w:r>
            <w:r w:rsidRPr="00702D7A">
              <w:rPr>
                <w:rFonts w:cs="Arial"/>
                <w:color w:val="000000" w:themeColor="text1"/>
                <w:sz w:val="20"/>
                <w:szCs w:val="20"/>
              </w:rPr>
              <w:t>poż</w:t>
            </w:r>
            <w:r w:rsidR="006D3080">
              <w:rPr>
                <w:rFonts w:cs="Arial"/>
                <w:color w:val="000000" w:themeColor="text1"/>
                <w:sz w:val="20"/>
                <w:szCs w:val="20"/>
              </w:rPr>
              <w:t>.</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Dostosowanie obiektów instytucji kultury do potrzeb osób niepełnosprawnych</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Modernizacja Galerii </w:t>
            </w:r>
            <w:proofErr w:type="spellStart"/>
            <w:r w:rsidRPr="00702D7A">
              <w:rPr>
                <w:rFonts w:cs="Arial"/>
                <w:color w:val="000000" w:themeColor="text1"/>
                <w:sz w:val="20"/>
                <w:szCs w:val="20"/>
              </w:rPr>
              <w:t>SiC</w:t>
            </w:r>
            <w:proofErr w:type="spellEnd"/>
            <w:r w:rsidRPr="00702D7A">
              <w:rPr>
                <w:rFonts w:cs="Arial"/>
                <w:color w:val="000000" w:themeColor="text1"/>
                <w:sz w:val="20"/>
                <w:szCs w:val="20"/>
              </w:rPr>
              <w:t xml:space="preserve"> BWA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520 000,00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Modernizacja Galerii </w:t>
            </w:r>
            <w:proofErr w:type="spellStart"/>
            <w:r w:rsidRPr="00702D7A">
              <w:rPr>
                <w:rFonts w:cs="Arial"/>
                <w:color w:val="000000" w:themeColor="text1"/>
                <w:sz w:val="20"/>
                <w:szCs w:val="20"/>
              </w:rPr>
              <w:t>Dizajn</w:t>
            </w:r>
            <w:proofErr w:type="spellEnd"/>
            <w:r w:rsidRPr="00702D7A">
              <w:rPr>
                <w:rFonts w:cs="Arial"/>
                <w:color w:val="000000" w:themeColor="text1"/>
                <w:sz w:val="20"/>
                <w:szCs w:val="20"/>
              </w:rPr>
              <w:t xml:space="preserve"> BWA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Dostawa i montaż systemu elektroakustycznego w Teatrze Współczesnym</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Ośrodka Teatru Laboratorium w Brzezince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800 000,00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CK Zamek</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2026-2028</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40 000 000,00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Generalny remont </w:t>
            </w:r>
            <w:proofErr w:type="spellStart"/>
            <w:r w:rsidRPr="00702D7A">
              <w:rPr>
                <w:rFonts w:cs="Arial"/>
                <w:color w:val="000000" w:themeColor="text1"/>
                <w:sz w:val="20"/>
                <w:szCs w:val="20"/>
              </w:rPr>
              <w:t>Impartu</w:t>
            </w:r>
            <w:proofErr w:type="spellEnd"/>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Wdrożenie rozwiązań technologicznych w zakresie produkcji wydarzeń edukacyjno-kulturalnych w NFM</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19 000 000,00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widowni i dużej sceny Teatru Lalek</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2 500 000,00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0"/>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11312" w:type="dxa"/>
            <w:gridSpan w:val="3"/>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Restauracja organów w Katedrze św. Jana Chrzciciela we Wrocławiu</w:t>
            </w:r>
          </w:p>
        </w:tc>
      </w:tr>
      <w:tr w:rsidR="009D4286" w:rsidRPr="00702D7A" w:rsidTr="001B6600">
        <w:trPr>
          <w:trHeight w:val="900"/>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2: Zdrowie</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Budowa przychodni wraz z zakupem aparatury medycznej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28 000 000,00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Rozwijanie kompetencji kluczowych oraz poradnictwo psychologiczne dla dzieci </w:t>
            </w:r>
            <w:r w:rsidR="00996BA6">
              <w:rPr>
                <w:rFonts w:cs="Arial"/>
                <w:color w:val="000000" w:themeColor="text1"/>
                <w:sz w:val="20"/>
                <w:szCs w:val="20"/>
              </w:rPr>
              <w:br/>
            </w:r>
            <w:r w:rsidRPr="00702D7A">
              <w:rPr>
                <w:rFonts w:cs="Arial"/>
                <w:color w:val="000000" w:themeColor="text1"/>
                <w:sz w:val="20"/>
                <w:szCs w:val="20"/>
              </w:rPr>
              <w:t>i młodzieży z terenu Gminy Oborniki Śląskie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Wsparcie oraz integracja społeczno-zawodowa dla osób zagrożonych ubóstwem lub wykluczeniem społecznym wraz z usługami opieki </w:t>
            </w:r>
            <w:proofErr w:type="spellStart"/>
            <w:r w:rsidRPr="00702D7A">
              <w:rPr>
                <w:rFonts w:cs="Arial"/>
                <w:color w:val="000000" w:themeColor="text1"/>
                <w:sz w:val="20"/>
                <w:szCs w:val="20"/>
              </w:rPr>
              <w:t>wytchnieniowej</w:t>
            </w:r>
            <w:proofErr w:type="spellEnd"/>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Centrum Integracji i Aktywizacji społecznej w Chwalibożycach </w:t>
            </w:r>
          </w:p>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Wsparcie osób starszych i zagrożonych wykluczeniem społecznym</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Rozwijanie kompetencji kluczowych uczniów szkół podstawowych Gminy Oława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1 500 000,00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Wsparcie usług opiekuńczych w gminie Siechnice – Dzienny Dom Pomocy</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2022-2029</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8 000 000,00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Równy dostęp do opieki zdrowotnej dla mieszkańców gminy Siechnice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2022-2029</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Zapewnienie wsparcia dla osób niesamodzielnych w dziennych domach</w:t>
            </w:r>
          </w:p>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pomocy we Wrocławiu</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10 800 000,00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Centra Wsparcia Mieszkańców</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8 000 000,00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Wsparcie rodziny w kryzysie</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Rozwój  systemu </w:t>
            </w:r>
            <w:proofErr w:type="spellStart"/>
            <w:r w:rsidRPr="00702D7A">
              <w:rPr>
                <w:rFonts w:cs="Arial"/>
                <w:color w:val="000000" w:themeColor="text1"/>
                <w:sz w:val="20"/>
                <w:szCs w:val="20"/>
              </w:rPr>
              <w:t>telerehabilitacji</w:t>
            </w:r>
            <w:proofErr w:type="spellEnd"/>
            <w:r w:rsidRPr="00702D7A">
              <w:rPr>
                <w:rFonts w:cs="Arial"/>
                <w:color w:val="000000" w:themeColor="text1"/>
                <w:sz w:val="20"/>
                <w:szCs w:val="20"/>
              </w:rPr>
              <w:t xml:space="preserve"> kardiologicznej i nadzoru zdalnego dla mieszkańców Wrocławia i regionu, z uwzględnieniem skutków pandemii COVID-19</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Polityka żywnościowa Miasta</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2000000,00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Przebudowa/rozbudowa/modernizacja/roboty budowlane w budynkach DPS i DDP przy ul. Mącznej 3 wraz z zagospodarowaniem terenu i budową budynku magazynowego - por</w:t>
            </w:r>
            <w:r w:rsidR="006D3080">
              <w:rPr>
                <w:rFonts w:cs="Arial"/>
                <w:color w:val="000000" w:themeColor="text1"/>
                <w:sz w:val="20"/>
                <w:szCs w:val="20"/>
              </w:rPr>
              <w:t>t</w:t>
            </w:r>
            <w:r w:rsidRPr="00702D7A">
              <w:rPr>
                <w:rFonts w:cs="Arial"/>
                <w:color w:val="000000" w:themeColor="text1"/>
                <w:sz w:val="20"/>
                <w:szCs w:val="20"/>
              </w:rPr>
              <w:t>fel projektów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2022-2027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18 050 000,00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Przebudowa/rozbudowa/modernizacja/roboty budowlane w budynkach DPS przy ul. Karmelkowej 25 - por</w:t>
            </w:r>
            <w:r w:rsidR="006D3080">
              <w:rPr>
                <w:rFonts w:cs="Arial"/>
                <w:color w:val="000000" w:themeColor="text1"/>
                <w:sz w:val="20"/>
                <w:szCs w:val="20"/>
              </w:rPr>
              <w:t>t</w:t>
            </w:r>
            <w:r w:rsidRPr="00702D7A">
              <w:rPr>
                <w:rFonts w:cs="Arial"/>
                <w:color w:val="000000" w:themeColor="text1"/>
                <w:sz w:val="20"/>
                <w:szCs w:val="20"/>
              </w:rPr>
              <w:t>fel projektów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1 643 000,00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Roboty budowlane związane z malowaniem pomieszczeń w DPS </w:t>
            </w:r>
            <w:r w:rsidR="00231888">
              <w:rPr>
                <w:rFonts w:cs="Arial"/>
                <w:color w:val="000000" w:themeColor="text1"/>
                <w:sz w:val="20"/>
                <w:szCs w:val="20"/>
              </w:rPr>
              <w:br/>
            </w:r>
            <w:r w:rsidRPr="00702D7A">
              <w:rPr>
                <w:rFonts w:cs="Arial"/>
                <w:color w:val="000000" w:themeColor="text1"/>
                <w:sz w:val="20"/>
                <w:szCs w:val="20"/>
              </w:rPr>
              <w:t>przy ul. Kaletniczej 8</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135 000,00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Przebudowa/rozbudowa/modernizacja/roboty budowlane w budynkach DPS i DDP przy ul. Rędzińskiej 66/68 wraz z budową budynku magazynowego - portfel projektów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10 328 500,00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Remonty </w:t>
            </w:r>
            <w:proofErr w:type="spellStart"/>
            <w:r w:rsidRPr="00702D7A">
              <w:rPr>
                <w:rFonts w:cs="Arial"/>
                <w:color w:val="000000" w:themeColor="text1"/>
                <w:sz w:val="20"/>
                <w:szCs w:val="20"/>
              </w:rPr>
              <w:t>wewnętrz</w:t>
            </w:r>
            <w:proofErr w:type="spellEnd"/>
            <w:r w:rsidRPr="00702D7A">
              <w:rPr>
                <w:rFonts w:cs="Arial"/>
                <w:color w:val="000000" w:themeColor="text1"/>
                <w:sz w:val="20"/>
                <w:szCs w:val="20"/>
              </w:rPr>
              <w:t xml:space="preserve"> obiektów w celu utrzymania standardów bytowych mieszkańców w czterech DPS przy ul. Mącznej,</w:t>
            </w:r>
            <w:r w:rsidR="006D3080">
              <w:rPr>
                <w:rFonts w:cs="Arial"/>
                <w:color w:val="000000" w:themeColor="text1"/>
                <w:sz w:val="20"/>
                <w:szCs w:val="20"/>
              </w:rPr>
              <w:t xml:space="preserve"> </w:t>
            </w:r>
            <w:r w:rsidRPr="00702D7A">
              <w:rPr>
                <w:rFonts w:cs="Arial"/>
                <w:color w:val="000000" w:themeColor="text1"/>
                <w:sz w:val="20"/>
                <w:szCs w:val="20"/>
              </w:rPr>
              <w:t xml:space="preserve">ul. Rędzińskiej, ul. Kaletniczej, </w:t>
            </w:r>
            <w:r w:rsidR="006174E4">
              <w:rPr>
                <w:rFonts w:cs="Arial"/>
                <w:color w:val="000000" w:themeColor="text1"/>
                <w:sz w:val="20"/>
                <w:szCs w:val="20"/>
              </w:rPr>
              <w:br/>
            </w:r>
            <w:r w:rsidRPr="00702D7A">
              <w:rPr>
                <w:rFonts w:cs="Arial"/>
                <w:color w:val="000000" w:themeColor="text1"/>
                <w:sz w:val="20"/>
                <w:szCs w:val="20"/>
              </w:rPr>
              <w:t>ul. Karmelkowej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 i dalej</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12 000 000,00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Montaż klimatyzacji wraz z instalacją w DPS przy ul. </w:t>
            </w:r>
            <w:proofErr w:type="spellStart"/>
            <w:r w:rsidRPr="00231888">
              <w:rPr>
                <w:rFonts w:cs="Arial"/>
                <w:color w:val="000000" w:themeColor="text1"/>
                <w:sz w:val="20"/>
                <w:szCs w:val="20"/>
              </w:rPr>
              <w:t>Mączej</w:t>
            </w:r>
            <w:proofErr w:type="spellEnd"/>
            <w:r w:rsidRPr="00231888">
              <w:rPr>
                <w:rFonts w:cs="Arial"/>
                <w:color w:val="000000" w:themeColor="text1"/>
                <w:sz w:val="20"/>
                <w:szCs w:val="20"/>
              </w:rPr>
              <w:t xml:space="preserve"> 3, Rędzińskiej 66/68, Karmelkowej 25 i Kaletniczej 8.</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393 210,00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Budowa noclegowni i ogrzewalni dla osób bezdomnych  </w:t>
            </w:r>
            <w:r w:rsidRPr="00231888">
              <w:rPr>
                <w:rFonts w:cs="Arial"/>
                <w:color w:val="000000" w:themeColor="text1"/>
                <w:sz w:val="20"/>
                <w:szCs w:val="20"/>
              </w:rPr>
              <w:br/>
              <w:t xml:space="preserve">przy </w:t>
            </w:r>
            <w:r w:rsidRPr="00231888">
              <w:rPr>
                <w:rFonts w:cs="Arial"/>
                <w:bCs/>
                <w:color w:val="000000" w:themeColor="text1"/>
                <w:sz w:val="20"/>
                <w:szCs w:val="20"/>
              </w:rPr>
              <w:t>ul. Popielskiego</w:t>
            </w:r>
            <w:r w:rsidRPr="00231888">
              <w:rPr>
                <w:rFonts w:cs="Arial"/>
                <w:color w:val="000000" w:themeColor="text1"/>
                <w:sz w:val="20"/>
                <w:szCs w:val="20"/>
              </w:rPr>
              <w:t xml:space="preserve"> 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10 175 000,00</w:t>
            </w:r>
          </w:p>
        </w:tc>
      </w:tr>
      <w:tr w:rsidR="009D4286" w:rsidRPr="00702D7A" w:rsidTr="001B6600">
        <w:trPr>
          <w:gridAfter w:val="1"/>
          <w:wAfter w:w="19" w:type="dxa"/>
          <w:trHeight w:val="91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Budowa Centrum Opiekuńczo-Mieszkalnego </w:t>
            </w:r>
            <w:r w:rsidRPr="00231888">
              <w:rPr>
                <w:rFonts w:cs="Arial"/>
                <w:color w:val="000000" w:themeColor="text1"/>
                <w:sz w:val="20"/>
                <w:szCs w:val="20"/>
              </w:rPr>
              <w:br/>
              <w:t>przy</w:t>
            </w:r>
            <w:r w:rsidRPr="00231888">
              <w:rPr>
                <w:rFonts w:cs="Arial"/>
                <w:bCs/>
                <w:color w:val="000000" w:themeColor="text1"/>
                <w:sz w:val="20"/>
                <w:szCs w:val="20"/>
              </w:rPr>
              <w:t xml:space="preserve"> ul. Morawska 14a</w:t>
            </w:r>
            <w:r w:rsidR="00231888">
              <w:rPr>
                <w:rFonts w:cs="Arial"/>
                <w:color w:val="000000" w:themeColor="text1"/>
                <w:sz w:val="20"/>
                <w:szCs w:val="20"/>
              </w:rPr>
              <w:t xml:space="preserve"> </w:t>
            </w:r>
            <w:r w:rsidRPr="00231888">
              <w:rPr>
                <w:rFonts w:cs="Arial"/>
                <w:color w:val="000000" w:themeColor="text1"/>
                <w:sz w:val="20"/>
                <w:szCs w:val="20"/>
              </w:rPr>
              <w:t>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13 245 000,00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Budowa Domu Pomocy Społecznej i Środowiskowego Domu Samopomocy</w:t>
            </w:r>
            <w:r w:rsidRPr="00231888">
              <w:rPr>
                <w:rFonts w:cs="Arial"/>
                <w:color w:val="000000" w:themeColor="text1"/>
                <w:sz w:val="20"/>
                <w:szCs w:val="20"/>
              </w:rPr>
              <w:br/>
              <w:t xml:space="preserve">przy </w:t>
            </w:r>
            <w:r w:rsidRPr="00231888">
              <w:rPr>
                <w:rFonts w:cs="Arial"/>
                <w:bCs/>
                <w:color w:val="000000" w:themeColor="text1"/>
                <w:sz w:val="20"/>
                <w:szCs w:val="20"/>
              </w:rPr>
              <w:t>ul. Okulickiego 2</w:t>
            </w:r>
            <w:r w:rsidRPr="00231888">
              <w:rPr>
                <w:rFonts w:cs="Arial"/>
                <w:color w:val="000000" w:themeColor="text1"/>
                <w:sz w:val="20"/>
                <w:szCs w:val="20"/>
              </w:rPr>
              <w:t xml:space="preserve"> 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9 955 590,00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Modernizacja starej części budynku Środowiskowego Domu Samopomocy </w:t>
            </w:r>
            <w:r w:rsidRPr="00231888">
              <w:rPr>
                <w:rFonts w:cs="Arial"/>
                <w:color w:val="000000" w:themeColor="text1"/>
                <w:sz w:val="20"/>
                <w:szCs w:val="20"/>
              </w:rPr>
              <w:br/>
              <w:t xml:space="preserve">przy </w:t>
            </w:r>
            <w:r w:rsidRPr="00231888">
              <w:rPr>
                <w:rFonts w:cs="Arial"/>
                <w:bCs/>
                <w:color w:val="000000" w:themeColor="text1"/>
                <w:sz w:val="20"/>
                <w:szCs w:val="20"/>
              </w:rPr>
              <w:t>ul. Szkolnej 11</w:t>
            </w:r>
            <w:r w:rsidR="00231888">
              <w:rPr>
                <w:rFonts w:cs="Arial"/>
                <w:color w:val="000000" w:themeColor="text1"/>
                <w:sz w:val="20"/>
                <w:szCs w:val="20"/>
              </w:rPr>
              <w:t xml:space="preserve"> </w:t>
            </w:r>
            <w:r w:rsidRPr="00231888">
              <w:rPr>
                <w:rFonts w:cs="Arial"/>
                <w:color w:val="000000" w:themeColor="text1"/>
                <w:sz w:val="20"/>
                <w:szCs w:val="20"/>
              </w:rPr>
              <w:t>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1 950 000,00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Przebudowa obiektów na potrzeby MOPS</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2023-2029</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17 896 306,00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Modernizacja i rozbudowa Środowiskowego Domu Samopomocy</w:t>
            </w:r>
            <w:r w:rsidRPr="00231888">
              <w:rPr>
                <w:rFonts w:cs="Arial"/>
                <w:color w:val="000000" w:themeColor="text1"/>
                <w:sz w:val="20"/>
                <w:szCs w:val="20"/>
              </w:rPr>
              <w:br/>
              <w:t xml:space="preserve">przy </w:t>
            </w:r>
            <w:r w:rsidRPr="00231888">
              <w:rPr>
                <w:rFonts w:cs="Arial"/>
                <w:bCs/>
                <w:color w:val="000000" w:themeColor="text1"/>
                <w:sz w:val="20"/>
                <w:szCs w:val="20"/>
              </w:rPr>
              <w:t xml:space="preserve">ul. Nowowiejskiej 20f </w:t>
            </w:r>
            <w:r w:rsidRPr="00231888">
              <w:rPr>
                <w:rFonts w:cs="Arial"/>
                <w:color w:val="000000" w:themeColor="text1"/>
                <w:sz w:val="20"/>
                <w:szCs w:val="20"/>
              </w:rPr>
              <w:t>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2030</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Przebudowa i adaptacja budynku  na siedzibę Zespołu Terenowej Pracy Socjalnej, przy </w:t>
            </w:r>
            <w:r w:rsidRPr="00231888">
              <w:rPr>
                <w:rFonts w:cs="Arial"/>
                <w:bCs/>
                <w:color w:val="000000" w:themeColor="text1"/>
                <w:sz w:val="20"/>
                <w:szCs w:val="20"/>
              </w:rPr>
              <w:t>ul. Skoczylasa 8</w:t>
            </w:r>
            <w:r w:rsidRPr="00231888">
              <w:rPr>
                <w:rFonts w:cs="Arial"/>
                <w:color w:val="000000" w:themeColor="text1"/>
                <w:sz w:val="20"/>
                <w:szCs w:val="20"/>
              </w:rPr>
              <w:t xml:space="preserve"> 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3 900 000,00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 xml:space="preserve">Budowa docelowego schroniska dla bezdomnych kobiet z miejscami warsztatowymi, edukacyjnymi i przeciwdziałającymi bezdomności oraz z usługami opiekuńczymi. </w:t>
            </w:r>
            <w:r w:rsidRPr="00231888">
              <w:rPr>
                <w:rFonts w:cs="Arial"/>
                <w:bCs/>
                <w:color w:val="000000" w:themeColor="text1"/>
                <w:sz w:val="20"/>
                <w:szCs w:val="20"/>
              </w:rPr>
              <w:t>Ul. Pilczycka 26</w:t>
            </w:r>
            <w:r w:rsidRPr="00231888">
              <w:rPr>
                <w:rFonts w:cs="Arial"/>
                <w:color w:val="000000" w:themeColor="text1"/>
                <w:sz w:val="20"/>
                <w:szCs w:val="20"/>
              </w:rPr>
              <w:t xml:space="preserve"> we Wrocławiu</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2024-2027</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231888" w:rsidRDefault="009D4286" w:rsidP="00ED30DB">
            <w:pPr>
              <w:spacing w:after="0" w:line="240" w:lineRule="auto"/>
              <w:jc w:val="left"/>
              <w:rPr>
                <w:rFonts w:cs="Arial"/>
                <w:color w:val="000000" w:themeColor="text1"/>
                <w:sz w:val="20"/>
                <w:szCs w:val="20"/>
              </w:rPr>
            </w:pPr>
            <w:r w:rsidRPr="00231888">
              <w:rPr>
                <w:rFonts w:cs="Arial"/>
                <w:color w:val="000000" w:themeColor="text1"/>
                <w:sz w:val="20"/>
                <w:szCs w:val="20"/>
              </w:rPr>
              <w:t>Budowa wielofunkcyjnej placówki dla osób w kryzysie bezdomności,</w:t>
            </w:r>
            <w:r w:rsidRPr="00231888">
              <w:rPr>
                <w:rFonts w:cs="Arial"/>
                <w:color w:val="000000" w:themeColor="text1"/>
                <w:sz w:val="20"/>
                <w:szCs w:val="20"/>
              </w:rPr>
              <w:br/>
              <w:t xml:space="preserve">przy </w:t>
            </w:r>
            <w:r w:rsidRPr="00231888">
              <w:rPr>
                <w:rFonts w:cs="Arial"/>
                <w:bCs/>
                <w:color w:val="000000" w:themeColor="text1"/>
                <w:sz w:val="20"/>
                <w:szCs w:val="20"/>
              </w:rPr>
              <w:t>ul. Weroniki Kumko</w:t>
            </w:r>
            <w:r w:rsidRPr="00231888">
              <w:rPr>
                <w:rFonts w:cs="Arial"/>
                <w:color w:val="000000" w:themeColor="text1"/>
                <w:sz w:val="20"/>
                <w:szCs w:val="20"/>
              </w:rPr>
              <w:t xml:space="preserve"> we Wrocławiu (</w:t>
            </w:r>
            <w:proofErr w:type="spellStart"/>
            <w:r w:rsidRPr="00231888">
              <w:rPr>
                <w:rFonts w:cs="Arial"/>
                <w:color w:val="000000" w:themeColor="text1"/>
                <w:sz w:val="20"/>
                <w:szCs w:val="20"/>
              </w:rPr>
              <w:t>Osobowice</w:t>
            </w:r>
            <w:proofErr w:type="spellEnd"/>
            <w:r w:rsidRPr="00231888">
              <w:rPr>
                <w:rFonts w:cs="Arial"/>
                <w:color w:val="000000" w:themeColor="text1"/>
                <w:sz w:val="20"/>
                <w:szCs w:val="20"/>
              </w:rPr>
              <w:t>)</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Budowa/przebudowa/rozbudowa/remonty wrocławskich żłobków </w:t>
            </w:r>
            <w:r w:rsidR="00996BA6">
              <w:rPr>
                <w:rFonts w:cs="Arial"/>
                <w:color w:val="000000" w:themeColor="text1"/>
                <w:sz w:val="20"/>
                <w:szCs w:val="20"/>
              </w:rPr>
              <w:br/>
            </w:r>
            <w:r w:rsidRPr="00702D7A">
              <w:rPr>
                <w:rFonts w:cs="Arial"/>
                <w:color w:val="000000" w:themeColor="text1"/>
                <w:sz w:val="20"/>
                <w:szCs w:val="20"/>
              </w:rPr>
              <w:t xml:space="preserve">(z uwzględnieniem </w:t>
            </w:r>
            <w:proofErr w:type="spellStart"/>
            <w:r w:rsidRPr="00702D7A">
              <w:rPr>
                <w:rFonts w:cs="Arial"/>
                <w:color w:val="000000" w:themeColor="text1"/>
                <w:sz w:val="20"/>
                <w:szCs w:val="20"/>
              </w:rPr>
              <w:t>załej</w:t>
            </w:r>
            <w:proofErr w:type="spellEnd"/>
            <w:r w:rsidRPr="00702D7A">
              <w:rPr>
                <w:rFonts w:cs="Arial"/>
                <w:color w:val="000000" w:themeColor="text1"/>
                <w:sz w:val="20"/>
                <w:szCs w:val="20"/>
              </w:rPr>
              <w:t xml:space="preserve"> infrastruktury)</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162 600 000,00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Adaptacja poddasza w budynku kwarantanny (zwiększenie powierzchni użytkowej Placówki </w:t>
            </w:r>
            <w:proofErr w:type="spellStart"/>
            <w:r w:rsidRPr="00702D7A">
              <w:rPr>
                <w:rFonts w:cs="Arial"/>
                <w:color w:val="000000" w:themeColor="text1"/>
                <w:sz w:val="20"/>
                <w:szCs w:val="20"/>
              </w:rPr>
              <w:t>Interwecyjnej</w:t>
            </w:r>
            <w:proofErr w:type="spellEnd"/>
            <w:r w:rsidRPr="00702D7A">
              <w:rPr>
                <w:rFonts w:cs="Arial"/>
                <w:color w:val="000000" w:themeColor="text1"/>
                <w:sz w:val="20"/>
                <w:szCs w:val="20"/>
              </w:rPr>
              <w:t xml:space="preserve"> nr V)</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700 000,00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(kompleksowa) budynku poprzemysłowego od ul. Lutra pod centrum aktywności społecznej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104 000 000,00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NOWY OBIEKT- NOWA JAKOŚĆ-  Podniesienie jakości wykonywanych zadań publicznych zleconych organizacjom pozarządowym  poprzez wykonanie prac adaptacyjnych i modernizacyjnych, przystosowujących przede wszystkim lokale użytkowe będące w zasobach Gminy Wrocław, w których organizacje pozarządowe realizują zadania publiczne do obowiązujących przepisów, w tym przystosowanie dla </w:t>
            </w:r>
            <w:proofErr w:type="spellStart"/>
            <w:r w:rsidRPr="00702D7A">
              <w:rPr>
                <w:rFonts w:cs="Arial"/>
                <w:color w:val="000000" w:themeColor="text1"/>
                <w:sz w:val="20"/>
                <w:szCs w:val="20"/>
              </w:rPr>
              <w:t>osob</w:t>
            </w:r>
            <w:proofErr w:type="spellEnd"/>
            <w:r w:rsidRPr="00702D7A">
              <w:rPr>
                <w:rFonts w:cs="Arial"/>
                <w:color w:val="000000" w:themeColor="text1"/>
                <w:sz w:val="20"/>
                <w:szCs w:val="20"/>
              </w:rPr>
              <w:t xml:space="preserve"> ze szczególnymi potrzebami.</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4 000 000,00</w:t>
            </w:r>
          </w:p>
        </w:tc>
      </w:tr>
      <w:tr w:rsidR="009D4286" w:rsidRPr="00702D7A" w:rsidTr="001B6600">
        <w:trPr>
          <w:gridAfter w:val="1"/>
          <w:wAfter w:w="19" w:type="dxa"/>
          <w:trHeight w:val="900"/>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Rozbudowa sieci CAL/siedzib Rad Osiedli: </w:t>
            </w:r>
            <w:r w:rsidRPr="00702D7A">
              <w:rPr>
                <w:rFonts w:cs="Arial"/>
                <w:color w:val="000000" w:themeColor="text1"/>
                <w:sz w:val="20"/>
                <w:szCs w:val="20"/>
              </w:rPr>
              <w:br/>
              <w:t xml:space="preserve">ul. Księgarska 24 </w:t>
            </w:r>
            <w:r w:rsidRPr="00702D7A">
              <w:rPr>
                <w:rFonts w:cs="Arial"/>
                <w:color w:val="000000" w:themeColor="text1"/>
                <w:sz w:val="20"/>
                <w:szCs w:val="20"/>
              </w:rPr>
              <w:br/>
              <w:t>ul. Pęgowska 14</w:t>
            </w:r>
            <w:r w:rsidRPr="00702D7A">
              <w:rPr>
                <w:rFonts w:cs="Arial"/>
                <w:color w:val="000000" w:themeColor="text1"/>
                <w:sz w:val="20"/>
                <w:szCs w:val="20"/>
              </w:rPr>
              <w:br/>
              <w:t>ul. Kamieńskiego 256</w:t>
            </w:r>
            <w:r w:rsidRPr="00702D7A">
              <w:rPr>
                <w:rFonts w:cs="Arial"/>
                <w:color w:val="000000" w:themeColor="text1"/>
                <w:sz w:val="20"/>
                <w:szCs w:val="20"/>
              </w:rPr>
              <w:br/>
              <w:t>ul. Pawłowicka 78</w:t>
            </w:r>
            <w:r w:rsidRPr="00702D7A">
              <w:rPr>
                <w:rFonts w:cs="Arial"/>
                <w:color w:val="000000" w:themeColor="text1"/>
                <w:sz w:val="20"/>
                <w:szCs w:val="20"/>
              </w:rPr>
              <w:br/>
              <w:t xml:space="preserve">ul. </w:t>
            </w:r>
            <w:proofErr w:type="spellStart"/>
            <w:r w:rsidRPr="00702D7A">
              <w:rPr>
                <w:rFonts w:cs="Arial"/>
                <w:color w:val="000000" w:themeColor="text1"/>
                <w:sz w:val="20"/>
                <w:szCs w:val="20"/>
              </w:rPr>
              <w:t>Osobowicka</w:t>
            </w:r>
            <w:proofErr w:type="spellEnd"/>
            <w:r w:rsidRPr="00702D7A">
              <w:rPr>
                <w:rFonts w:cs="Arial"/>
                <w:color w:val="000000" w:themeColor="text1"/>
                <w:sz w:val="20"/>
                <w:szCs w:val="20"/>
              </w:rPr>
              <w:t xml:space="preserve"> 132</w:t>
            </w:r>
            <w:r w:rsidRPr="00702D7A">
              <w:rPr>
                <w:rFonts w:cs="Arial"/>
                <w:color w:val="000000" w:themeColor="text1"/>
                <w:sz w:val="20"/>
                <w:szCs w:val="20"/>
              </w:rPr>
              <w:br/>
              <w:t>ul. Gazowa 22</w:t>
            </w:r>
            <w:r w:rsidRPr="00702D7A">
              <w:rPr>
                <w:rFonts w:cs="Arial"/>
                <w:color w:val="000000" w:themeColor="text1"/>
                <w:sz w:val="20"/>
                <w:szCs w:val="20"/>
              </w:rPr>
              <w:br/>
              <w:t>ul. Semaforowa</w:t>
            </w:r>
            <w:r w:rsidRPr="00702D7A">
              <w:rPr>
                <w:rFonts w:cs="Arial"/>
                <w:color w:val="000000" w:themeColor="text1"/>
                <w:sz w:val="20"/>
                <w:szCs w:val="20"/>
              </w:rPr>
              <w:br/>
              <w:t xml:space="preserve">ul. </w:t>
            </w:r>
            <w:proofErr w:type="spellStart"/>
            <w:r w:rsidRPr="00702D7A">
              <w:rPr>
                <w:rFonts w:cs="Arial"/>
                <w:color w:val="000000" w:themeColor="text1"/>
                <w:sz w:val="20"/>
                <w:szCs w:val="20"/>
              </w:rPr>
              <w:t>Białodrzewna</w:t>
            </w:r>
            <w:proofErr w:type="spellEnd"/>
            <w:r w:rsidRPr="00702D7A">
              <w:rPr>
                <w:rFonts w:cs="Arial"/>
                <w:color w:val="000000" w:themeColor="text1"/>
                <w:sz w:val="20"/>
                <w:szCs w:val="20"/>
              </w:rPr>
              <w:t>,</w:t>
            </w:r>
            <w:r w:rsidRPr="00702D7A">
              <w:rPr>
                <w:rFonts w:cs="Arial"/>
                <w:color w:val="000000" w:themeColor="text1"/>
                <w:sz w:val="20"/>
                <w:szCs w:val="20"/>
              </w:rPr>
              <w:br/>
              <w:t xml:space="preserve">RO - Klecina, Kleczków, Krzyki </w:t>
            </w:r>
            <w:proofErr w:type="spellStart"/>
            <w:r w:rsidRPr="00702D7A">
              <w:rPr>
                <w:rFonts w:cs="Arial"/>
                <w:color w:val="000000" w:themeColor="text1"/>
                <w:sz w:val="20"/>
                <w:szCs w:val="20"/>
              </w:rPr>
              <w:t>Partynice</w:t>
            </w:r>
            <w:proofErr w:type="spellEnd"/>
            <w:r w:rsidRPr="00702D7A">
              <w:rPr>
                <w:rFonts w:cs="Arial"/>
                <w:color w:val="000000" w:themeColor="text1"/>
                <w:sz w:val="20"/>
                <w:szCs w:val="20"/>
              </w:rPr>
              <w:t xml:space="preserve">, </w:t>
            </w:r>
            <w:proofErr w:type="spellStart"/>
            <w:r w:rsidRPr="00702D7A">
              <w:rPr>
                <w:rFonts w:cs="Arial"/>
                <w:color w:val="000000" w:themeColor="text1"/>
                <w:sz w:val="20"/>
                <w:szCs w:val="20"/>
              </w:rPr>
              <w:t>Szczepin</w:t>
            </w:r>
            <w:proofErr w:type="spellEnd"/>
            <w:r w:rsidRPr="00702D7A">
              <w:rPr>
                <w:rFonts w:cs="Arial"/>
                <w:color w:val="000000" w:themeColor="text1"/>
                <w:sz w:val="20"/>
                <w:szCs w:val="20"/>
              </w:rPr>
              <w:t xml:space="preserve">, Pracze, </w:t>
            </w:r>
            <w:proofErr w:type="spellStart"/>
            <w:r w:rsidRPr="00702D7A">
              <w:rPr>
                <w:rFonts w:cs="Arial"/>
                <w:color w:val="000000" w:themeColor="text1"/>
                <w:sz w:val="20"/>
                <w:szCs w:val="20"/>
              </w:rPr>
              <w:t>Powst</w:t>
            </w:r>
            <w:proofErr w:type="spellEnd"/>
            <w:r w:rsidRPr="00702D7A">
              <w:rPr>
                <w:rFonts w:cs="Arial"/>
                <w:color w:val="000000" w:themeColor="text1"/>
                <w:sz w:val="20"/>
                <w:szCs w:val="20"/>
              </w:rPr>
              <w:t xml:space="preserve">. </w:t>
            </w:r>
            <w:proofErr w:type="spellStart"/>
            <w:r w:rsidRPr="00702D7A">
              <w:rPr>
                <w:rFonts w:cs="Arial"/>
                <w:color w:val="000000" w:themeColor="text1"/>
                <w:sz w:val="20"/>
                <w:szCs w:val="20"/>
              </w:rPr>
              <w:t>Sl</w:t>
            </w:r>
            <w:proofErr w:type="spellEnd"/>
            <w:r w:rsidRPr="00702D7A">
              <w:rPr>
                <w:rFonts w:cs="Arial"/>
                <w:color w:val="000000" w:themeColor="text1"/>
                <w:sz w:val="20"/>
                <w:szCs w:val="20"/>
              </w:rPr>
              <w:t xml:space="preserve">, </w:t>
            </w:r>
            <w:proofErr w:type="spellStart"/>
            <w:r w:rsidRPr="00702D7A">
              <w:rPr>
                <w:rFonts w:cs="Arial"/>
                <w:color w:val="000000" w:themeColor="text1"/>
                <w:sz w:val="20"/>
                <w:szCs w:val="20"/>
              </w:rPr>
              <w:t>Stabłowice</w:t>
            </w:r>
            <w:proofErr w:type="spellEnd"/>
            <w:r w:rsidRPr="00702D7A">
              <w:rPr>
                <w:rFonts w:cs="Arial"/>
                <w:color w:val="000000" w:themeColor="text1"/>
                <w:sz w:val="20"/>
                <w:szCs w:val="20"/>
              </w:rPr>
              <w:t>. Pawłowice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2023-2028 i dalej</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60 000 000,00</w:t>
            </w:r>
          </w:p>
        </w:tc>
      </w:tr>
      <w:tr w:rsidR="009D4286" w:rsidRPr="00702D7A" w:rsidTr="001B6600">
        <w:trPr>
          <w:gridAfter w:val="1"/>
          <w:wAfter w:w="19" w:type="dxa"/>
          <w:trHeight w:val="794"/>
        </w:trPr>
        <w:tc>
          <w:tcPr>
            <w:tcW w:w="0" w:type="auto"/>
            <w:shd w:val="clear" w:color="auto" w:fill="auto"/>
            <w:vAlign w:val="center"/>
          </w:tcPr>
          <w:p w:rsidR="009D4286" w:rsidRPr="00702D7A" w:rsidRDefault="009D4286" w:rsidP="001579AC">
            <w:pPr>
              <w:pStyle w:val="Akapitzlist"/>
              <w:numPr>
                <w:ilvl w:val="0"/>
                <w:numId w:val="51"/>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Rozbudowa Zakładu Opieki Zdrowotnej w Żórawinie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6 999 723,12</w:t>
            </w:r>
          </w:p>
        </w:tc>
      </w:tr>
      <w:tr w:rsidR="009D4286" w:rsidRPr="00702D7A" w:rsidTr="001B6600">
        <w:trPr>
          <w:trHeight w:val="450"/>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3: Edukacja</w:t>
            </w:r>
          </w:p>
        </w:tc>
      </w:tr>
      <w:tr w:rsidR="009D4286" w:rsidRPr="00702D7A" w:rsidTr="001B6600">
        <w:trPr>
          <w:gridAfter w:val="1"/>
          <w:wAfter w:w="19" w:type="dxa"/>
          <w:trHeight w:val="450"/>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Wyposażenie Zespołu Szkolno-Przedszkolnego w Rogowie </w:t>
            </w:r>
            <w:proofErr w:type="spellStart"/>
            <w:r w:rsidRPr="00702D7A">
              <w:rPr>
                <w:rFonts w:eastAsia="Times New Roman" w:cstheme="minorHAnsi"/>
                <w:color w:val="000000" w:themeColor="text1"/>
                <w:sz w:val="20"/>
                <w:szCs w:val="20"/>
                <w:lang w:eastAsia="pl-PL"/>
              </w:rPr>
              <w:t>Sobóckim</w:t>
            </w:r>
            <w:proofErr w:type="spellEnd"/>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1 500 000,00</w:t>
            </w:r>
          </w:p>
        </w:tc>
      </w:tr>
      <w:tr w:rsidR="009D4286" w:rsidRPr="00702D7A" w:rsidTr="001B6600">
        <w:trPr>
          <w:gridAfter w:val="1"/>
          <w:wAfter w:w="19" w:type="dxa"/>
          <w:trHeight w:val="450"/>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Rozwój edukacji przedszkolnej w gminie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225"/>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Upowszechnienie i zapewnienie wysokiej jakości edukacji przedszkolnej w Gminie Wrocław</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17 597 300,00</w:t>
            </w:r>
          </w:p>
        </w:tc>
      </w:tr>
      <w:tr w:rsidR="009D4286" w:rsidRPr="00702D7A" w:rsidTr="001B6600">
        <w:trPr>
          <w:gridAfter w:val="1"/>
          <w:wAfter w:w="19" w:type="dxa"/>
          <w:trHeight w:val="225"/>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Upowszechnienie i zapewnienie wysokiej jakości edukacji  w szkołach podstawowych  w Gminie Wrocław</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46 721 200,00</w:t>
            </w:r>
          </w:p>
        </w:tc>
      </w:tr>
      <w:tr w:rsidR="009D4286" w:rsidRPr="00702D7A" w:rsidTr="001B6600">
        <w:trPr>
          <w:gridAfter w:val="1"/>
          <w:wAfter w:w="19" w:type="dxa"/>
          <w:trHeight w:val="225"/>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Kompleksowy program rozwoju kompetencji transferowaln</w:t>
            </w:r>
            <w:r w:rsidR="006D3080">
              <w:rPr>
                <w:rFonts w:eastAsia="Times New Roman" w:cstheme="minorHAnsi"/>
                <w:color w:val="000000" w:themeColor="text1"/>
                <w:sz w:val="20"/>
                <w:szCs w:val="20"/>
                <w:lang w:eastAsia="pl-PL"/>
              </w:rPr>
              <w:t>ych i umieję</w:t>
            </w:r>
            <w:r w:rsidRPr="00702D7A">
              <w:rPr>
                <w:rFonts w:eastAsia="Times New Roman" w:cstheme="minorHAnsi"/>
                <w:color w:val="000000" w:themeColor="text1"/>
                <w:sz w:val="20"/>
                <w:szCs w:val="20"/>
                <w:lang w:eastAsia="pl-PL"/>
              </w:rPr>
              <w:t xml:space="preserve">tności cyfrowych oraz wsparcia dla uczniów </w:t>
            </w:r>
            <w:r w:rsidR="00231888">
              <w:rPr>
                <w:rFonts w:eastAsia="Times New Roman" w:cstheme="minorHAnsi"/>
                <w:color w:val="000000" w:themeColor="text1"/>
                <w:sz w:val="20"/>
                <w:szCs w:val="20"/>
                <w:lang w:eastAsia="pl-PL"/>
              </w:rPr>
              <w:t xml:space="preserve">szkół </w:t>
            </w:r>
            <w:r w:rsidRPr="00702D7A">
              <w:rPr>
                <w:rFonts w:eastAsia="Times New Roman" w:cstheme="minorHAnsi"/>
                <w:color w:val="000000" w:themeColor="text1"/>
                <w:sz w:val="20"/>
                <w:szCs w:val="20"/>
                <w:lang w:eastAsia="pl-PL"/>
              </w:rPr>
              <w:t xml:space="preserve">ponadpodstawowych uzupełniony </w:t>
            </w:r>
            <w:r w:rsidR="00231888">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o program rozwoju kompetencji „miękkich” i proinnowacyjnych uczennic i uczniów Gminy Wrocław</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9 500 000,00</w:t>
            </w:r>
          </w:p>
        </w:tc>
      </w:tr>
      <w:tr w:rsidR="009D4286" w:rsidRPr="00702D7A" w:rsidTr="001B6600">
        <w:trPr>
          <w:gridAfter w:val="1"/>
          <w:wAfter w:w="19" w:type="dxa"/>
          <w:trHeight w:val="225"/>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efektywności kształcenia w szkołach podstawowych poprzez edukację ekologiczną i zajęcia sportowe</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9 000 000,00</w:t>
            </w:r>
          </w:p>
        </w:tc>
      </w:tr>
      <w:tr w:rsidR="009D4286" w:rsidRPr="00702D7A" w:rsidTr="001B6600">
        <w:trPr>
          <w:gridAfter w:val="1"/>
          <w:wAfter w:w="19" w:type="dxa"/>
          <w:trHeight w:val="225"/>
        </w:trPr>
        <w:tc>
          <w:tcPr>
            <w:tcW w:w="0" w:type="auto"/>
            <w:shd w:val="clear" w:color="auto" w:fill="auto"/>
            <w:vAlign w:val="center"/>
          </w:tcPr>
          <w:p w:rsidR="009D4286" w:rsidRPr="00702D7A" w:rsidRDefault="009D4286" w:rsidP="001579AC">
            <w:pPr>
              <w:pStyle w:val="Akapitzlist"/>
              <w:numPr>
                <w:ilvl w:val="0"/>
                <w:numId w:val="52"/>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Adaptacja placówek oświatowych na terenie Wrocławia wraz z podniesieniem świadomości ekologicznej w zakresie zachodzących zmian klimatycznych wśród młodzieży i nauczycieli</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3 300 000,00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5: Innowacyjność</w:t>
            </w:r>
          </w:p>
        </w:tc>
      </w:tr>
      <w:tr w:rsidR="009D4286" w:rsidRPr="00702D7A" w:rsidTr="001B6600">
        <w:trPr>
          <w:gridAfter w:val="1"/>
          <w:wAfter w:w="19" w:type="dxa"/>
          <w:trHeight w:val="675"/>
        </w:trPr>
        <w:tc>
          <w:tcPr>
            <w:tcW w:w="0" w:type="auto"/>
            <w:shd w:val="clear" w:color="auto" w:fill="auto"/>
            <w:vAlign w:val="center"/>
          </w:tcPr>
          <w:p w:rsidR="009D4286" w:rsidRPr="00702D7A" w:rsidRDefault="00D874CB"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1.</w:t>
            </w:r>
          </w:p>
        </w:tc>
        <w:tc>
          <w:tcPr>
            <w:tcW w:w="1860"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231888">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Rozwój i wzmocnienie zdolności innowacyjnej Dolnego Śląska poprzez rewitalizację obszaru EC </w:t>
            </w:r>
            <w:proofErr w:type="spellStart"/>
            <w:r w:rsidRPr="00702D7A">
              <w:rPr>
                <w:rFonts w:eastAsia="Times New Roman" w:cstheme="minorHAnsi"/>
                <w:color w:val="000000" w:themeColor="text1"/>
                <w:sz w:val="20"/>
                <w:szCs w:val="20"/>
                <w:lang w:eastAsia="pl-PL"/>
              </w:rPr>
              <w:t>Czechnica</w:t>
            </w:r>
            <w:proofErr w:type="spellEnd"/>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40 000 000,00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6: Cyfryzacja</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231888">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Wdrożenie </w:t>
            </w:r>
            <w:r w:rsidR="00231888">
              <w:rPr>
                <w:rFonts w:eastAsia="Times New Roman" w:cstheme="minorHAnsi"/>
                <w:color w:val="000000" w:themeColor="text1"/>
                <w:sz w:val="20"/>
                <w:szCs w:val="20"/>
                <w:lang w:eastAsia="pl-PL"/>
              </w:rPr>
              <w:t>e</w:t>
            </w:r>
            <w:r w:rsidRPr="00702D7A">
              <w:rPr>
                <w:rFonts w:eastAsia="Times New Roman" w:cstheme="minorHAnsi"/>
                <w:color w:val="000000" w:themeColor="text1"/>
                <w:sz w:val="20"/>
                <w:szCs w:val="20"/>
                <w:lang w:eastAsia="pl-PL"/>
              </w:rPr>
              <w:t>-usług usprawniających procesy administracyjne w gminie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Rozwój e-usług publicznych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Rozwój e-usług publicznych na obszarze Gminy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Wdrożenie e-usług usprawniających procesy administracyjne w gminie Sobótka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E-usługi w gminie Wisznia Mała zwiększające dostęp mieszkańców do usług publicznych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1 230 000,00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Robotyzacja procesów realizowanych w WPO</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Wdrożenie technologii </w:t>
            </w:r>
            <w:proofErr w:type="spellStart"/>
            <w:r w:rsidRPr="00702D7A">
              <w:rPr>
                <w:rFonts w:eastAsia="Times New Roman" w:cstheme="minorHAnsi"/>
                <w:color w:val="000000" w:themeColor="text1"/>
                <w:sz w:val="20"/>
                <w:szCs w:val="20"/>
                <w:lang w:eastAsia="pl-PL"/>
              </w:rPr>
              <w:t>voicebota</w:t>
            </w:r>
            <w:proofErr w:type="spellEnd"/>
            <w:r w:rsidRPr="00702D7A">
              <w:rPr>
                <w:rFonts w:eastAsia="Times New Roman" w:cstheme="minorHAnsi"/>
                <w:color w:val="000000" w:themeColor="text1"/>
                <w:sz w:val="20"/>
                <w:szCs w:val="20"/>
                <w:lang w:eastAsia="pl-PL"/>
              </w:rPr>
              <w:t xml:space="preserve"> do obsługi zapytań telefonicznych od Mieszkańców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Modernizacje silnika strony BIP pod nowy standard CMS wraz z dostosowaniem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do większej ilości odwiedzających stronę i łatwiejszą modyfikacją zamieszczanych treści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Modułowy system  zarządzania nieruchomościami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Zintegrowana Platforma Zarządzania JST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etap II - integracja z systemami, rejestrami i bazami danych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System do zarządzania zasobem zieleni miejskiej we Wrocławiu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Zielone Inwestycje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ZZM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System aplikacji mobilnych i paneli zarządzania usługami społecznymi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Ochrona przyrody i klimatu – Baza danych przyrodniczych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Ochrona klimatu – System monitoringu miejskiej wyspy ciepła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Ochrona przyrody i klimatu - Mapa Koron Drzew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Stworzenie platformy umożliwiającej składanie ofert na zadania pn. Uniwersytety Trzeciego Wieku przez  Wyższe Uczelnie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750 000,00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Systemy umożliwiające pracę zdalną i bezpieczeństwo danych osobowych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Wdrożenie elektronicznych wywiadów środowiskowych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Wdrożenie jednolitej platformy do przeprowadzania zakupów dostaw, usług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robót budowlanych w trybach zgodnych z ustawą Prawo Zamówień Publicznych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systemu monitoringu prewencyjnego Wrocławia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Udostępnienie aplikacji mobilnej "Dostępny Wrocław"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RESPECTRUM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3"/>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Czat Video</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4 200 000,00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7: Rynek pracy</w:t>
            </w:r>
          </w:p>
        </w:tc>
      </w:tr>
      <w:tr w:rsidR="009D4286" w:rsidRPr="00702D7A" w:rsidTr="001B6600">
        <w:trPr>
          <w:gridAfter w:val="1"/>
          <w:wAfter w:w="19" w:type="dxa"/>
          <w:trHeight w:val="675"/>
        </w:trPr>
        <w:tc>
          <w:tcPr>
            <w:tcW w:w="0" w:type="auto"/>
            <w:shd w:val="clear" w:color="auto" w:fill="auto"/>
            <w:vAlign w:val="center"/>
          </w:tcPr>
          <w:p w:rsidR="009D4286" w:rsidRPr="00702D7A" w:rsidRDefault="00D874CB"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1.</w:t>
            </w: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Aktywny powrót na rynek pracy. Celowane kursy i szkolenia zgodne z potrzebami regionalnego rynku pracy. Podnoszenie i nabywanie kompetencji zawodowych przez dorosłych mieszkańców ZIT WrOF.</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8: Turystyka</w:t>
            </w:r>
          </w:p>
        </w:tc>
      </w:tr>
      <w:tr w:rsidR="009D4286" w:rsidRPr="00702D7A" w:rsidTr="001B6600">
        <w:trPr>
          <w:gridAfter w:val="1"/>
          <w:wAfter w:w="19" w:type="dxa"/>
          <w:trHeight w:val="675"/>
        </w:trPr>
        <w:tc>
          <w:tcPr>
            <w:tcW w:w="0" w:type="auto"/>
            <w:shd w:val="clear" w:color="auto" w:fill="auto"/>
            <w:vAlign w:val="center"/>
          </w:tcPr>
          <w:p w:rsidR="009D4286" w:rsidRPr="00702D7A" w:rsidRDefault="00D874CB"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1.</w:t>
            </w: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Jelcz-Laskowice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Zagospodarowanie terenu ośrodka wypoczynkowego nad stawem w Jelczu-Laskowicach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D874CB" w:rsidP="00ED30DB">
            <w:pPr>
              <w:spacing w:after="0" w:line="240" w:lineRule="auto"/>
              <w:jc w:val="center"/>
              <w:rPr>
                <w:rFonts w:eastAsia="Times New Roman" w:cstheme="minorHAnsi"/>
                <w:color w:val="000000"/>
                <w:sz w:val="20"/>
                <w:szCs w:val="20"/>
                <w:lang w:eastAsia="pl-PL"/>
              </w:rPr>
            </w:pPr>
            <w:r w:rsidRPr="00702D7A">
              <w:rPr>
                <w:rFonts w:eastAsia="Times New Roman" w:cstheme="minorHAnsi"/>
                <w:color w:val="000000"/>
                <w:sz w:val="20"/>
                <w:szCs w:val="20"/>
                <w:lang w:eastAsia="pl-PL"/>
              </w:rPr>
              <w:t>2.</w:t>
            </w: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231888" w:rsidP="00ED30DB">
            <w:pPr>
              <w:spacing w:after="0" w:line="240" w:lineRule="auto"/>
              <w:jc w:val="left"/>
              <w:rPr>
                <w:rFonts w:eastAsia="Times New Roman" w:cstheme="minorHAnsi"/>
                <w:color w:val="000000" w:themeColor="text1"/>
                <w:sz w:val="20"/>
                <w:szCs w:val="20"/>
                <w:lang w:eastAsia="pl-PL"/>
              </w:rPr>
            </w:pPr>
            <w:r>
              <w:rPr>
                <w:rFonts w:eastAsia="Times New Roman" w:cstheme="minorHAnsi"/>
                <w:color w:val="000000" w:themeColor="text1"/>
                <w:sz w:val="20"/>
                <w:szCs w:val="20"/>
                <w:lang w:eastAsia="pl-PL"/>
              </w:rPr>
              <w:t xml:space="preserve">Gmina Siechnice – </w:t>
            </w:r>
            <w:r w:rsidR="009D4286" w:rsidRPr="00702D7A">
              <w:rPr>
                <w:rFonts w:eastAsia="Times New Roman" w:cstheme="minorHAnsi"/>
                <w:color w:val="000000" w:themeColor="text1"/>
                <w:sz w:val="20"/>
                <w:szCs w:val="20"/>
                <w:lang w:eastAsia="pl-PL"/>
              </w:rPr>
              <w:t>gminą atrakcyjną turystycznie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12 000 000,00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9: Gospodarka o obiegu zamkniętym</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i rozbudowa odnawialnych źródeł energii – Klaster energetyczny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Rozbudowa sieci </w:t>
            </w:r>
            <w:proofErr w:type="spellStart"/>
            <w:r w:rsidRPr="00702D7A">
              <w:rPr>
                <w:rFonts w:eastAsia="Times New Roman" w:cstheme="minorHAnsi"/>
                <w:color w:val="000000" w:themeColor="text1"/>
                <w:sz w:val="20"/>
                <w:szCs w:val="20"/>
                <w:lang w:eastAsia="pl-PL"/>
              </w:rPr>
              <w:t>EkoPunktów</w:t>
            </w:r>
            <w:proofErr w:type="spellEnd"/>
            <w:r w:rsidRPr="00702D7A">
              <w:rPr>
                <w:rFonts w:eastAsia="Times New Roman" w:cstheme="minorHAnsi"/>
                <w:color w:val="000000" w:themeColor="text1"/>
                <w:sz w:val="20"/>
                <w:szCs w:val="20"/>
                <w:lang w:eastAsia="pl-PL"/>
              </w:rPr>
              <w:t xml:space="preserve"> (Punktów Selektywnego Zbierania Odpadów Komunalnych - PSZOK) wraz z wyposażeniem w punkty napraw i ponownego użycia produktów oraz modernizacja istniejących </w:t>
            </w:r>
            <w:proofErr w:type="spellStart"/>
            <w:r w:rsidRPr="00702D7A">
              <w:rPr>
                <w:rFonts w:eastAsia="Times New Roman" w:cstheme="minorHAnsi"/>
                <w:color w:val="000000" w:themeColor="text1"/>
                <w:sz w:val="20"/>
                <w:szCs w:val="20"/>
                <w:lang w:eastAsia="pl-PL"/>
              </w:rPr>
              <w:t>EkoPunktów</w:t>
            </w:r>
            <w:proofErr w:type="spellEnd"/>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73 000 000,00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Centrum Przetwarzania Odpadów Wielkogabarytowych wraz z punktem napraw drugiego użycia produktów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Optymalizacja  systemu gospodarki odpadami w zakresie odbioru odpadów komunalnych na terenie gminy Wrocław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223 400 000,00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Dolnośląskie Centrum GOZ</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Zagospodarowania terenu pod miejsca zbiórki odpadów w obrębie ulic: Dembowskiego, Partyzantów, Waryńskiego (Sępolno część południowa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Etap 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5 242 000,00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4"/>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Zagospodarowania terenu pod miejsca zbiórki odpadów  (Sępolno część wschodnia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Etap II)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10: Transformacja energetyczna</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instalacji fotowoltaicznych na budynkach użyteczności publicznej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w Gminie Kobierzyce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farmy fotowoltaicznej w Gminie Kobierzyce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Wykorzystanie ciepła geotermalnego, jako alternatywnego źródła energii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oraz rozbudowa OZE na budynkach użyteczności publicznej w gminie Miękinia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Energia odnawialna na terenie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2 492 875,00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instalacji fotowoltaicznych na budynkach użyteczności publicznej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wraz z magazynem energii oraz budową infrastruktury do ładowania pojazdów elektrycznych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instalacji fotowoltaicznej na budynkach użyteczności publicznej w Gminie Oleśnica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Trzebnica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energetyczna w Szkole Podstawowej w Ujeźdźcu Wielkim – panele fotowol</w:t>
            </w:r>
            <w:r w:rsidR="006D3080">
              <w:rPr>
                <w:rFonts w:eastAsia="Times New Roman" w:cstheme="minorHAnsi"/>
                <w:color w:val="000000" w:themeColor="text1"/>
                <w:sz w:val="20"/>
                <w:szCs w:val="20"/>
                <w:lang w:eastAsia="pl-PL"/>
              </w:rPr>
              <w:t>ta</w:t>
            </w:r>
            <w:r w:rsidRPr="00702D7A">
              <w:rPr>
                <w:rFonts w:eastAsia="Times New Roman" w:cstheme="minorHAnsi"/>
                <w:color w:val="000000" w:themeColor="text1"/>
                <w:sz w:val="20"/>
                <w:szCs w:val="20"/>
                <w:lang w:eastAsia="pl-PL"/>
              </w:rPr>
              <w:t>iczne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Trzebnica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energetyczna w Szkole Podstawowej w Ujeźdźcu Wielkim – magazyn energii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Realizacja OZE na budynkach miejskich</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13 000 000,00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Zawonia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instalacji fotowoltaicznej oraz magazynów energii na budynkach użyteczności publicznej w Gminie Zawonia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980 603,00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5"/>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sieci ciepłowniczej wykorzystującego energię </w:t>
            </w:r>
            <w:proofErr w:type="spellStart"/>
            <w:r w:rsidRPr="00702D7A">
              <w:rPr>
                <w:rFonts w:eastAsia="Times New Roman" w:cstheme="minorHAnsi"/>
                <w:color w:val="000000" w:themeColor="text1"/>
                <w:sz w:val="20"/>
                <w:szCs w:val="20"/>
                <w:lang w:eastAsia="pl-PL"/>
              </w:rPr>
              <w:t>biogazowni</w:t>
            </w:r>
            <w:proofErr w:type="spellEnd"/>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12 480 000,00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11: Gospodarka niskoemisyjna</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Granty OZE dla mieszkańców obszarów wiejskich (projekt grantowy/parasolowy)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Granty OZE dla mieszkańców gminy Czernica – </w:t>
            </w:r>
            <w:proofErr w:type="spellStart"/>
            <w:r w:rsidRPr="00702D7A">
              <w:rPr>
                <w:rFonts w:eastAsia="Times New Roman" w:cstheme="minorHAnsi"/>
                <w:color w:val="000000" w:themeColor="text1"/>
                <w:sz w:val="20"/>
                <w:szCs w:val="20"/>
                <w:lang w:eastAsia="pl-PL"/>
              </w:rPr>
              <w:t>mikroinstalacje</w:t>
            </w:r>
            <w:proofErr w:type="spellEnd"/>
            <w:r w:rsidRPr="00702D7A">
              <w:rPr>
                <w:rFonts w:eastAsia="Times New Roman" w:cstheme="minorHAnsi"/>
                <w:color w:val="000000" w:themeColor="text1"/>
                <w:sz w:val="20"/>
                <w:szCs w:val="20"/>
                <w:lang w:eastAsia="pl-PL"/>
              </w:rPr>
              <w:t xml:space="preserve"> (IF) (projekt grantowy/parasolowy)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Granty OZE dla mieszkańców gminy Czernica – magazyny energii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(projekt grantowy/parasolowy)</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Odnawialne Źródła Energii na terenie gminy Czernica (projekt samorządowy)</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3 915 538,00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budynków użyteczności publicznej, ograniczenie niskiej emisji, poprawa efektywności energetycznej – szkoły, przedszkola, budynek Urzędu Gminy, świetlice, sale sportowe, remizy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13 900 000,00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Granty OZE dla mieszkańców gminy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231888" w:rsidP="00ED30DB">
            <w:pPr>
              <w:spacing w:after="0" w:line="240" w:lineRule="auto"/>
              <w:jc w:val="left"/>
              <w:rPr>
                <w:rFonts w:eastAsia="Times New Roman" w:cstheme="minorHAnsi"/>
                <w:color w:val="000000" w:themeColor="text1"/>
                <w:sz w:val="20"/>
                <w:szCs w:val="20"/>
                <w:lang w:eastAsia="pl-PL"/>
              </w:rPr>
            </w:pPr>
            <w:r>
              <w:rPr>
                <w:rFonts w:eastAsia="Times New Roman" w:cstheme="minorHAnsi"/>
                <w:color w:val="000000" w:themeColor="text1"/>
                <w:sz w:val="20"/>
                <w:szCs w:val="20"/>
                <w:lang w:eastAsia="pl-PL"/>
              </w:rPr>
              <w:t>Budowa i modernizacja</w:t>
            </w:r>
            <w:r w:rsidR="009D4286" w:rsidRPr="00702D7A">
              <w:rPr>
                <w:rFonts w:eastAsia="Times New Roman" w:cstheme="minorHAnsi"/>
                <w:color w:val="000000" w:themeColor="text1"/>
                <w:sz w:val="20"/>
                <w:szCs w:val="20"/>
                <w:lang w:eastAsia="pl-PL"/>
              </w:rPr>
              <w:t xml:space="preserve"> oświetlenie drogowego oraz oświetlenia miejsc publicznych na terenie gminy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Jelcz-Laskowice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energetyczna budynków użyteczności publicznej na terenie Gminy Jelcz-Laskowice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budynku Szkoły Podstawowej w Pustkowie Wilczkowskim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Ograniczenie niskiej emisji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4 350 000,00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Optymalizacja zarządzania energią w budynkach użyteczności publicznej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oświetlenia ulicznego</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3 915 000,00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A1431D"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budynku Przychodni Rejonowo – Specjalistycznej nr 1</w:t>
            </w:r>
          </w:p>
          <w:p w:rsidR="009D4286" w:rsidRPr="00702D7A"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przy ul. Ludwikowskiej w Oleśnicy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budynków i obiektów użytkowanych przez  Oleśnicki  Kompleks Rekreacyjny  „ATOL” Sp. z o.o., mająca na celu poprawę efektywności energetycznej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żłobka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miejskiego zasobu komunalnego oraz budynku użyteczności publicznej przy ul. Kamiennej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i rozwój istniejącej sieci ciepłowniczej w Oławie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budynku demonstracyjnego - świetlica wiejska w Kadłubie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obiektów użyteczności publicznej na terenie gminy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Wymiana źródła ciepła (kotłów, pieców, urządzeń grzewczych) w gospodarstwach domowych (w budynkach mieszkalnych jednorodzinnych i wielorodzinnych)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w budynkach użyteczności publicznej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Likwidacja bezklasowych źródeł ciepła oraz montaż energooszczędnego ogrzewania w budynkach jednostek oświatowych w Pęgowie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energooszczędnego oświetlenia ulicznego w Gminie Oleśnica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obiektów użyteczności publicznej na terenie Gminy Oleśnica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efektywności energetycznej szkół w Osieku, Chwalibożycach, Drzemlikowicach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Kompleksowa modernizacja energetyczna gminy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Poprawa efektywności energetycznej Zespołu Szkolno-Przedszkolnego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w Świątnikach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budynku użyteczności publicznej w Sobótce przy ul. Strzelców 2</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767C0F"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efektywności energetycznej budynków publicznych w Gminie Wisznia Mała w miejscowościach Piotrkowiczki, Strzeszów i Wysoki Kościół</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767C0F"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1 611 400,00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efektywności energetycznej budynków</w:t>
            </w: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 komunalnym zasobie mieszkaniowym Gminy Wrocław) - ZZK</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146 000 000,00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Zadanie 1a: Góralskiej 38, Myśliwskiej 6 i 7, Worcella 9 i 12, Dąbrowskiego 3 i 5, Zyndrama 3-4, Wąskiej 3, pl. św. Macieja 12</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Zadanie 1b: Cybulskiego 33, Roosevelta 17, Wygodnej 10, Wyszyńskiego 52 i 106, Żeromskiego 3 i 5, Cieszyńskiego 12/13</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18 000 000,00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Zadanie 1c: Góralskiej 32 i 40, Legnickiej 68 i 70, Podwale 36, Pszennej 13, Rejtana 3, Tęczowej 69, Zachodniej 4</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18 000 000,00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Zadanie 1d: Jagiellończyka 11, 13, 37, 40A, 42, Jedności Narodowej 153A, 153B, 153, 155B, 157A, 157B, Kniaziewicza 6, 24, 24A, Krasińskiego 42 </w:t>
            </w:r>
            <w:r w:rsidR="00231888">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46, Ledóchowskiego 6, Otwartej 14A i 16A, Paulińskiej 5A, Rydygiera 23, 29A, 49, Żeromskiego 78 i 83A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Zadanie 1e: 20 budynków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40 000 000,00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Kompleksowa termomodernizacja wybranych kamienic we Wrocławiu - ZZK</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87 000 000,00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Zadanie 2a: </w:t>
            </w:r>
            <w:proofErr w:type="spellStart"/>
            <w:r w:rsidRPr="00702D7A">
              <w:rPr>
                <w:rFonts w:eastAsia="Times New Roman" w:cstheme="minorHAnsi"/>
                <w:color w:val="000000" w:themeColor="text1"/>
                <w:sz w:val="20"/>
                <w:szCs w:val="20"/>
                <w:lang w:eastAsia="pl-PL"/>
              </w:rPr>
              <w:t>Baryckiej</w:t>
            </w:r>
            <w:proofErr w:type="spellEnd"/>
            <w:r w:rsidRPr="00702D7A">
              <w:rPr>
                <w:rFonts w:eastAsia="Times New Roman" w:cstheme="minorHAnsi"/>
                <w:color w:val="000000" w:themeColor="text1"/>
                <w:sz w:val="20"/>
                <w:szCs w:val="20"/>
                <w:lang w:eastAsia="pl-PL"/>
              </w:rPr>
              <w:t xml:space="preserve"> 9, Dworcowej 5A, 5B, 12, Kniaziewicza 15A, Legnickiej 27, Łowieckiej 9 , Małachowskiego 16, 20, 22, Tęczowej 50 i 48, Ptasiej 9, 11, 13, 15, Sokolniczej 40 i 42, pl. Strzeleckim 5 i 6</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25 000 000,00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Zadanie 2b: Jedności Narodowej 47 i 47A, Kluczborskiej 23, Kurkowej 61-63, 65, </w:t>
            </w:r>
            <w:proofErr w:type="spellStart"/>
            <w:r w:rsidRPr="00702D7A">
              <w:rPr>
                <w:rFonts w:eastAsia="Times New Roman" w:cstheme="minorHAnsi"/>
                <w:color w:val="000000" w:themeColor="text1"/>
                <w:sz w:val="20"/>
                <w:szCs w:val="20"/>
                <w:lang w:eastAsia="pl-PL"/>
              </w:rPr>
              <w:t>Ołbińskiej</w:t>
            </w:r>
            <w:proofErr w:type="spellEnd"/>
            <w:r w:rsidRPr="00702D7A">
              <w:rPr>
                <w:rFonts w:eastAsia="Times New Roman" w:cstheme="minorHAnsi"/>
                <w:color w:val="000000" w:themeColor="text1"/>
                <w:sz w:val="20"/>
                <w:szCs w:val="20"/>
                <w:lang w:eastAsia="pl-PL"/>
              </w:rPr>
              <w:t xml:space="preserve"> 12, Paulińskiej 13, Ptasiej 14, 25, 27, Śrutowej 12, pl. Strzeleckim 7, 8, 9, 11, 15, 17, 23A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28 000 000,00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Zadanie 2c: Dworcowej 8 i 10, Ks. Witolda 78, Niemcewicza 9, Ptasiej 38, Ruskiej 47/47A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Zadanie 2d: B. Tomasza I 7, 11, 12, 14, Brodatego 9, Cieszyńskiego 14, Kurkowej 34, Łukasińskiego 6, 7, 10, 16, 15A, 15B, pl. </w:t>
            </w:r>
            <w:proofErr w:type="spellStart"/>
            <w:r w:rsidRPr="00702D7A">
              <w:rPr>
                <w:rFonts w:eastAsia="Times New Roman" w:cstheme="minorHAnsi"/>
                <w:color w:val="000000" w:themeColor="text1"/>
                <w:sz w:val="20"/>
                <w:szCs w:val="20"/>
                <w:lang w:eastAsia="pl-PL"/>
              </w:rPr>
              <w:t>Nankiera</w:t>
            </w:r>
            <w:proofErr w:type="spellEnd"/>
            <w:r w:rsidRPr="00702D7A">
              <w:rPr>
                <w:rFonts w:eastAsia="Times New Roman" w:cstheme="minorHAnsi"/>
                <w:color w:val="000000" w:themeColor="text1"/>
                <w:sz w:val="20"/>
                <w:szCs w:val="20"/>
                <w:lang w:eastAsia="pl-PL"/>
              </w:rPr>
              <w:t xml:space="preserve"> 5/6, Niemcewicza 30B i 37, </w:t>
            </w:r>
            <w:proofErr w:type="spellStart"/>
            <w:r w:rsidRPr="00702D7A">
              <w:rPr>
                <w:rFonts w:eastAsia="Times New Roman" w:cstheme="minorHAnsi"/>
                <w:color w:val="000000" w:themeColor="text1"/>
                <w:sz w:val="20"/>
                <w:szCs w:val="20"/>
                <w:lang w:eastAsia="pl-PL"/>
              </w:rPr>
              <w:t>Ołbińskiej</w:t>
            </w:r>
            <w:proofErr w:type="spellEnd"/>
            <w:r w:rsidRPr="00702D7A">
              <w:rPr>
                <w:rFonts w:eastAsia="Times New Roman" w:cstheme="minorHAnsi"/>
                <w:color w:val="000000" w:themeColor="text1"/>
                <w:sz w:val="20"/>
                <w:szCs w:val="20"/>
                <w:lang w:eastAsia="pl-PL"/>
              </w:rPr>
              <w:t xml:space="preserve"> 5, 7, 15, 17, 18, </w:t>
            </w:r>
            <w:proofErr w:type="spellStart"/>
            <w:r w:rsidRPr="00702D7A">
              <w:rPr>
                <w:rFonts w:eastAsia="Times New Roman" w:cstheme="minorHAnsi"/>
                <w:color w:val="000000" w:themeColor="text1"/>
                <w:sz w:val="20"/>
                <w:szCs w:val="20"/>
                <w:lang w:eastAsia="pl-PL"/>
              </w:rPr>
              <w:t>Podwórcowej</w:t>
            </w:r>
            <w:proofErr w:type="spellEnd"/>
            <w:r w:rsidRPr="00702D7A">
              <w:rPr>
                <w:rFonts w:eastAsia="Times New Roman" w:cstheme="minorHAnsi"/>
                <w:color w:val="000000" w:themeColor="text1"/>
                <w:sz w:val="20"/>
                <w:szCs w:val="20"/>
                <w:lang w:eastAsia="pl-PL"/>
              </w:rPr>
              <w:t xml:space="preserve"> 11, Prusa 28A, Tęczowej 38 i 40, Wysokiej 4, Żeromskiego 73</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27 000 000,00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Kompleksowa termomodernizacja wybranych kamienic we Wrocławiu </w:t>
            </w:r>
            <w:r w:rsidR="00231888">
              <w:rPr>
                <w:rFonts w:eastAsia="Times New Roman" w:cstheme="minorHAnsi"/>
                <w:color w:val="000000" w:themeColor="text1"/>
                <w:sz w:val="20"/>
                <w:szCs w:val="20"/>
                <w:lang w:eastAsia="pl-PL"/>
              </w:rPr>
              <w:t>–</w:t>
            </w:r>
            <w:r w:rsidRPr="00702D7A">
              <w:rPr>
                <w:rFonts w:eastAsia="Times New Roman" w:cstheme="minorHAnsi"/>
                <w:color w:val="000000" w:themeColor="text1"/>
                <w:sz w:val="20"/>
                <w:szCs w:val="20"/>
                <w:lang w:eastAsia="pl-PL"/>
              </w:rPr>
              <w:t xml:space="preserve"> ZZK</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2026-2030</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295 000 000,00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zasobu TBS Wrocław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50 000 000,00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Kompleksowa termomodernizacja wybranych kamienic we Wrocławiu (w tym termomodernizacja z wymianą źródeł ogrzewania w budynkach mieszkalnych) - WM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46 999 848,00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Roboty budowlane w zakresie wydzielenia i remontu pomieszczenia węzła cieplnego, montaż instalacji sanitarnych włącznie z instalacją węzła, remont dachu i więźby dachowej oraz budowa przyłącza wodociągowego</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Opolska 53</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Opolska 55</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Opolska 99</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5 558 767,00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Kleczkowska 6</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2 203 419,00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Kleczkowska 34</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2 646 766,00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Kraszewskiego 26</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1 866 443,00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  prace interwencyjne</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Al. Kromera 4</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2 954 961,00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Górnośląska 6</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1 865 000,00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Grunwaldzka 34</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1 670 000,00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 prace interwencyjne</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Św. Jerzego 13</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3 934 492,00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Piastowska 27a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2 150 000,00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Piastowska 29a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2 150 000,00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Zmiana systemu ogrzewania i termomodernizacja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Czajkowskiego 32</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z wymianą źródeł ogrzewania w budynkach mieszkalnych w roku 2024 -WM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17 000 000,00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Kompleksowa termomodernizacja wybranych kamienic we Wrocławiu - WM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54 000 000,00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budynków mieszkalnych (bez wymiany źródeł ciepła)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 roku 2024</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Chudoby 9</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Prądzyńskiego 3, 20A, 20, 24,39</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Więckowskiego 20, 21</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Brzeska 25A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Komuny Paryskiej 82,84</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11 000 000,00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budynków mieszkalnych w roku 2025 (bez wymiany źródeł ciepła)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Prądzyńskiego 5, 23,43</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Benedyktyńska 20, 22 , 24</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Rozbrat 1</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Sępa Szarzyńskiego 43, 47, 59, 61,  63, 65 A, 65, 68, 69, 73</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Więckowskiego 32</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Grunwaldzka 3-5</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Grunwaldzka 8 A,10 A, 12 A</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Ładna 17, 27</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Krakowska 25, 27</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27 000 000,00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budynków mieszkalnych w roku 2027</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Górnośląska 6</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Opolska 53, 55, 99</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Grunwaldzka 7, 34</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Gajowa 25</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proofErr w:type="spellStart"/>
            <w:r w:rsidRPr="00702D7A">
              <w:rPr>
                <w:rFonts w:eastAsia="Times New Roman" w:cstheme="minorHAnsi"/>
                <w:color w:val="000000" w:themeColor="text1"/>
                <w:sz w:val="20"/>
                <w:szCs w:val="20"/>
                <w:lang w:eastAsia="pl-PL"/>
              </w:rPr>
              <w:t>Hubska</w:t>
            </w:r>
            <w:proofErr w:type="spellEnd"/>
            <w:r w:rsidRPr="00702D7A">
              <w:rPr>
                <w:rFonts w:eastAsia="Times New Roman" w:cstheme="minorHAnsi"/>
                <w:color w:val="000000" w:themeColor="text1"/>
                <w:sz w:val="20"/>
                <w:szCs w:val="20"/>
                <w:lang w:eastAsia="pl-PL"/>
              </w:rPr>
              <w:t xml:space="preserve"> 35, 37</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Jerzego Św. 13</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Młynarska 1</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Kleczkowska 6, 34</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Kraszewskiego 26</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Kromera Al. 4</w:t>
            </w:r>
          </w:p>
          <w:p w:rsidR="009D4286" w:rsidRPr="00702D7A" w:rsidRDefault="009D4286" w:rsidP="00ED30DB">
            <w:pPr>
              <w:pStyle w:val="Akapitzlist"/>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Wesoła 8</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Kompleksowa termomodernizacja wybranych kamienic we Wrocławiu - WM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2028-2030</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efektywności energetycznej budynków użyteczności publicznej będących w zarządzie Gminy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11 500 000,00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DPS Karmelkowa 25</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DPS Mączna 3</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5 500 000,00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DPS Rędzińska 66/68</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A1431D" w:rsidRDefault="009D4286" w:rsidP="00A1431D">
            <w:pPr>
              <w:pStyle w:val="Akapitzlist"/>
              <w:numPr>
                <w:ilvl w:val="0"/>
                <w:numId w:val="44"/>
              </w:num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Roboty budowlane związane z remontem całej powierzchni dachu w DPS</w:t>
            </w:r>
          </w:p>
          <w:p w:rsidR="009D4286" w:rsidRPr="00A1431D" w:rsidRDefault="009D4286" w:rsidP="00A1431D">
            <w:pPr>
              <w:spacing w:after="0" w:line="240" w:lineRule="auto"/>
              <w:ind w:left="360"/>
              <w:jc w:val="left"/>
              <w:rPr>
                <w:rFonts w:eastAsia="Times New Roman" w:cstheme="minorHAnsi"/>
                <w:color w:val="000000" w:themeColor="text1"/>
                <w:sz w:val="20"/>
                <w:szCs w:val="20"/>
                <w:lang w:eastAsia="pl-PL"/>
              </w:rPr>
            </w:pPr>
            <w:r w:rsidRPr="00A1431D">
              <w:rPr>
                <w:rFonts w:eastAsia="Times New Roman" w:cstheme="minorHAnsi"/>
                <w:color w:val="000000" w:themeColor="text1"/>
                <w:sz w:val="20"/>
                <w:szCs w:val="20"/>
                <w:lang w:eastAsia="pl-PL"/>
              </w:rPr>
              <w:t>przy ul.  Karmelkowej 25</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674 122,00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szatni hali przy ul. Parkowej (docieplenie budynku)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Zawonia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energooszczędnego przedszkola publicznego w Zawoni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6 000 000,00</w:t>
            </w:r>
          </w:p>
        </w:tc>
      </w:tr>
      <w:tr w:rsidR="00203447" w:rsidRPr="00702D7A" w:rsidTr="001B6600">
        <w:trPr>
          <w:gridAfter w:val="1"/>
          <w:wAfter w:w="19" w:type="dxa"/>
          <w:trHeight w:val="675"/>
        </w:trPr>
        <w:tc>
          <w:tcPr>
            <w:tcW w:w="0" w:type="auto"/>
            <w:shd w:val="clear" w:color="auto" w:fill="auto"/>
            <w:vAlign w:val="center"/>
          </w:tcPr>
          <w:p w:rsidR="00203447" w:rsidRPr="00702D7A" w:rsidRDefault="00203447"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203447" w:rsidRPr="00702D7A" w:rsidRDefault="00203447"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203447" w:rsidRPr="00702D7A" w:rsidRDefault="00203447"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Termomodernizacja Gminnego Centrum Kultury w Żórawinie</w:t>
            </w:r>
          </w:p>
        </w:tc>
        <w:tc>
          <w:tcPr>
            <w:tcW w:w="1941" w:type="dxa"/>
            <w:shd w:val="clear" w:color="auto" w:fill="auto"/>
            <w:vAlign w:val="center"/>
          </w:tcPr>
          <w:p w:rsidR="00203447" w:rsidRPr="00702D7A" w:rsidRDefault="00203447"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203447" w:rsidRPr="00702D7A" w:rsidRDefault="00203447"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1 805 000,00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6"/>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Odnawialne źródła energii dla mieszkańców Gminy Żórawina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12: Ochrona zasobów środowiska i jego bioróżnorodności</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Rozwój infrastruktury wodociągowej celem dostosowania do zmian klimat</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kanalizacji sanitarnej we wsi Chrząstawa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395 00 000,00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nowej oczyszczalni ścieków, budowa sieci kanalizacji sanitarnych, budowa  i modernizacja  SUW, modernizacja istniejących oczyszczalni ścieków na terenie gminy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155 100 000,00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Jelcz-Laskowice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Rekultywacja zbiorników wodnych na terenie Gminy Jelcz-Laskowice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systemu zaopatrzenie Gminy Kobierzyce w wodę</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2021-2025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39 831 862,73</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sieci kanalizacji sanitarnej na terenie gminy Kobierzyce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4 210 650,00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kanalizacji deszczowej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sieci wodociągowej i kanalizacji sanitarnej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12 700 000,00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Zrównoważony system zagospodarowania wody deszczowej (os. Nowy Otok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Nowy Górnik) poprzez połączenie elementów zielonej i niebieskiej infrastruktury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Rewitalizacja terenu zielonego wraz z zagospodarowaniem zbiornika wodnego „Piaski”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gospodarki wodno-ściekowej na terenie miasta Oława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50 100 000,00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Dostosowanie do zmian klimatu poprzez rewitalizację nadbrzeży rzeki Oława wraz z </w:t>
            </w:r>
            <w:proofErr w:type="spellStart"/>
            <w:r w:rsidRPr="00702D7A">
              <w:rPr>
                <w:rFonts w:eastAsia="Times New Roman" w:cstheme="minorHAnsi"/>
                <w:color w:val="000000" w:themeColor="text1"/>
                <w:sz w:val="20"/>
                <w:szCs w:val="20"/>
                <w:lang w:eastAsia="pl-PL"/>
              </w:rPr>
              <w:t>renaturyzacją</w:t>
            </w:r>
            <w:proofErr w:type="spellEnd"/>
            <w:r w:rsidRPr="00702D7A">
              <w:rPr>
                <w:rFonts w:eastAsia="Times New Roman" w:cstheme="minorHAnsi"/>
                <w:color w:val="000000" w:themeColor="text1"/>
                <w:sz w:val="20"/>
                <w:szCs w:val="20"/>
                <w:lang w:eastAsia="pl-PL"/>
              </w:rPr>
              <w:t xml:space="preserve"> układu wodnego w parku miejskim w Oławie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Wspieranie racjonalnej gospodarki zasobami wód w gminie Miękinia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Zapewnienie prawidłowej gospodarki wodno-ściekowej aglomeracji Wrocław, w części gminy Miękinia – II etap</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2021-2026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203 969 421,21</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Zapewnienie prawidłowej gospodarki wodno-ściekowej aglomeracji Wrocław, w części gminy Miękinia – II etap</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2021-2026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35 967 892,59</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zbiorników retencyjnych na terenie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Kanalizacja części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Modernizacja Stacji Uzdatniania wody oraz Przebudowa Oczyszczalni Ścieków na terenie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systemów wodociągowych wraz ze stacją uzdatniania wody na terenie Gminy Oława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Wzmocnienie ochrony przyrody na  terenie Gminy Siechnice (Zielona i niebieska infrastruktura gminy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urządzeń kanalizacji sanitarnej w aglomeracji wrocławskiej, gmina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20 266 402,50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II etap rozbudowy gospodarki wodno- ściekowej na obszarze gminy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Rozbudowa sieci kanalizacji sanitarnej wraz z poprawą jakości systemu zaopatrzenia w wodę w miejscowościach </w:t>
            </w:r>
            <w:proofErr w:type="spellStart"/>
            <w:r w:rsidRPr="00702D7A">
              <w:rPr>
                <w:rFonts w:eastAsia="Times New Roman" w:cstheme="minorHAnsi"/>
                <w:color w:val="000000" w:themeColor="text1"/>
                <w:sz w:val="20"/>
                <w:szCs w:val="20"/>
                <w:lang w:eastAsia="pl-PL"/>
              </w:rPr>
              <w:t>Psart</w:t>
            </w:r>
            <w:proofErr w:type="spellEnd"/>
            <w:r w:rsidRPr="00702D7A">
              <w:rPr>
                <w:rFonts w:eastAsia="Times New Roman" w:cstheme="minorHAnsi"/>
                <w:color w:val="000000" w:themeColor="text1"/>
                <w:sz w:val="20"/>
                <w:szCs w:val="20"/>
                <w:lang w:eastAsia="pl-PL"/>
              </w:rPr>
              <w:t xml:space="preserve"> Szymanów, Krzyżanowice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Symulacja katastrofy zbiornika Mietków, mapy zalewu oraz plan działań i ewakuacji</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Wstępne opracowanie zabezpieczenia rejonu ul. Promenada-Skoczylasa os. Leśnica od wód powodziowych – koncepcja wraz z kosztorysem</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Docelowe rozwiązanie gospodarki ściekowej dla miasta Wrocławia – Faza II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2021-2027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511 520 000,00</w:t>
            </w:r>
          </w:p>
        </w:tc>
      </w:tr>
      <w:tr w:rsidR="009D4286" w:rsidRPr="00702D7A" w:rsidTr="001B6600">
        <w:trPr>
          <w:gridAfter w:val="1"/>
          <w:wAfter w:w="19" w:type="dxa"/>
          <w:trHeight w:val="964"/>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Pola </w:t>
            </w:r>
            <w:proofErr w:type="spellStart"/>
            <w:r w:rsidRPr="00702D7A">
              <w:rPr>
                <w:rFonts w:eastAsia="Times New Roman" w:cstheme="minorHAnsi"/>
                <w:color w:val="000000" w:themeColor="text1"/>
                <w:sz w:val="20"/>
                <w:szCs w:val="20"/>
                <w:lang w:eastAsia="pl-PL"/>
              </w:rPr>
              <w:t>Osobowickie</w:t>
            </w:r>
            <w:proofErr w:type="spellEnd"/>
            <w:r w:rsidRPr="00702D7A">
              <w:rPr>
                <w:rFonts w:eastAsia="Times New Roman" w:cstheme="minorHAnsi"/>
                <w:color w:val="000000" w:themeColor="text1"/>
                <w:sz w:val="20"/>
                <w:szCs w:val="20"/>
                <w:lang w:eastAsia="pl-PL"/>
              </w:rPr>
              <w:t xml:space="preserve"> - utrzymanie terenów podmokłych i związanej z nimi bioróżnorodności oraz utworzenie atrakcyjnego obszaru edukacyjno-rekreacyjnego dla mieszkańców Dolnego Śląska i turystów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Zielonej - niebieska infrastruktura w mieście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Zielono - niebieski Plac Orląt Lwowskich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845 000,00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Zielona rewitalizacja ulicy Ruskiej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5 800 000,00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Zazielenienie Placu Nowy Targ</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3 200 000,00</w:t>
            </w:r>
          </w:p>
        </w:tc>
      </w:tr>
      <w:tr w:rsidR="009D4286" w:rsidRPr="00702D7A" w:rsidTr="001B6600">
        <w:trPr>
          <w:gridAfter w:val="1"/>
          <w:wAfter w:w="19" w:type="dxa"/>
          <w:trHeight w:val="1191"/>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Adaptacja do zmian klimatu terenów placówek oświatowych na obszarze Wrocławia oraz podniesieniem świadomości ekologicznej w zakresie zachodzących zmian klimatycznych wśród dzieci, młodzieży i nauczycieli (10 szkół podstawowych, średnich i ośrodków wychowawczych)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Zagospodarowanie placu wejściowego na Promenadę Staromiejską przy ul. Świdnickiej we Wrocławiu"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Park kieszonkowy przy ul. Powstańców Śląskich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907"/>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Zakładu Biologicznego Unieszkodliwiania Odpadów Komunalnych (ZBUOK) przy ul. Janowskiej 51 we Wrocławiu wraz z budową systemu komunikacji z mieszkańcem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25 200 000,00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7"/>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Zawonia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nowego SUW dla gminy Zawonia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5E31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13: Zrównoważona mobilność</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Budowa, modernizacja dróg i dróg rowerowych wraz z infrastrukturą towarzyszącą na terenie gminy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50 000 000,00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Gmina Dobroszyce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Budowa ścieżek rowerowych</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2025-2027</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Kąty Wrocławskie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i oznakowania ciągów pieszo – rowerowych na terenie m. Kąty Wrocławskie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A1431D"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Przebudowa ciągu pieszo-rowerowego w łączniku ulicy Otwartej</w:t>
            </w:r>
          </w:p>
          <w:p w:rsidR="009D4286" w:rsidRPr="00702D7A" w:rsidRDefault="009D4286" w:rsidP="00A1431D">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 ul. Limanowskiego</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 xml:space="preserve">Budowa i rozbudowa sieci dróg na terenie Gminy Miasta Oleśnicy </w:t>
            </w:r>
            <w:r w:rsidR="00996BA6">
              <w:rPr>
                <w:rFonts w:cstheme="minorHAnsi"/>
                <w:color w:val="000000" w:themeColor="text1"/>
                <w:sz w:val="20"/>
                <w:szCs w:val="20"/>
              </w:rPr>
              <w:br/>
            </w:r>
            <w:r w:rsidRPr="00702D7A">
              <w:rPr>
                <w:rFonts w:cstheme="minorHAnsi"/>
                <w:color w:val="000000" w:themeColor="text1"/>
                <w:sz w:val="20"/>
                <w:szCs w:val="20"/>
              </w:rPr>
              <w:t>wraz z infrastrukturą towarzyszącą</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40 000 000,00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Rozbudowa drogi powiatowej nr 1511D na odcinku od km 3,493 do km 3,907 w ul. Wiejskiej i Wały Jagiellońskie w Oleśnicy wraz z budową tunelu pieszo-rowerowego w nasypie kolejowym - ETAP 2</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6 500 000,00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cstheme="minorHAnsi"/>
                <w:color w:val="000000" w:themeColor="text1"/>
                <w:sz w:val="20"/>
                <w:szCs w:val="20"/>
              </w:rPr>
              <w:t>Przebudowa drogi gminnej nr 102367D w ul. Żytniej - budowa chodnika i ścieżki rowerowej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cstheme="minorHAnsi"/>
                <w:color w:val="000000" w:themeColor="text1"/>
                <w:sz w:val="20"/>
                <w:szCs w:val="20"/>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Miękinia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ścieżki rowerowej Lutynia – Wrocław, etap II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color w:val="000000" w:themeColor="text1"/>
                <w:sz w:val="20"/>
                <w:szCs w:val="20"/>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color w:val="000000" w:themeColor="text1"/>
                <w:sz w:val="20"/>
                <w:szCs w:val="20"/>
              </w:rPr>
              <w:t>Budowa i przebudowa dróg i chodników wraz z energooszczędnym oświetleniem  na terenie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color w:val="000000" w:themeColor="text1"/>
                <w:sz w:val="20"/>
                <w:szCs w:val="20"/>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color w:val="000000" w:themeColor="text1"/>
                <w:sz w:val="20"/>
                <w:szCs w:val="20"/>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ścieżek rowerowych na terenie Gminy Oleśnica w kierunkach gmin sąsiednich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9 200 000,00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Trzebnica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Zwiększenie mobilności i bezpieczeństwa w Gminie Trzebnica poprzez poprawę infrastruktury drogowej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8 000 000,00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Zrównoważona multimodalna mobilność na  terenie Gminy Siechnice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18 000 000,00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Regionalna mobilność mieszkańców Siechnic  </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Rozbudowa sieci dróg rowerowych w gminie Sobótka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2026-2028</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drogi rowerowej w ramach "Cyklostrady" - odcinek w gminie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19 680 000,00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ciągu pieszo-rowerowego przy drodze powiatowej nr 1368D relacji Kryniczno-Malin, gm.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7 412 000,00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ciągu pieszo-rowerowego przy drodze powiatowej nr 1370D relacji Krzyżanowice-Psary, gm.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6 642 000,00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ciągu pieszo-rowerowego relacji Strzeszów-Szewce, gm.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10 086 000,00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ciągu pieszo-rowerowego przy drodze wojewódzkiej DW 359 relacji Machnice-Trzebnica, gm.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ciągu pieszo-rowerowego przy drodze wojewódzkiej DW 359 relacji Psary-Wrocław, gm. Wisznia Mała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1 200 000,00</w:t>
            </w:r>
          </w:p>
        </w:tc>
      </w:tr>
      <w:tr w:rsidR="005E31DB" w:rsidRPr="00702D7A" w:rsidTr="001B6600">
        <w:trPr>
          <w:gridAfter w:val="1"/>
          <w:wAfter w:w="19" w:type="dxa"/>
          <w:trHeight w:val="675"/>
        </w:trPr>
        <w:tc>
          <w:tcPr>
            <w:tcW w:w="0" w:type="auto"/>
            <w:shd w:val="clear" w:color="auto" w:fill="auto"/>
            <w:vAlign w:val="center"/>
          </w:tcPr>
          <w:p w:rsidR="005E31DB" w:rsidRPr="00702D7A" w:rsidRDefault="005E31DB"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5E31DB" w:rsidRPr="00702D7A" w:rsidRDefault="005E31DB"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5E31DB" w:rsidRPr="00702D7A" w:rsidRDefault="005E31DB"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Spójna sieć tras rowerowych we Wrocławiu dla mieszkańców miasta i aglomeracji wraz z budową systemu badania natężenia ruchu na drogach dla rowerów – etap 2</w:t>
            </w:r>
          </w:p>
        </w:tc>
        <w:tc>
          <w:tcPr>
            <w:tcW w:w="1941" w:type="dxa"/>
            <w:shd w:val="clear" w:color="auto" w:fill="auto"/>
            <w:vAlign w:val="center"/>
          </w:tcPr>
          <w:p w:rsidR="005E31DB" w:rsidRPr="00702D7A" w:rsidRDefault="005E31DB"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2022-2027</w:t>
            </w:r>
          </w:p>
        </w:tc>
        <w:tc>
          <w:tcPr>
            <w:tcW w:w="0" w:type="auto"/>
            <w:shd w:val="clear" w:color="auto" w:fill="auto"/>
            <w:vAlign w:val="center"/>
          </w:tcPr>
          <w:p w:rsidR="005E31DB" w:rsidRPr="00702D7A" w:rsidRDefault="005E31DB" w:rsidP="00ED30DB">
            <w:pPr>
              <w:spacing w:after="0" w:line="240" w:lineRule="auto"/>
              <w:jc w:val="center"/>
              <w:rPr>
                <w:rFonts w:eastAsia="Times New Roman" w:cstheme="minorHAnsi"/>
                <w:color w:val="000000" w:themeColor="text1"/>
                <w:sz w:val="20"/>
                <w:szCs w:val="20"/>
                <w:lang w:eastAsia="pl-PL"/>
              </w:rPr>
            </w:pPr>
            <w:r w:rsidRPr="00702D7A">
              <w:rPr>
                <w:rFonts w:cstheme="minorHAnsi"/>
                <w:iCs/>
                <w:color w:val="000000" w:themeColor="text1"/>
                <w:sz w:val="20"/>
                <w:szCs w:val="20"/>
              </w:rPr>
              <w:t>17 645 000,00</w:t>
            </w:r>
          </w:p>
        </w:tc>
      </w:tr>
      <w:tr w:rsidR="005E31DB" w:rsidRPr="00702D7A" w:rsidTr="001B6600">
        <w:trPr>
          <w:gridAfter w:val="1"/>
          <w:wAfter w:w="19" w:type="dxa"/>
          <w:trHeight w:val="675"/>
        </w:trPr>
        <w:tc>
          <w:tcPr>
            <w:tcW w:w="0" w:type="auto"/>
            <w:shd w:val="clear" w:color="auto" w:fill="auto"/>
            <w:vAlign w:val="center"/>
          </w:tcPr>
          <w:p w:rsidR="005E31DB" w:rsidRPr="00702D7A" w:rsidRDefault="005E31DB"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5E31DB" w:rsidRPr="00702D7A" w:rsidRDefault="005E31DB"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5E31DB" w:rsidRPr="00702D7A" w:rsidRDefault="005E31DB" w:rsidP="00ED30DB">
            <w:pPr>
              <w:spacing w:after="0" w:line="240" w:lineRule="auto"/>
              <w:jc w:val="left"/>
              <w:rPr>
                <w:rFonts w:eastAsia="Times New Roman" w:cstheme="minorHAnsi"/>
                <w:color w:val="000000" w:themeColor="text1"/>
                <w:sz w:val="20"/>
                <w:szCs w:val="20"/>
                <w:lang w:eastAsia="pl-PL"/>
              </w:rPr>
            </w:pPr>
            <w:r w:rsidRPr="00702D7A">
              <w:rPr>
                <w:color w:val="000000" w:themeColor="text1"/>
                <w:sz w:val="20"/>
                <w:szCs w:val="20"/>
              </w:rPr>
              <w:t>Budowa kładek pieszo-rowerowych we Wrocławiu – etap 2</w:t>
            </w:r>
          </w:p>
        </w:tc>
        <w:tc>
          <w:tcPr>
            <w:tcW w:w="1941" w:type="dxa"/>
            <w:shd w:val="clear" w:color="auto" w:fill="auto"/>
            <w:vAlign w:val="center"/>
          </w:tcPr>
          <w:p w:rsidR="005E31DB" w:rsidRPr="00702D7A" w:rsidRDefault="007D3847" w:rsidP="00ED30DB">
            <w:pPr>
              <w:spacing w:after="0" w:line="240" w:lineRule="auto"/>
              <w:jc w:val="center"/>
              <w:rPr>
                <w:rFonts w:eastAsia="Times New Roman" w:cstheme="minorHAnsi"/>
                <w:color w:val="000000" w:themeColor="text1"/>
                <w:sz w:val="20"/>
                <w:szCs w:val="20"/>
                <w:lang w:eastAsia="pl-PL"/>
              </w:rPr>
            </w:pPr>
            <w:r w:rsidRPr="00702D7A">
              <w:rPr>
                <w:rFonts w:cstheme="minorHAnsi"/>
                <w:bCs/>
                <w:color w:val="000000" w:themeColor="text1"/>
                <w:sz w:val="20"/>
                <w:szCs w:val="20"/>
              </w:rPr>
              <w:t>2024-2027</w:t>
            </w:r>
          </w:p>
        </w:tc>
        <w:tc>
          <w:tcPr>
            <w:tcW w:w="0" w:type="auto"/>
            <w:shd w:val="clear" w:color="auto" w:fill="auto"/>
            <w:vAlign w:val="center"/>
          </w:tcPr>
          <w:p w:rsidR="005E31DB" w:rsidRPr="00702D7A" w:rsidRDefault="007D3847" w:rsidP="00ED30DB">
            <w:pPr>
              <w:spacing w:after="0" w:line="240" w:lineRule="auto"/>
              <w:jc w:val="center"/>
              <w:rPr>
                <w:rFonts w:cstheme="minorHAnsi"/>
                <w:iCs/>
                <w:color w:val="000000" w:themeColor="text1"/>
                <w:sz w:val="20"/>
                <w:szCs w:val="20"/>
              </w:rPr>
            </w:pPr>
            <w:r w:rsidRPr="00702D7A">
              <w:rPr>
                <w:rFonts w:cstheme="minorHAnsi"/>
                <w:iCs/>
                <w:color w:val="000000" w:themeColor="text1"/>
                <w:sz w:val="20"/>
                <w:szCs w:val="20"/>
              </w:rPr>
              <w:t>8 000 000,00</w:t>
            </w:r>
          </w:p>
        </w:tc>
      </w:tr>
      <w:tr w:rsidR="009B2AA8" w:rsidRPr="00702D7A" w:rsidTr="001B6600">
        <w:trPr>
          <w:gridAfter w:val="1"/>
          <w:wAfter w:w="19" w:type="dxa"/>
          <w:trHeight w:val="675"/>
        </w:trPr>
        <w:tc>
          <w:tcPr>
            <w:tcW w:w="0" w:type="auto"/>
            <w:shd w:val="clear" w:color="auto" w:fill="auto"/>
            <w:vAlign w:val="center"/>
          </w:tcPr>
          <w:p w:rsidR="009B2AA8" w:rsidRPr="00702D7A" w:rsidRDefault="009B2AA8"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B2AA8" w:rsidRPr="00702D7A" w:rsidRDefault="009B2AA8"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B2AA8" w:rsidRPr="00702D7A" w:rsidRDefault="009B2AA8" w:rsidP="00ED30DB">
            <w:pPr>
              <w:spacing w:after="0" w:line="240" w:lineRule="auto"/>
              <w:jc w:val="left"/>
              <w:rPr>
                <w:color w:val="000000" w:themeColor="text1"/>
                <w:sz w:val="20"/>
                <w:szCs w:val="20"/>
              </w:rPr>
            </w:pPr>
            <w:r w:rsidRPr="00702D7A">
              <w:rPr>
                <w:color w:val="000000" w:themeColor="text1"/>
                <w:sz w:val="20"/>
                <w:szCs w:val="20"/>
              </w:rPr>
              <w:t>Aktualizacja Planu Zrównoważonej Mobilności Miejskiej wraz z przeprowadzeniem Kompleksowych Badań Ruchu</w:t>
            </w:r>
          </w:p>
        </w:tc>
        <w:tc>
          <w:tcPr>
            <w:tcW w:w="1941" w:type="dxa"/>
            <w:shd w:val="clear" w:color="auto" w:fill="auto"/>
            <w:vAlign w:val="center"/>
          </w:tcPr>
          <w:p w:rsidR="009B2AA8" w:rsidRPr="00702D7A" w:rsidRDefault="009B2AA8" w:rsidP="00ED30DB">
            <w:pPr>
              <w:spacing w:after="0" w:line="240" w:lineRule="auto"/>
              <w:jc w:val="center"/>
              <w:rPr>
                <w:rFonts w:cstheme="minorHAnsi"/>
                <w:bCs/>
                <w:color w:val="000000" w:themeColor="text1"/>
                <w:sz w:val="20"/>
                <w:szCs w:val="20"/>
              </w:rPr>
            </w:pPr>
            <w:r w:rsidRPr="00702D7A">
              <w:rPr>
                <w:rFonts w:cstheme="minorHAnsi"/>
                <w:color w:val="000000" w:themeColor="text1"/>
                <w:sz w:val="20"/>
                <w:szCs w:val="20"/>
              </w:rPr>
              <w:t>2024-2026</w:t>
            </w:r>
          </w:p>
        </w:tc>
        <w:tc>
          <w:tcPr>
            <w:tcW w:w="0" w:type="auto"/>
            <w:shd w:val="clear" w:color="auto" w:fill="auto"/>
            <w:vAlign w:val="center"/>
          </w:tcPr>
          <w:p w:rsidR="009B2AA8" w:rsidRPr="00702D7A" w:rsidRDefault="009B2AA8" w:rsidP="00ED30DB">
            <w:pPr>
              <w:spacing w:after="0" w:line="240" w:lineRule="auto"/>
              <w:jc w:val="center"/>
              <w:rPr>
                <w:rFonts w:cstheme="minorHAnsi"/>
                <w:iCs/>
                <w:color w:val="000000" w:themeColor="text1"/>
                <w:sz w:val="20"/>
                <w:szCs w:val="20"/>
              </w:rPr>
            </w:pPr>
            <w:r w:rsidRPr="00702D7A">
              <w:rPr>
                <w:rFonts w:cstheme="minorHAnsi"/>
                <w:bCs/>
                <w:color w:val="000000" w:themeColor="text1"/>
                <w:sz w:val="20"/>
                <w:szCs w:val="20"/>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Alei Północnej na odcinku od ul. </w:t>
            </w:r>
            <w:proofErr w:type="spellStart"/>
            <w:r w:rsidRPr="00702D7A">
              <w:rPr>
                <w:rFonts w:eastAsia="Times New Roman" w:cstheme="minorHAnsi"/>
                <w:color w:val="000000" w:themeColor="text1"/>
                <w:sz w:val="20"/>
                <w:szCs w:val="20"/>
                <w:lang w:eastAsia="pl-PL"/>
              </w:rPr>
              <w:t>Poświęckiej</w:t>
            </w:r>
            <w:proofErr w:type="spellEnd"/>
            <w:r w:rsidRPr="00702D7A">
              <w:rPr>
                <w:rFonts w:eastAsia="Times New Roman" w:cstheme="minorHAnsi"/>
                <w:color w:val="000000" w:themeColor="text1"/>
                <w:sz w:val="20"/>
                <w:szCs w:val="20"/>
                <w:lang w:eastAsia="pl-PL"/>
              </w:rPr>
              <w:t xml:space="preserve"> do ul. B. Krzywoustego we Wrocławiu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2021-2026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308 248 065,00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Alei Wielkiej Wyspy we Wrocławiu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2018-2024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264 000 000,00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Przebudowa skrzyżowania ulic Dubois i Drobnera w celu poprawy funkcjonowania komunikacji zbiorowej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2025-2026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40 800 000,00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Przebudowa ul. Wilkszyńskiej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47 000 000,00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łącznika drogowego pomiędzy ul. Kwidzyńską i Kowalską wraz </w:t>
            </w:r>
            <w:r w:rsidR="006174E4">
              <w:rPr>
                <w:rFonts w:eastAsia="Times New Roman" w:cstheme="minorHAnsi"/>
                <w:color w:val="000000" w:themeColor="text1"/>
                <w:sz w:val="20"/>
                <w:szCs w:val="20"/>
                <w:lang w:eastAsia="pl-PL"/>
              </w:rPr>
              <w:br/>
              <w:t xml:space="preserve">z </w:t>
            </w:r>
            <w:r w:rsidRPr="00702D7A">
              <w:rPr>
                <w:rFonts w:eastAsia="Times New Roman" w:cstheme="minorHAnsi"/>
                <w:color w:val="000000" w:themeColor="text1"/>
                <w:sz w:val="20"/>
                <w:szCs w:val="20"/>
                <w:lang w:eastAsia="pl-PL"/>
              </w:rPr>
              <w:t xml:space="preserve">powiązaniami pieszo-rowerowymi dla poprawy obsługi strefy przemysłowej </w:t>
            </w:r>
            <w:r w:rsidR="006174E4">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we Wrocławiu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Realizacja uzależniona od otrzymania dofinansowania</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72 127 000,00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System tramwaju wodnego na Wrocławskim Węźle Wodnym oraz w Aglomeracji Wrocławskiej</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Odtworzenie infrastruktury hydrotechnicznej w korycie rzeki Ślęzy na obszarze gminy Wrocław, Kobierzyce i Żórawina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Port Popowice - realizacja i zarządzanie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Zagospodarowanie terenu dla obsługi jednostek pływających (tankowanie, slip, droga, plac) w rejonie ul. Międzyrzeckiej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Marina w basenie dawnego portu węglowego przy ujściu rzeki Oławy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Koncepcja zagospodarowania terenów planowanego portu rzecznego na Rędzinie - multimodalnego centrum logistycznego (AGN)</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Zawonia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i oznakowanie ścieżek rowerowych i ciągów pieszo-rowerowych na terenie Gminy Zawonia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8"/>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ciągów pieszo-rowerowych na terenie Gminy Żórawina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5 100 000,00</w:t>
            </w:r>
          </w:p>
        </w:tc>
      </w:tr>
      <w:tr w:rsidR="009D4286" w:rsidRPr="00702D7A" w:rsidTr="001B6600">
        <w:trPr>
          <w:trHeight w:val="675"/>
        </w:trPr>
        <w:tc>
          <w:tcPr>
            <w:tcW w:w="13601" w:type="dxa"/>
            <w:gridSpan w:val="6"/>
            <w:shd w:val="clear" w:color="auto" w:fill="auto"/>
            <w:vAlign w:val="center"/>
          </w:tcPr>
          <w:p w:rsidR="009D4286" w:rsidRPr="00702D7A" w:rsidRDefault="009D4286" w:rsidP="00ED30DB">
            <w:pPr>
              <w:spacing w:after="0" w:line="240" w:lineRule="auto"/>
              <w:jc w:val="center"/>
              <w:rPr>
                <w:rFonts w:eastAsia="Times New Roman" w:cstheme="minorHAnsi"/>
                <w:b/>
                <w:bCs/>
                <w:color w:val="000000" w:themeColor="text1"/>
                <w:sz w:val="20"/>
                <w:szCs w:val="20"/>
                <w:lang w:eastAsia="pl-PL"/>
              </w:rPr>
            </w:pPr>
            <w:r w:rsidRPr="00702D7A">
              <w:rPr>
                <w:rFonts w:eastAsia="Times New Roman" w:cstheme="minorHAnsi"/>
                <w:b/>
                <w:bCs/>
                <w:color w:val="000000" w:themeColor="text1"/>
                <w:sz w:val="20"/>
                <w:szCs w:val="20"/>
                <w:lang w:eastAsia="pl-PL"/>
              </w:rPr>
              <w:t>Priorytet 14: Przestrzeń publiczna</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Czernica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Stworzenie wielopokoleniowego obszaru rekreacyjnego na terenie gminy Czernica wraz z poprawą bezpieczeństwa wiejskich przestrzeni publicznych</w:t>
            </w:r>
          </w:p>
        </w:tc>
        <w:tc>
          <w:tcPr>
            <w:tcW w:w="4416" w:type="dxa"/>
            <w:gridSpan w:val="2"/>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Ochrona przyrody i klimatu - zagospodarowanie terenów zielonych, parków, skwerów, zachowanie bioróżnorodności, stworzenie obszarów edukacyjno-rekreacyjnych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Stworzenie obszarów rekreacyjnych na terenie gminy Długołęka wraz z poprawą bezpieczeństwa wiejskich przestrzeni publicznych (m.in. Brzezia Łąka, Domaszczyn, Kiełczówek)</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1 710 000,00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przebudowa i modernizacja placówek oświatowych na terenie gminy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76 000 000,00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Długołęka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przebudowa i remonty budynków użyteczności publicznej na terenie gminy Długołęka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Dobroszyce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Przebudowa i adaptacja obiektu starej remizy pod nowe usługi</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Kąty Wrocławskie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terenu rekreacyjnego w Gądowie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Kąty Wrocławskie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remizy strażackiej dla OSP Gniechowice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Kąty Wrocławskie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budynku komunalnego w Kątach Wrocławskich</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9 100 000,00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Zagospodarowanie terenu Parku w Pustkowie Żurawskim</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1 400 000,00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Utworzenie parku w miejscowości Bielany Wrocławskie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Kobierzyce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przedszkola w miejscowości Domasław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Oleśnica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bezpieczeństwa w Gminie Mieście Oleśnicy poprzez rozbudowę monitoringu</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2 250 000,00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Miasto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Rozwój terenów zieleni na obszarze miasta Oława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4 000 000,00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Oborniki Śląskie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Budowa oraz rozbudowa obiektów edukacyjnych na terenie Gminy Oborniki Śląskie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2023-2026</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Oława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Poprawa i wzmocnienie dostępności podmiotów publicznych Gminy Oława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Siechnice bliżej mieszkańców</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2022-2029</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16 000 000,00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budynku świetlicy wiejskiej wraz infrastrukturą towarzyszącą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zagospodarowaniem terenu w miejscowości Okulice</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2024-2025</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Sobótka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 xml:space="preserve">Budowa budynku świetlicy wiejskiej wraz infrastrukturą towarzyszącą </w:t>
            </w:r>
            <w:r w:rsidR="00996BA6">
              <w:rPr>
                <w:rFonts w:eastAsia="Times New Roman" w:cstheme="minorHAnsi"/>
                <w:color w:val="000000" w:themeColor="text1"/>
                <w:sz w:val="20"/>
                <w:szCs w:val="20"/>
                <w:lang w:eastAsia="pl-PL"/>
              </w:rPr>
              <w:br/>
            </w:r>
            <w:r w:rsidRPr="00702D7A">
              <w:rPr>
                <w:rFonts w:eastAsia="Times New Roman" w:cstheme="minorHAnsi"/>
                <w:color w:val="000000" w:themeColor="text1"/>
                <w:sz w:val="20"/>
                <w:szCs w:val="20"/>
                <w:lang w:eastAsia="pl-PL"/>
              </w:rPr>
              <w:t>i zagospodarowaniem terenu w miejscowości Stary Zamek</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2026-2027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Trzebnica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Utworzenie Parku Miejskiego im. Marii i Lecha Kaczyńskich w Trzebnicy</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Wisznia Mała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Przebudowa, rozbudowa i nadbudowa budynku Ochotniczej Straży Publicznej</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2023-2024</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1 900 000,00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Przebudowa trybun sportowych na Stadionie Leśnica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Remont Hali przy ul. Poznańskiej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Modernizacja boiska piłkarskiego </w:t>
            </w:r>
            <w:proofErr w:type="spellStart"/>
            <w:r w:rsidRPr="00702D7A">
              <w:rPr>
                <w:rFonts w:cs="Arial"/>
                <w:color w:val="000000" w:themeColor="text1"/>
                <w:sz w:val="20"/>
                <w:szCs w:val="20"/>
              </w:rPr>
              <w:t>Sołtysowice</w:t>
            </w:r>
            <w:proofErr w:type="spellEnd"/>
            <w:r w:rsidRPr="00702D7A">
              <w:rPr>
                <w:rFonts w:cs="Arial"/>
                <w:color w:val="000000" w:themeColor="text1"/>
                <w:sz w:val="20"/>
                <w:szCs w:val="20"/>
              </w:rPr>
              <w:t xml:space="preserve"> (system nawadniania, wymiana </w:t>
            </w:r>
            <w:proofErr w:type="spellStart"/>
            <w:r w:rsidRPr="00702D7A">
              <w:rPr>
                <w:rFonts w:cs="Arial"/>
                <w:color w:val="000000" w:themeColor="text1"/>
                <w:sz w:val="20"/>
                <w:szCs w:val="20"/>
              </w:rPr>
              <w:t>piłkochwytów</w:t>
            </w:r>
            <w:proofErr w:type="spellEnd"/>
            <w:r w:rsidRPr="00702D7A">
              <w:rPr>
                <w:rFonts w:cs="Arial"/>
                <w:color w:val="000000" w:themeColor="text1"/>
                <w:sz w:val="20"/>
                <w:szCs w:val="20"/>
              </w:rPr>
              <w:t>)</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Remont zaplecza szatniowego na boisku Pawłowice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Wymiana nawierzchni sztucznej boiska piłkarskiego przy ul. Terenowej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450 000,00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Przebudowa boiska wraz z bieżnią lekkoatletyczną, trybunami na Stadionie Lotnicza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11 300 000,00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Ogrodzenie stadionu Leśnica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Ogrodzenie stadionu Lotnicza od ul. Idzikowskiego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Remont trybuny na stadionie Sztabowa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200 000,00</w:t>
            </w:r>
          </w:p>
        </w:tc>
      </w:tr>
      <w:tr w:rsidR="009D4286" w:rsidRPr="00702D7A" w:rsidTr="001B6600">
        <w:trPr>
          <w:gridAfter w:val="1"/>
          <w:wAfter w:w="19" w:type="dxa"/>
          <w:trHeight w:val="675"/>
        </w:trPr>
        <w:tc>
          <w:tcPr>
            <w:tcW w:w="0" w:type="auto"/>
            <w:vMerge w:val="restart"/>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vMerge w:val="restart"/>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Remont, przebudowa, zagospodarowanie i doposażenie Wrocławskiego Toru Wyścigów Konnych we Wrocławiu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78 550 000,00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Budowa zaplecza technicznego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7 300 000,00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Zagospodarowanie terenu i remont trybuny bocznej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 xml:space="preserve">Nowa strefa </w:t>
            </w:r>
            <w:proofErr w:type="spellStart"/>
            <w:r w:rsidRPr="00702D7A">
              <w:rPr>
                <w:rFonts w:cs="Arial"/>
                <w:color w:val="000000" w:themeColor="text1"/>
                <w:sz w:val="20"/>
                <w:szCs w:val="20"/>
              </w:rPr>
              <w:t>dekoracyjno</w:t>
            </w:r>
            <w:proofErr w:type="spellEnd"/>
            <w:r w:rsidRPr="00702D7A">
              <w:rPr>
                <w:rFonts w:cs="Arial"/>
                <w:color w:val="000000" w:themeColor="text1"/>
                <w:sz w:val="20"/>
                <w:szCs w:val="20"/>
              </w:rPr>
              <w:t xml:space="preserve"> - prezentacyjna (wyścigi konne)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Budowa 6 nowych stajni wyścigowych wraz z niezbędną infrastrukturą towarzyszącą</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18 000 000,00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Budowa parkuru do zawodów skokowych wraz z całą niezbędną infrastrukturą towarzyszącą</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 xml:space="preserve">Stajnie </w:t>
            </w:r>
            <w:proofErr w:type="spellStart"/>
            <w:r w:rsidRPr="00702D7A">
              <w:rPr>
                <w:rFonts w:cs="Arial"/>
                <w:color w:val="000000" w:themeColor="text1"/>
                <w:sz w:val="20"/>
                <w:szCs w:val="20"/>
              </w:rPr>
              <w:t>gościnno</w:t>
            </w:r>
            <w:proofErr w:type="spellEnd"/>
            <w:r w:rsidRPr="00702D7A">
              <w:rPr>
                <w:rFonts w:cs="Arial"/>
                <w:color w:val="000000" w:themeColor="text1"/>
                <w:sz w:val="20"/>
                <w:szCs w:val="20"/>
              </w:rPr>
              <w:t xml:space="preserve"> - rekreacyjne (II etap) - 120 boksów wraz </w:t>
            </w:r>
            <w:r w:rsidR="006174E4">
              <w:rPr>
                <w:rFonts w:cs="Arial"/>
                <w:color w:val="000000" w:themeColor="text1"/>
                <w:sz w:val="20"/>
                <w:szCs w:val="20"/>
              </w:rPr>
              <w:br/>
            </w:r>
            <w:r w:rsidRPr="00702D7A">
              <w:rPr>
                <w:rFonts w:cs="Arial"/>
                <w:color w:val="000000" w:themeColor="text1"/>
                <w:sz w:val="20"/>
                <w:szCs w:val="20"/>
              </w:rPr>
              <w:t>z przygotowaniem podłoża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 xml:space="preserve">Parkingi wewnętrzne (dla aut osobowych i </w:t>
            </w:r>
            <w:proofErr w:type="spellStart"/>
            <w:r w:rsidRPr="00702D7A">
              <w:rPr>
                <w:rFonts w:cs="Arial"/>
                <w:color w:val="000000" w:themeColor="text1"/>
                <w:sz w:val="20"/>
                <w:szCs w:val="20"/>
              </w:rPr>
              <w:t>koniowozów</w:t>
            </w:r>
            <w:proofErr w:type="spellEnd"/>
            <w:r w:rsidRPr="00702D7A">
              <w:rPr>
                <w:rFonts w:cs="Arial"/>
                <w:color w:val="000000" w:themeColor="text1"/>
                <w:sz w:val="20"/>
                <w:szCs w:val="20"/>
              </w:rPr>
              <w:t>)</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Remont konserwatorski zabytkowej "</w:t>
            </w:r>
            <w:proofErr w:type="spellStart"/>
            <w:r w:rsidRPr="00702D7A">
              <w:rPr>
                <w:rFonts w:cs="Arial"/>
                <w:color w:val="000000" w:themeColor="text1"/>
                <w:sz w:val="20"/>
                <w:szCs w:val="20"/>
              </w:rPr>
              <w:t>Sędziówki</w:t>
            </w:r>
            <w:proofErr w:type="spellEnd"/>
            <w:r w:rsidRPr="00702D7A">
              <w:rPr>
                <w:rFonts w:cs="Arial"/>
                <w:color w:val="000000" w:themeColor="text1"/>
                <w:sz w:val="20"/>
                <w:szCs w:val="20"/>
              </w:rPr>
              <w:t>"</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 xml:space="preserve">Redukcje, wycinki pielęgnacyjne i nasadzenia rekompensacyjne drzewostanu na całym terenie WTWK - </w:t>
            </w:r>
            <w:proofErr w:type="spellStart"/>
            <w:r w:rsidRPr="00702D7A">
              <w:rPr>
                <w:rFonts w:cs="Arial"/>
                <w:color w:val="000000" w:themeColor="text1"/>
                <w:sz w:val="20"/>
                <w:szCs w:val="20"/>
              </w:rPr>
              <w:t>Partynice</w:t>
            </w:r>
            <w:proofErr w:type="spellEnd"/>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450 000,00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Nagłośnienie - kryta ujeżdżalnia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Nagłośnienie - strefa wyścigów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1 200 000,00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Wymiana systemu ogrzewania budynków WTWK + OZE</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Muzeum konia i jeździectwa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6 000 000,00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System monitoringu na terenie WTWK</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Zakupy inwestycyjne (maszyny rolnicze, pojazdy elektryczne typu melex, traktory, kosiarki)</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2 500 000,00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Wieża widokowa wewnątrz toru</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2 000 000,00</w:t>
            </w:r>
          </w:p>
        </w:tc>
      </w:tr>
      <w:tr w:rsidR="009D4286" w:rsidRPr="00702D7A" w:rsidTr="001B6600">
        <w:trPr>
          <w:gridAfter w:val="1"/>
          <w:wAfter w:w="19" w:type="dxa"/>
          <w:trHeight w:val="675"/>
        </w:trPr>
        <w:tc>
          <w:tcPr>
            <w:tcW w:w="0" w:type="auto"/>
            <w:vMerge/>
            <w:shd w:val="clear" w:color="auto" w:fill="auto"/>
            <w:vAlign w:val="center"/>
          </w:tcPr>
          <w:p w:rsidR="009D4286" w:rsidRPr="00702D7A" w:rsidRDefault="009D4286" w:rsidP="00ED30DB">
            <w:pPr>
              <w:spacing w:after="0" w:line="240" w:lineRule="auto"/>
              <w:jc w:val="center"/>
              <w:rPr>
                <w:rFonts w:eastAsia="Times New Roman" w:cstheme="minorHAnsi"/>
                <w:color w:val="000000"/>
                <w:sz w:val="20"/>
                <w:szCs w:val="20"/>
                <w:lang w:eastAsia="pl-PL"/>
              </w:rPr>
            </w:pPr>
          </w:p>
        </w:tc>
        <w:tc>
          <w:tcPr>
            <w:tcW w:w="1860" w:type="dxa"/>
            <w:vMerge/>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p>
        </w:tc>
        <w:tc>
          <w:tcPr>
            <w:tcW w:w="6896" w:type="dxa"/>
            <w:shd w:val="clear" w:color="auto" w:fill="auto"/>
            <w:vAlign w:val="center"/>
          </w:tcPr>
          <w:p w:rsidR="009D4286" w:rsidRPr="00702D7A" w:rsidRDefault="009D4286" w:rsidP="001579AC">
            <w:pPr>
              <w:pStyle w:val="Akapitzlist"/>
              <w:numPr>
                <w:ilvl w:val="0"/>
                <w:numId w:val="44"/>
              </w:numPr>
              <w:spacing w:after="0" w:line="240" w:lineRule="auto"/>
              <w:jc w:val="left"/>
              <w:rPr>
                <w:rFonts w:cs="Arial"/>
                <w:color w:val="000000" w:themeColor="text1"/>
                <w:sz w:val="20"/>
                <w:szCs w:val="20"/>
              </w:rPr>
            </w:pPr>
            <w:r w:rsidRPr="00702D7A">
              <w:rPr>
                <w:rFonts w:cs="Arial"/>
                <w:color w:val="000000" w:themeColor="text1"/>
                <w:sz w:val="20"/>
                <w:szCs w:val="20"/>
              </w:rPr>
              <w:t>Tunele - bezkolizyjne przejścia dla koni i publiczności wraz ze strefami widza wewnątrz toru wyścigowego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terenów zielonych i infrastruktura komunikacyjna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wnętrza podwórzowego pomiędzy ulicami Ruską, Włodkowica, Św. Antoniego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4 900 000,00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wnętrza podwórzowego pomiędzy ulicami: Mierniczą, Łukasińskiego, Prądzyńskiego i Komuny Paryskiej, (tzw. Podwórko im. Wszystkich Mieszkańców)</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Modernizacja podwórek komunalnych</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wnętrza podwórzowego w obrębie ulic Skłodowskiej, Wyspiańskiego, Smoluchowskiego.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2 700 000,00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 podwórzowych w roku 2025</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 podwórzowych w roku 2026</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Zagospodarowanie wnętrz podwórzowych w roku 2027</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12 000 000,00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Realizacja gminnych przedsięwzięć rewitalizacyjnych zapisanych w Gminnym Programie Rewitalizacji (realizowanym w okresie 10 lat)</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2024-2034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400 000 000,00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ZSP ul. Cynamonowej</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br/>
              <w:t>do 2024</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87 000 000,00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ZSP ul. Zwycięska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80 000 000,00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ZSP ul. Asfaltowa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56 600 000,00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Przedszkole  ul. Hallera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14 700 000,00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SOSW nr 11 ul. Kamienna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9 000 000,00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LO nr III ul. Składowa - rozbudowa</w:t>
            </w:r>
          </w:p>
        </w:tc>
        <w:tc>
          <w:tcPr>
            <w:tcW w:w="4416" w:type="dxa"/>
            <w:gridSpan w:val="2"/>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LO nr VI ul. Hutnicza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20 750 000,00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P nr 149 ul. Obornicka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10 000 000,00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 xml:space="preserve">SP nr 51  ul. </w:t>
            </w:r>
            <w:proofErr w:type="spellStart"/>
            <w:r w:rsidRPr="00702D7A">
              <w:rPr>
                <w:rFonts w:cs="Arial"/>
                <w:color w:val="000000" w:themeColor="text1"/>
                <w:sz w:val="20"/>
                <w:szCs w:val="20"/>
              </w:rPr>
              <w:t>Krępicka</w:t>
            </w:r>
            <w:proofErr w:type="spellEnd"/>
            <w:r w:rsidRPr="00702D7A">
              <w:rPr>
                <w:rFonts w:cs="Arial"/>
                <w:color w:val="000000" w:themeColor="text1"/>
                <w:sz w:val="20"/>
                <w:szCs w:val="20"/>
              </w:rPr>
              <w:t xml:space="preserve">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14 500 000,00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118  ul. Bulwar Ikara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2025</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14 200 000,00</w:t>
            </w:r>
          </w:p>
        </w:tc>
      </w:tr>
      <w:tr w:rsidR="009D4286" w:rsidRPr="00702D7A" w:rsidTr="001B6600">
        <w:trPr>
          <w:gridAfter w:val="1"/>
          <w:wAfter w:w="19" w:type="dxa"/>
          <w:trHeight w:val="675"/>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61  ul. Skarbowców - przebudowa i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43 000 000,00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ZSP nr 9  ul. Solskiego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18 000 000,00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9 ul. Nyska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15 150 000,00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6 ul. Gorlicka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2026</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21 000 000,00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23 ul. Pawia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9 700 000,00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36  ul. Chopina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11 300 000,00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ZSP nr 12 ul. Suwalska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21 000 000,00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WUWA - budowa zespołu szkolno-przedszkolnego</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90 000 000,00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SP nr 90 ul. Orzechowa - rozbudowa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do 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11 900 000,00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Budowa cmentarza komunalnego przy ul. Ibn Siny Awicenny</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75 000 000,00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Wrocław</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Rozbudowa cmentarza komunalnego przy ul. Kiełczowskiej - III etap</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30 000 000,00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Zawonia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Budowa boiska w gminie Zawonia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5 000 000,00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cs="Arial"/>
                <w:color w:val="000000" w:themeColor="text1"/>
                <w:sz w:val="20"/>
                <w:szCs w:val="20"/>
              </w:rPr>
            </w:pPr>
            <w:r w:rsidRPr="00702D7A">
              <w:rPr>
                <w:rFonts w:cs="Arial"/>
                <w:color w:val="000000" w:themeColor="text1"/>
                <w:sz w:val="20"/>
                <w:szCs w:val="20"/>
              </w:rPr>
              <w:t>Budowa obiektu przedszkolno-żłobkowego w Gminie Żórawina</w:t>
            </w:r>
          </w:p>
        </w:tc>
        <w:tc>
          <w:tcPr>
            <w:tcW w:w="1941" w:type="dxa"/>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2023-2027</w:t>
            </w:r>
          </w:p>
        </w:tc>
        <w:tc>
          <w:tcPr>
            <w:tcW w:w="0" w:type="auto"/>
            <w:shd w:val="clear" w:color="auto" w:fill="auto"/>
            <w:vAlign w:val="center"/>
          </w:tcPr>
          <w:p w:rsidR="009D4286" w:rsidRPr="00702D7A" w:rsidRDefault="009D4286" w:rsidP="00ED30DB">
            <w:pPr>
              <w:spacing w:after="0" w:line="240" w:lineRule="auto"/>
              <w:jc w:val="center"/>
              <w:rPr>
                <w:rFonts w:cs="Arial"/>
                <w:color w:val="000000" w:themeColor="text1"/>
                <w:sz w:val="20"/>
                <w:szCs w:val="20"/>
              </w:rPr>
            </w:pPr>
            <w:r w:rsidRPr="00702D7A">
              <w:rPr>
                <w:rFonts w:cs="Arial"/>
                <w:color w:val="000000" w:themeColor="text1"/>
                <w:sz w:val="20"/>
                <w:szCs w:val="20"/>
              </w:rPr>
              <w:t>7 000 000,00</w:t>
            </w:r>
          </w:p>
        </w:tc>
      </w:tr>
      <w:tr w:rsidR="009D4286" w:rsidRPr="00702D7A" w:rsidTr="00FE266D">
        <w:trPr>
          <w:gridAfter w:val="1"/>
          <w:wAfter w:w="19" w:type="dxa"/>
          <w:trHeight w:val="624"/>
        </w:trPr>
        <w:tc>
          <w:tcPr>
            <w:tcW w:w="0" w:type="auto"/>
            <w:shd w:val="clear" w:color="auto" w:fill="auto"/>
            <w:vAlign w:val="center"/>
          </w:tcPr>
          <w:p w:rsidR="009D4286" w:rsidRPr="00702D7A" w:rsidRDefault="009D4286" w:rsidP="001579AC">
            <w:pPr>
              <w:pStyle w:val="Akapitzlist"/>
              <w:numPr>
                <w:ilvl w:val="0"/>
                <w:numId w:val="59"/>
              </w:numPr>
              <w:spacing w:after="0" w:line="240" w:lineRule="auto"/>
              <w:jc w:val="center"/>
              <w:rPr>
                <w:rFonts w:eastAsia="Times New Roman" w:cstheme="minorHAnsi"/>
                <w:color w:val="000000"/>
                <w:sz w:val="20"/>
                <w:szCs w:val="20"/>
                <w:lang w:eastAsia="pl-PL"/>
              </w:rPr>
            </w:pPr>
          </w:p>
        </w:tc>
        <w:tc>
          <w:tcPr>
            <w:tcW w:w="1860"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Gmina Żórawina</w:t>
            </w:r>
          </w:p>
        </w:tc>
        <w:tc>
          <w:tcPr>
            <w:tcW w:w="6896" w:type="dxa"/>
            <w:shd w:val="clear" w:color="auto" w:fill="auto"/>
            <w:vAlign w:val="center"/>
          </w:tcPr>
          <w:p w:rsidR="009D4286" w:rsidRPr="00702D7A" w:rsidRDefault="009D4286" w:rsidP="00ED30DB">
            <w:pPr>
              <w:spacing w:after="0" w:line="240" w:lineRule="auto"/>
              <w:jc w:val="left"/>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Zagospodarowanie terenów zielonych – Parki Wiejskie w Gminie Żórawina</w:t>
            </w:r>
          </w:p>
        </w:tc>
        <w:tc>
          <w:tcPr>
            <w:tcW w:w="1941" w:type="dxa"/>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2023-2027</w:t>
            </w:r>
          </w:p>
        </w:tc>
        <w:tc>
          <w:tcPr>
            <w:tcW w:w="0" w:type="auto"/>
            <w:shd w:val="clear" w:color="auto" w:fill="auto"/>
            <w:vAlign w:val="center"/>
          </w:tcPr>
          <w:p w:rsidR="009D4286" w:rsidRPr="00702D7A" w:rsidRDefault="009D4286" w:rsidP="00ED30DB">
            <w:pPr>
              <w:spacing w:after="0" w:line="240" w:lineRule="auto"/>
              <w:jc w:val="center"/>
              <w:rPr>
                <w:rFonts w:eastAsia="Times New Roman" w:cstheme="minorHAnsi"/>
                <w:color w:val="000000" w:themeColor="text1"/>
                <w:sz w:val="20"/>
                <w:szCs w:val="20"/>
                <w:lang w:eastAsia="pl-PL"/>
              </w:rPr>
            </w:pPr>
            <w:r w:rsidRPr="00702D7A">
              <w:rPr>
                <w:rFonts w:eastAsia="Times New Roman" w:cstheme="minorHAnsi"/>
                <w:color w:val="000000" w:themeColor="text1"/>
                <w:sz w:val="20"/>
                <w:szCs w:val="20"/>
                <w:lang w:eastAsia="pl-PL"/>
              </w:rPr>
              <w:t>3 500 000,00</w:t>
            </w:r>
          </w:p>
        </w:tc>
      </w:tr>
    </w:tbl>
    <w:p w:rsidR="006C0174" w:rsidRDefault="006C0174" w:rsidP="0097660C"/>
    <w:sectPr w:rsidR="006C0174" w:rsidSect="0097660C">
      <w:headerReference w:type="even" r:id="rId87"/>
      <w:headerReference w:type="default" r:id="rId88"/>
      <w:footerReference w:type="default" r:id="rId8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A96" w:rsidRDefault="00C96A96" w:rsidP="009F2662">
      <w:pPr>
        <w:spacing w:after="0" w:line="240" w:lineRule="auto"/>
      </w:pPr>
      <w:r>
        <w:separator/>
      </w:r>
    </w:p>
  </w:endnote>
  <w:endnote w:type="continuationSeparator" w:id="0">
    <w:p w:rsidR="00C96A96" w:rsidRDefault="00C96A96" w:rsidP="009F2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EE"/>
    <w:family w:val="roman"/>
    <w:pitch w:val="variable"/>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font357">
    <w:altName w:val="Times New Roman"/>
    <w:charset w:val="EE"/>
    <w:family w:val="auto"/>
    <w:pitch w:val="variable"/>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font339">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Fira Sans Extra Condensed">
    <w:altName w:val="Arial"/>
    <w:charset w:val="00"/>
    <w:family w:val="swiss"/>
    <w:pitch w:val="variable"/>
    <w:sig w:usb0="00000001" w:usb1="00000001" w:usb2="00000000" w:usb3="00000000" w:csb0="0000019F" w:csb1="00000000"/>
  </w:font>
  <w:font w:name="CIDFont+F9">
    <w:panose1 w:val="00000000000000000000"/>
    <w:charset w:val="EE"/>
    <w:family w:val="auto"/>
    <w:notTrueType/>
    <w:pitch w:val="default"/>
    <w:sig w:usb0="00000005" w:usb1="00000000" w:usb2="00000000" w:usb3="00000000" w:csb0="00000002" w:csb1="00000000"/>
  </w:font>
  <w:font w:name="Calibri-Bold">
    <w:altName w:val="Arial"/>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09026"/>
      <w:docPartObj>
        <w:docPartGallery w:val="Page Numbers (Bottom of Page)"/>
        <w:docPartUnique/>
      </w:docPartObj>
    </w:sdtPr>
    <w:sdtContent>
      <w:p w:rsidR="00C96A96" w:rsidRDefault="00C96A96" w:rsidP="000178B1">
        <w:pPr>
          <w:pStyle w:val="Nagwek"/>
          <w:rPr>
            <w:rStyle w:val="nadtabelaZnak"/>
          </w:rPr>
        </w:pPr>
        <w:r>
          <w:rPr>
            <w:rStyle w:val="nadtabelaZnak"/>
          </w:rPr>
          <w:pict>
            <v:rect id="_x0000_i1055" style="width:453.6pt;height:1pt" o:hralign="center" o:hrstd="t" o:hrnoshade="t" o:hr="t" fillcolor="black [3213]" stroked="f"/>
          </w:pict>
        </w:r>
      </w:p>
      <w:p w:rsidR="00C96A96" w:rsidRPr="000178B1" w:rsidRDefault="00C96A96" w:rsidP="000178B1">
        <w:pPr>
          <w:pStyle w:val="Stopka"/>
          <w:jc w:val="left"/>
          <w:rPr>
            <w:color w:val="404040" w:themeColor="text1" w:themeTint="BF"/>
            <w:sz w:val="20"/>
            <w:szCs w:val="23"/>
          </w:rPr>
        </w:pPr>
        <w:sdt>
          <w:sdtPr>
            <w:rPr>
              <w:i/>
              <w:iCs/>
              <w:color w:val="404040" w:themeColor="text1" w:themeTint="BF"/>
              <w:sz w:val="20"/>
              <w:szCs w:val="23"/>
            </w:rPr>
            <w:id w:val="842901398"/>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sidR="00D57BC6" w:rsidRPr="00D57BC6">
              <w:rPr>
                <w:noProof/>
                <w:color w:val="404040" w:themeColor="text1" w:themeTint="BF"/>
                <w:szCs w:val="23"/>
              </w:rPr>
              <w:t>16</w:t>
            </w:r>
            <w:r w:rsidRPr="004A0D84">
              <w:rPr>
                <w:color w:val="404040" w:themeColor="text1" w:themeTint="BF"/>
                <w:sz w:val="20"/>
                <w:szCs w:val="23"/>
              </w:rPr>
              <w:fldChar w:fldCharType="end"/>
            </w:r>
          </w:sdtContent>
        </w:sdt>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936527"/>
      <w:docPartObj>
        <w:docPartGallery w:val="Page Numbers (Bottom of Page)"/>
        <w:docPartUnique/>
      </w:docPartObj>
    </w:sdtPr>
    <w:sdtContent>
      <w:p w:rsidR="00C96A96" w:rsidRDefault="00C96A96" w:rsidP="005A45DA">
        <w:pPr>
          <w:pStyle w:val="Nagwek"/>
          <w:rPr>
            <w:rStyle w:val="nadtabelaZnak"/>
          </w:rPr>
        </w:pPr>
        <w:r>
          <w:rPr>
            <w:rStyle w:val="nadtabelaZnak"/>
          </w:rPr>
          <w:pict>
            <v:rect id="_x0000_i1039" style="width:453.55pt;height:1pt" o:hralign="center" o:hrstd="t" o:hrnoshade="t" o:hr="t" fillcolor="#6a91b3" stroked="f"/>
          </w:pict>
        </w:r>
      </w:p>
      <w:p w:rsidR="00C96A96" w:rsidRPr="005A45DA" w:rsidRDefault="00C96A96" w:rsidP="005A45DA">
        <w:pPr>
          <w:pStyle w:val="Stopka"/>
          <w:jc w:val="left"/>
          <w:rPr>
            <w:color w:val="404040" w:themeColor="text1" w:themeTint="BF"/>
            <w:sz w:val="20"/>
            <w:szCs w:val="23"/>
          </w:rPr>
        </w:pPr>
        <w:sdt>
          <w:sdtPr>
            <w:rPr>
              <w:i/>
              <w:iCs/>
              <w:color w:val="404040" w:themeColor="text1" w:themeTint="BF"/>
              <w:sz w:val="20"/>
              <w:szCs w:val="23"/>
            </w:rPr>
            <w:id w:val="2067679207"/>
            <w:docPartObj>
              <w:docPartGallery w:val="Page Numbers (Bottom of Page)"/>
              <w:docPartUnique/>
            </w:docPartObj>
          </w:sdtPr>
          <w:sdtContent>
            <w:r w:rsidRPr="004A0D84">
              <w:rPr>
                <w:noProof/>
                <w:color w:val="404040" w:themeColor="text1" w:themeTint="BF"/>
                <w:sz w:val="20"/>
                <w:szCs w:val="23"/>
              </w:rPr>
              <w:fldChar w:fldCharType="begin"/>
            </w:r>
            <w:r w:rsidRPr="004A0D84">
              <w:rPr>
                <w:noProof/>
                <w:color w:val="404040" w:themeColor="text1" w:themeTint="BF"/>
                <w:sz w:val="20"/>
                <w:szCs w:val="23"/>
              </w:rPr>
              <w:instrText xml:space="preserve"> PAGE   \* MERGEFORMAT </w:instrText>
            </w:r>
            <w:r w:rsidRPr="004A0D84">
              <w:rPr>
                <w:noProof/>
                <w:color w:val="404040" w:themeColor="text1" w:themeTint="BF"/>
                <w:sz w:val="20"/>
                <w:szCs w:val="23"/>
              </w:rPr>
              <w:fldChar w:fldCharType="separate"/>
            </w:r>
            <w:r>
              <w:rPr>
                <w:noProof/>
                <w:color w:val="404040" w:themeColor="text1" w:themeTint="BF"/>
                <w:sz w:val="20"/>
                <w:szCs w:val="23"/>
              </w:rPr>
              <w:t>326</w:t>
            </w:r>
            <w:r w:rsidRPr="004A0D84">
              <w:rPr>
                <w:noProof/>
                <w:color w:val="404040" w:themeColor="text1" w:themeTint="BF"/>
                <w:sz w:val="20"/>
                <w:szCs w:val="23"/>
              </w:rPr>
              <w:fldChar w:fldCharType="end"/>
            </w:r>
          </w:sdtContent>
        </w:sdt>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232289"/>
      <w:docPartObj>
        <w:docPartGallery w:val="Page Numbers (Bottom of Page)"/>
        <w:docPartUnique/>
      </w:docPartObj>
    </w:sdtPr>
    <w:sdtContent>
      <w:p w:rsidR="00C96A96" w:rsidRDefault="00C96A96" w:rsidP="00BA18A2">
        <w:pPr>
          <w:pStyle w:val="Nagwek"/>
          <w:rPr>
            <w:rStyle w:val="nadtabelaZnak"/>
          </w:rPr>
        </w:pPr>
        <w:r>
          <w:rPr>
            <w:rStyle w:val="nadtabelaZnak"/>
          </w:rPr>
          <w:pict>
            <v:rect id="_x0000_i1040" style="width:453.55pt;height:1pt" o:hralign="center" o:hrstd="t" o:hrnoshade="t" o:hr="t" fillcolor="#6a91b3" stroked="f"/>
          </w:pict>
        </w:r>
      </w:p>
      <w:p w:rsidR="00C96A96" w:rsidRPr="00BA18A2" w:rsidRDefault="00C96A96" w:rsidP="00BA18A2">
        <w:pPr>
          <w:pStyle w:val="Stopka"/>
          <w:jc w:val="right"/>
          <w:rPr>
            <w:color w:val="404040" w:themeColor="text1" w:themeTint="BF"/>
            <w:sz w:val="20"/>
            <w:szCs w:val="23"/>
          </w:rPr>
        </w:pPr>
        <w:sdt>
          <w:sdtPr>
            <w:rPr>
              <w:i/>
              <w:iCs/>
              <w:color w:val="404040" w:themeColor="text1" w:themeTint="BF"/>
              <w:sz w:val="20"/>
              <w:szCs w:val="23"/>
            </w:rPr>
            <w:id w:val="-1442443973"/>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273</w:t>
            </w:r>
            <w:r w:rsidRPr="004A0D84">
              <w:rPr>
                <w:color w:val="404040" w:themeColor="text1" w:themeTint="BF"/>
                <w:sz w:val="20"/>
                <w:szCs w:val="23"/>
              </w:rPr>
              <w:fldChar w:fldCharType="end"/>
            </w:r>
          </w:sdtContent>
        </w:sdt>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828351"/>
      <w:docPartObj>
        <w:docPartGallery w:val="Page Numbers (Bottom of Page)"/>
        <w:docPartUnique/>
      </w:docPartObj>
    </w:sdtPr>
    <w:sdtContent>
      <w:p w:rsidR="00C96A96" w:rsidRDefault="00C96A96" w:rsidP="00A22797">
        <w:pPr>
          <w:pStyle w:val="Nagwek"/>
          <w:rPr>
            <w:rStyle w:val="nadtabelaZnak"/>
          </w:rPr>
        </w:pPr>
        <w:r>
          <w:rPr>
            <w:rStyle w:val="nadtabelaZnak"/>
          </w:rPr>
          <w:pict>
            <v:rect id="_x0000_i1041" style="width:453.55pt;height:1pt" o:hralign="center" o:hrstd="t" o:hrnoshade="t" o:hr="t" fillcolor="#6a91b3" stroked="f"/>
          </w:pict>
        </w:r>
      </w:p>
      <w:p w:rsidR="00C96A96" w:rsidRPr="00A22797" w:rsidRDefault="00C96A96" w:rsidP="000178B1">
        <w:pPr>
          <w:pStyle w:val="Stopka"/>
          <w:jc w:val="right"/>
          <w:rPr>
            <w:color w:val="404040" w:themeColor="text1" w:themeTint="BF"/>
            <w:sz w:val="20"/>
            <w:szCs w:val="23"/>
          </w:rPr>
        </w:pPr>
        <w:sdt>
          <w:sdtPr>
            <w:rPr>
              <w:i/>
              <w:iCs/>
              <w:color w:val="404040" w:themeColor="text1" w:themeTint="BF"/>
              <w:sz w:val="20"/>
              <w:szCs w:val="23"/>
            </w:rPr>
            <w:id w:val="-1041514224"/>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169</w:t>
            </w:r>
            <w:r w:rsidRPr="004A0D84">
              <w:rPr>
                <w:color w:val="404040" w:themeColor="text1" w:themeTint="BF"/>
                <w:sz w:val="20"/>
                <w:szCs w:val="23"/>
              </w:rPr>
              <w:fldChar w:fldCharType="end"/>
            </w:r>
          </w:sdtContent>
        </w:sdt>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798437"/>
      <w:docPartObj>
        <w:docPartGallery w:val="Page Numbers (Bottom of Page)"/>
        <w:docPartUnique/>
      </w:docPartObj>
    </w:sdtPr>
    <w:sdtContent>
      <w:p w:rsidR="00C96A96" w:rsidRDefault="00C96A96" w:rsidP="00BA18A2">
        <w:pPr>
          <w:pStyle w:val="Nagwek"/>
          <w:rPr>
            <w:rStyle w:val="nadtabelaZnak"/>
          </w:rPr>
        </w:pPr>
        <w:r>
          <w:rPr>
            <w:rStyle w:val="nadtabelaZnak"/>
          </w:rPr>
          <w:pict>
            <v:rect id="_x0000_i1048" style="width:453.55pt;height:1pt" o:hralign="center" o:hrstd="t" o:hrnoshade="t" o:hr="t" fillcolor="#6a91b3" stroked="f"/>
          </w:pict>
        </w:r>
      </w:p>
      <w:p w:rsidR="00C96A96" w:rsidRPr="00BA18A2" w:rsidRDefault="00C96A96" w:rsidP="00BA18A2">
        <w:pPr>
          <w:pStyle w:val="Stopka"/>
          <w:jc w:val="right"/>
          <w:rPr>
            <w:color w:val="404040" w:themeColor="text1" w:themeTint="BF"/>
            <w:sz w:val="20"/>
            <w:szCs w:val="23"/>
          </w:rPr>
        </w:pPr>
        <w:sdt>
          <w:sdtPr>
            <w:rPr>
              <w:i/>
              <w:iCs/>
              <w:color w:val="404040" w:themeColor="text1" w:themeTint="BF"/>
              <w:sz w:val="20"/>
              <w:szCs w:val="23"/>
            </w:rPr>
            <w:id w:val="1943808161"/>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327</w:t>
            </w:r>
            <w:r w:rsidRPr="004A0D84">
              <w:rPr>
                <w:color w:val="404040" w:themeColor="text1" w:themeTint="BF"/>
                <w:sz w:val="20"/>
                <w:szCs w:val="23"/>
              </w:rPr>
              <w:fldChar w:fldCharType="end"/>
            </w:r>
          </w:sdtContent>
        </w:sdt>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8018096"/>
      <w:docPartObj>
        <w:docPartGallery w:val="Page Numbers (Bottom of Page)"/>
        <w:docPartUnique/>
      </w:docPartObj>
    </w:sdtPr>
    <w:sdtEndPr>
      <w:rPr>
        <w:color w:val="404040" w:themeColor="text1" w:themeTint="BF"/>
      </w:rPr>
    </w:sdtEndPr>
    <w:sdtContent>
      <w:p w:rsidR="00C96A96" w:rsidRDefault="00C96A96" w:rsidP="00BA18A2">
        <w:pPr>
          <w:pStyle w:val="Nagwek"/>
          <w:rPr>
            <w:rStyle w:val="nadtabelaZnak"/>
          </w:rPr>
        </w:pPr>
        <w:r>
          <w:rPr>
            <w:rStyle w:val="nadtabelaZnak"/>
          </w:rPr>
          <w:pict>
            <v:rect id="_x0000_i1051" style="width:453.55pt;height:1pt" o:hralign="center" o:hrstd="t" o:hrnoshade="t" o:hr="t" fillcolor="#6a91b3" stroked="f"/>
          </w:pict>
        </w:r>
      </w:p>
      <w:p w:rsidR="00C96A96" w:rsidRPr="006C6B0E" w:rsidRDefault="00C96A96" w:rsidP="00BA18A2">
        <w:pPr>
          <w:pStyle w:val="Stopka"/>
          <w:jc w:val="right"/>
          <w:rPr>
            <w:color w:val="404040" w:themeColor="text1" w:themeTint="BF"/>
            <w:sz w:val="20"/>
            <w:szCs w:val="23"/>
          </w:rPr>
        </w:pPr>
        <w:sdt>
          <w:sdtPr>
            <w:rPr>
              <w:i/>
              <w:iCs/>
              <w:color w:val="404040" w:themeColor="text1" w:themeTint="BF"/>
              <w:sz w:val="20"/>
              <w:szCs w:val="23"/>
            </w:rPr>
            <w:id w:val="2098825414"/>
            <w:docPartObj>
              <w:docPartGallery w:val="Page Numbers (Bottom of Page)"/>
              <w:docPartUnique/>
            </w:docPartObj>
          </w:sdtPr>
          <w:sdtContent>
            <w:r w:rsidRPr="006C6B0E">
              <w:rPr>
                <w:color w:val="404040" w:themeColor="text1" w:themeTint="BF"/>
                <w:sz w:val="20"/>
                <w:szCs w:val="23"/>
              </w:rPr>
              <w:fldChar w:fldCharType="begin"/>
            </w:r>
            <w:r w:rsidRPr="006C6B0E">
              <w:rPr>
                <w:color w:val="404040" w:themeColor="text1" w:themeTint="BF"/>
                <w:sz w:val="20"/>
                <w:szCs w:val="23"/>
              </w:rPr>
              <w:instrText xml:space="preserve"> PAGE   \* MERGEFORMAT </w:instrText>
            </w:r>
            <w:r w:rsidRPr="006C6B0E">
              <w:rPr>
                <w:color w:val="404040" w:themeColor="text1" w:themeTint="BF"/>
                <w:sz w:val="20"/>
                <w:szCs w:val="23"/>
              </w:rPr>
              <w:fldChar w:fldCharType="separate"/>
            </w:r>
            <w:r>
              <w:rPr>
                <w:noProof/>
                <w:color w:val="404040" w:themeColor="text1" w:themeTint="BF"/>
                <w:sz w:val="20"/>
                <w:szCs w:val="23"/>
              </w:rPr>
              <w:t>359</w:t>
            </w:r>
            <w:r w:rsidRPr="006C6B0E">
              <w:rPr>
                <w:color w:val="404040" w:themeColor="text1" w:themeTint="BF"/>
                <w:sz w:val="20"/>
                <w:szCs w:val="23"/>
              </w:rPr>
              <w:fldChar w:fldCharType="end"/>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759291"/>
      <w:docPartObj>
        <w:docPartGallery w:val="Page Numbers (Bottom of Page)"/>
        <w:docPartUnique/>
      </w:docPartObj>
    </w:sdtPr>
    <w:sdtContent>
      <w:p w:rsidR="00C96A96" w:rsidRDefault="00C96A96" w:rsidP="000178B1">
        <w:pPr>
          <w:pStyle w:val="Nagwek"/>
          <w:rPr>
            <w:rStyle w:val="nadtabelaZnak"/>
          </w:rPr>
        </w:pPr>
        <w:r>
          <w:rPr>
            <w:rStyle w:val="nadtabelaZnak"/>
          </w:rPr>
          <w:pict>
            <v:rect id="_x0000_i1029" style="width:453.6pt;height:1pt" o:hralign="center" o:hrstd="t" o:hrnoshade="t" o:hr="t" fillcolor="black [3213]" stroked="f"/>
          </w:pict>
        </w:r>
      </w:p>
      <w:p w:rsidR="00C96A96" w:rsidRPr="005A45DA" w:rsidRDefault="00C96A96" w:rsidP="000178B1">
        <w:pPr>
          <w:pStyle w:val="Stopka"/>
          <w:jc w:val="right"/>
          <w:rPr>
            <w:color w:val="404040" w:themeColor="text1" w:themeTint="BF"/>
            <w:sz w:val="20"/>
            <w:szCs w:val="23"/>
          </w:rPr>
        </w:pPr>
        <w:sdt>
          <w:sdtPr>
            <w:rPr>
              <w:i/>
              <w:iCs/>
              <w:color w:val="404040" w:themeColor="text1" w:themeTint="BF"/>
              <w:sz w:val="20"/>
              <w:szCs w:val="23"/>
            </w:rPr>
            <w:id w:val="-439685237"/>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sidR="00D57BC6" w:rsidRPr="00D57BC6">
              <w:rPr>
                <w:noProof/>
                <w:color w:val="404040" w:themeColor="text1" w:themeTint="BF"/>
                <w:szCs w:val="23"/>
              </w:rPr>
              <w:t>15</w:t>
            </w:r>
            <w:r w:rsidRPr="004A0D84">
              <w:rPr>
                <w:color w:val="404040" w:themeColor="text1" w:themeTint="BF"/>
                <w:sz w:val="20"/>
                <w:szCs w:val="23"/>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Default="00C96A96" w:rsidP="006307DD">
    <w:pPr>
      <w:pStyle w:val="Nagwek"/>
      <w:rPr>
        <w:rStyle w:val="nadtabelaZnak"/>
      </w:rPr>
    </w:pPr>
    <w:r>
      <w:rPr>
        <w:rStyle w:val="nadtabelaZnak"/>
      </w:rPr>
      <w:pict>
        <v:rect id="_x0000_i1031" style="width:453.55pt;height:1pt" o:hralign="center" o:hrstd="t" o:hrnoshade="t" o:hr="t" fillcolor="#6a91b3" stroked="f"/>
      </w:pict>
    </w:r>
  </w:p>
  <w:p w:rsidR="00C96A96" w:rsidRPr="006E217F" w:rsidRDefault="00C96A96" w:rsidP="006307DD">
    <w:pPr>
      <w:pStyle w:val="Stopka"/>
      <w:rPr>
        <w:color w:val="404040"/>
        <w:sz w:val="20"/>
        <w:szCs w:val="23"/>
      </w:rPr>
    </w:pPr>
    <w:r w:rsidRPr="006E217F">
      <w:rPr>
        <w:color w:val="404040"/>
        <w:sz w:val="20"/>
        <w:szCs w:val="23"/>
      </w:rPr>
      <w:fldChar w:fldCharType="begin"/>
    </w:r>
    <w:r w:rsidRPr="006E217F">
      <w:rPr>
        <w:color w:val="404040"/>
        <w:sz w:val="20"/>
        <w:szCs w:val="23"/>
      </w:rPr>
      <w:instrText xml:space="preserve"> PAGE   \* MERGEFORMAT </w:instrText>
    </w:r>
    <w:r w:rsidRPr="006E217F">
      <w:rPr>
        <w:color w:val="404040"/>
        <w:sz w:val="20"/>
        <w:szCs w:val="23"/>
      </w:rPr>
      <w:fldChar w:fldCharType="separate"/>
    </w:r>
    <w:r>
      <w:rPr>
        <w:noProof/>
        <w:color w:val="404040"/>
        <w:sz w:val="20"/>
        <w:szCs w:val="23"/>
      </w:rPr>
      <w:t>136</w:t>
    </w:r>
    <w:r w:rsidRPr="006E217F">
      <w:rPr>
        <w:color w:val="404040"/>
        <w:sz w:val="20"/>
        <w:szCs w:val="23"/>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Default="00C96A96" w:rsidP="006307DD">
    <w:pPr>
      <w:pStyle w:val="Nagwek"/>
      <w:rPr>
        <w:rStyle w:val="nadtabelaZnak"/>
      </w:rPr>
    </w:pPr>
    <w:r>
      <w:rPr>
        <w:rStyle w:val="nadtabelaZnak"/>
      </w:rPr>
      <w:pict>
        <v:rect id="_x0000_i1032" style="width:453.55pt;height:1pt" o:hralign="center" o:hrstd="t" o:hrnoshade="t" o:hr="t" fillcolor="#6a91b3" stroked="f"/>
      </w:pict>
    </w:r>
  </w:p>
  <w:p w:rsidR="00C96A96" w:rsidRPr="006E217F" w:rsidRDefault="00C96A96" w:rsidP="006307DD">
    <w:pPr>
      <w:pStyle w:val="Stopka"/>
      <w:jc w:val="right"/>
      <w:rPr>
        <w:color w:val="404040"/>
        <w:sz w:val="20"/>
        <w:szCs w:val="23"/>
      </w:rPr>
    </w:pPr>
    <w:r w:rsidRPr="006E217F">
      <w:rPr>
        <w:color w:val="404040"/>
        <w:sz w:val="20"/>
        <w:szCs w:val="23"/>
      </w:rPr>
      <w:fldChar w:fldCharType="begin"/>
    </w:r>
    <w:r w:rsidRPr="006E217F">
      <w:rPr>
        <w:color w:val="404040"/>
        <w:sz w:val="20"/>
        <w:szCs w:val="23"/>
      </w:rPr>
      <w:instrText xml:space="preserve"> PAGE   \* MERGEFORMAT </w:instrText>
    </w:r>
    <w:r w:rsidRPr="006E217F">
      <w:rPr>
        <w:color w:val="404040"/>
        <w:sz w:val="20"/>
        <w:szCs w:val="23"/>
      </w:rPr>
      <w:fldChar w:fldCharType="separate"/>
    </w:r>
    <w:r>
      <w:rPr>
        <w:noProof/>
        <w:color w:val="404040"/>
        <w:sz w:val="20"/>
        <w:szCs w:val="23"/>
      </w:rPr>
      <w:t>135</w:t>
    </w:r>
    <w:r w:rsidRPr="006E217F">
      <w:rPr>
        <w:color w:val="404040"/>
        <w:sz w:val="20"/>
        <w:szCs w:val="23"/>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935429"/>
      <w:docPartObj>
        <w:docPartGallery w:val="Page Numbers (Bottom of Page)"/>
        <w:docPartUnique/>
      </w:docPartObj>
    </w:sdtPr>
    <w:sdtContent>
      <w:p w:rsidR="00C96A96" w:rsidRDefault="00C96A96" w:rsidP="005A45DA">
        <w:pPr>
          <w:pStyle w:val="Nagwek"/>
          <w:rPr>
            <w:rStyle w:val="nadtabelaZnak"/>
          </w:rPr>
        </w:pPr>
        <w:r>
          <w:rPr>
            <w:rStyle w:val="nadtabelaZnak"/>
          </w:rPr>
          <w:pict>
            <v:rect id="_x0000_i1033" style="width:453.55pt;height:1pt" o:hralign="center" o:hrstd="t" o:hrnoshade="t" o:hr="t" fillcolor="#6a91b3" stroked="f"/>
          </w:pict>
        </w:r>
      </w:p>
      <w:p w:rsidR="00C96A96" w:rsidRPr="005A45DA" w:rsidRDefault="00C96A96" w:rsidP="0020483E">
        <w:pPr>
          <w:pStyle w:val="Stopka"/>
          <w:rPr>
            <w:color w:val="404040" w:themeColor="text1" w:themeTint="BF"/>
            <w:sz w:val="20"/>
            <w:szCs w:val="23"/>
          </w:rPr>
        </w:pPr>
        <w:sdt>
          <w:sdtPr>
            <w:rPr>
              <w:i/>
              <w:iCs/>
              <w:color w:val="404040" w:themeColor="text1" w:themeTint="BF"/>
              <w:sz w:val="20"/>
              <w:szCs w:val="23"/>
            </w:rPr>
            <w:id w:val="-847334154"/>
            <w:docPartObj>
              <w:docPartGallery w:val="Page Numbers (Bottom of Page)"/>
              <w:docPartUnique/>
            </w:docPartObj>
          </w:sdtPr>
          <w:sdtContent>
            <w:r w:rsidRPr="004A0D84">
              <w:rPr>
                <w:noProof/>
                <w:color w:val="404040" w:themeColor="text1" w:themeTint="BF"/>
                <w:sz w:val="20"/>
                <w:szCs w:val="23"/>
              </w:rPr>
              <w:fldChar w:fldCharType="begin"/>
            </w:r>
            <w:r w:rsidRPr="004A0D84">
              <w:rPr>
                <w:noProof/>
                <w:color w:val="404040" w:themeColor="text1" w:themeTint="BF"/>
                <w:sz w:val="20"/>
                <w:szCs w:val="23"/>
              </w:rPr>
              <w:instrText xml:space="preserve"> PAGE   \* MERGEFORMAT </w:instrText>
            </w:r>
            <w:r w:rsidRPr="004A0D84">
              <w:rPr>
                <w:noProof/>
                <w:color w:val="404040" w:themeColor="text1" w:themeTint="BF"/>
                <w:sz w:val="20"/>
                <w:szCs w:val="23"/>
              </w:rPr>
              <w:fldChar w:fldCharType="separate"/>
            </w:r>
            <w:r>
              <w:rPr>
                <w:noProof/>
                <w:color w:val="404040" w:themeColor="text1" w:themeTint="BF"/>
                <w:sz w:val="20"/>
                <w:szCs w:val="23"/>
              </w:rPr>
              <w:t>140</w:t>
            </w:r>
            <w:r w:rsidRPr="004A0D84">
              <w:rPr>
                <w:noProof/>
                <w:color w:val="404040" w:themeColor="text1" w:themeTint="BF"/>
                <w:sz w:val="20"/>
                <w:szCs w:val="23"/>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381030"/>
      <w:docPartObj>
        <w:docPartGallery w:val="Page Numbers (Bottom of Page)"/>
        <w:docPartUnique/>
      </w:docPartObj>
    </w:sdtPr>
    <w:sdtContent>
      <w:p w:rsidR="00C96A96" w:rsidRDefault="00C96A96" w:rsidP="00BA18A2">
        <w:pPr>
          <w:pStyle w:val="Nagwek"/>
          <w:rPr>
            <w:rStyle w:val="nadtabelaZnak"/>
          </w:rPr>
        </w:pPr>
        <w:r>
          <w:rPr>
            <w:rStyle w:val="nadtabelaZnak"/>
          </w:rPr>
          <w:pict>
            <v:rect id="_x0000_i1034" style="width:453.55pt;height:1pt" o:hralign="center" o:hrstd="t" o:hrnoshade="t" o:hr="t" fillcolor="#6a91b3" stroked="f"/>
          </w:pict>
        </w:r>
      </w:p>
      <w:p w:rsidR="00C96A96" w:rsidRPr="00BA18A2" w:rsidRDefault="00C96A96" w:rsidP="00BA18A2">
        <w:pPr>
          <w:pStyle w:val="Stopka"/>
          <w:jc w:val="right"/>
          <w:rPr>
            <w:color w:val="404040" w:themeColor="text1" w:themeTint="BF"/>
            <w:sz w:val="20"/>
            <w:szCs w:val="23"/>
          </w:rPr>
        </w:pPr>
        <w:sdt>
          <w:sdtPr>
            <w:rPr>
              <w:i/>
              <w:iCs/>
              <w:color w:val="404040" w:themeColor="text1" w:themeTint="BF"/>
              <w:sz w:val="20"/>
              <w:szCs w:val="23"/>
            </w:rPr>
            <w:id w:val="-1599712475"/>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143</w:t>
            </w:r>
            <w:r w:rsidRPr="004A0D84">
              <w:rPr>
                <w:color w:val="404040" w:themeColor="text1" w:themeTint="BF"/>
                <w:sz w:val="20"/>
                <w:szCs w:val="23"/>
              </w:rPr>
              <w:fldChar w:fldCharType="end"/>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193576"/>
      <w:docPartObj>
        <w:docPartGallery w:val="Page Numbers (Bottom of Page)"/>
        <w:docPartUnique/>
      </w:docPartObj>
    </w:sdtPr>
    <w:sdtContent>
      <w:p w:rsidR="00C96A96" w:rsidRDefault="00C96A96" w:rsidP="00A22797">
        <w:pPr>
          <w:pStyle w:val="Nagwek"/>
          <w:rPr>
            <w:rStyle w:val="nadtabelaZnak"/>
          </w:rPr>
        </w:pPr>
        <w:r>
          <w:rPr>
            <w:rStyle w:val="nadtabelaZnak"/>
          </w:rPr>
          <w:pict>
            <v:rect id="_x0000_i1035" style="width:453.55pt;height:1pt" o:hralign="center" o:hrstd="t" o:hrnoshade="t" o:hr="t" fillcolor="#6a91b3" stroked="f"/>
          </w:pict>
        </w:r>
      </w:p>
      <w:p w:rsidR="00C96A96" w:rsidRPr="00A22797" w:rsidRDefault="00C96A96" w:rsidP="0020483E">
        <w:pPr>
          <w:pStyle w:val="Stopka"/>
          <w:jc w:val="left"/>
          <w:rPr>
            <w:color w:val="404040" w:themeColor="text1" w:themeTint="BF"/>
            <w:sz w:val="20"/>
            <w:szCs w:val="23"/>
          </w:rPr>
        </w:pPr>
        <w:sdt>
          <w:sdtPr>
            <w:rPr>
              <w:i/>
              <w:iCs/>
              <w:color w:val="404040" w:themeColor="text1" w:themeTint="BF"/>
              <w:sz w:val="20"/>
              <w:szCs w:val="23"/>
            </w:rPr>
            <w:id w:val="-1709871116"/>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137</w:t>
            </w:r>
            <w:r w:rsidRPr="004A0D84">
              <w:rPr>
                <w:color w:val="404040" w:themeColor="text1" w:themeTint="BF"/>
                <w:sz w:val="20"/>
                <w:szCs w:val="23"/>
              </w:rPr>
              <w:fldChar w:fldCharType="end"/>
            </w:r>
          </w:sdtContent>
        </w:sdt>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862696"/>
      <w:docPartObj>
        <w:docPartGallery w:val="Page Numbers (Bottom of Page)"/>
        <w:docPartUnique/>
      </w:docPartObj>
    </w:sdtPr>
    <w:sdtEndPr>
      <w:rPr>
        <w:color w:val="FFFFFF" w:themeColor="background1"/>
      </w:rPr>
    </w:sdtEndPr>
    <w:sdtContent>
      <w:p w:rsidR="00C96A96" w:rsidRDefault="00C96A96" w:rsidP="00A22797">
        <w:pPr>
          <w:pStyle w:val="Nagwek"/>
          <w:rPr>
            <w:rStyle w:val="nadtabelaZnak"/>
          </w:rPr>
        </w:pPr>
        <w:r>
          <w:rPr>
            <w:rStyle w:val="nadtabelaZnak"/>
          </w:rPr>
          <w:pict>
            <v:rect id="_x0000_i1037" style="width:1048.85pt;height:1pt" o:hralign="center" o:hrstd="t" o:hrnoshade="t" o:hr="t" fillcolor="white [3212]" stroked="f"/>
          </w:pict>
        </w:r>
      </w:p>
      <w:p w:rsidR="00C96A96" w:rsidRPr="00A83BE7" w:rsidRDefault="00C96A96" w:rsidP="0020483E">
        <w:pPr>
          <w:pStyle w:val="Stopka"/>
          <w:jc w:val="left"/>
          <w:rPr>
            <w:color w:val="FFFFFF" w:themeColor="background1"/>
            <w:sz w:val="20"/>
            <w:szCs w:val="23"/>
          </w:rPr>
        </w:pPr>
        <w:sdt>
          <w:sdtPr>
            <w:rPr>
              <w:i/>
              <w:iCs/>
              <w:color w:val="FFFFFF" w:themeColor="background1"/>
              <w:sz w:val="20"/>
              <w:szCs w:val="23"/>
            </w:rPr>
            <w:id w:val="-666403886"/>
            <w:docPartObj>
              <w:docPartGallery w:val="Page Numbers (Bottom of Page)"/>
              <w:docPartUnique/>
            </w:docPartObj>
          </w:sdtPr>
          <w:sdtContent>
            <w:r w:rsidRPr="00A83BE7">
              <w:rPr>
                <w:color w:val="FFFFFF" w:themeColor="background1"/>
                <w:sz w:val="20"/>
                <w:szCs w:val="23"/>
              </w:rPr>
              <w:fldChar w:fldCharType="begin"/>
            </w:r>
            <w:r w:rsidRPr="00A83BE7">
              <w:rPr>
                <w:color w:val="FFFFFF" w:themeColor="background1"/>
                <w:sz w:val="20"/>
                <w:szCs w:val="23"/>
              </w:rPr>
              <w:instrText xml:space="preserve"> PAGE   \* MERGEFORMAT </w:instrText>
            </w:r>
            <w:r w:rsidRPr="00A83BE7">
              <w:rPr>
                <w:color w:val="FFFFFF" w:themeColor="background1"/>
                <w:sz w:val="20"/>
                <w:szCs w:val="23"/>
              </w:rPr>
              <w:fldChar w:fldCharType="separate"/>
            </w:r>
            <w:r>
              <w:rPr>
                <w:noProof/>
                <w:color w:val="FFFFFF" w:themeColor="background1"/>
                <w:sz w:val="20"/>
                <w:szCs w:val="23"/>
              </w:rPr>
              <w:t>141</w:t>
            </w:r>
            <w:r w:rsidRPr="00A83BE7">
              <w:rPr>
                <w:color w:val="FFFFFF" w:themeColor="background1"/>
                <w:sz w:val="20"/>
                <w:szCs w:val="23"/>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068418"/>
      <w:docPartObj>
        <w:docPartGallery w:val="Page Numbers (Bottom of Page)"/>
        <w:docPartUnique/>
      </w:docPartObj>
    </w:sdtPr>
    <w:sdtContent>
      <w:p w:rsidR="00C96A96" w:rsidRDefault="00C96A96" w:rsidP="00A22797">
        <w:pPr>
          <w:pStyle w:val="Nagwek"/>
          <w:rPr>
            <w:rStyle w:val="nadtabelaZnak"/>
          </w:rPr>
        </w:pPr>
        <w:r>
          <w:rPr>
            <w:rStyle w:val="nadtabelaZnak"/>
          </w:rPr>
          <w:pict>
            <v:rect id="_x0000_i1038" style="width:453.55pt;height:1pt" o:hralign="center" o:hrstd="t" o:hrnoshade="t" o:hr="t" fillcolor="#6a91b3" stroked="f"/>
          </w:pict>
        </w:r>
      </w:p>
      <w:p w:rsidR="00C96A96" w:rsidRPr="00A22797" w:rsidRDefault="00C96A96" w:rsidP="0020483E">
        <w:pPr>
          <w:pStyle w:val="Stopka"/>
          <w:jc w:val="right"/>
          <w:rPr>
            <w:color w:val="404040" w:themeColor="text1" w:themeTint="BF"/>
            <w:sz w:val="20"/>
            <w:szCs w:val="23"/>
          </w:rPr>
        </w:pPr>
        <w:sdt>
          <w:sdtPr>
            <w:rPr>
              <w:i/>
              <w:iCs/>
              <w:color w:val="404040" w:themeColor="text1" w:themeTint="BF"/>
              <w:sz w:val="20"/>
              <w:szCs w:val="23"/>
            </w:rPr>
            <w:id w:val="1120334922"/>
            <w:docPartObj>
              <w:docPartGallery w:val="Page Numbers (Bottom of Page)"/>
              <w:docPartUnique/>
            </w:docPartObj>
          </w:sdtPr>
          <w:sdtContent>
            <w:r w:rsidRPr="004A0D84">
              <w:rPr>
                <w:color w:val="404040" w:themeColor="text1" w:themeTint="BF"/>
                <w:sz w:val="20"/>
                <w:szCs w:val="23"/>
              </w:rPr>
              <w:fldChar w:fldCharType="begin"/>
            </w:r>
            <w:r w:rsidRPr="004A0D84">
              <w:rPr>
                <w:color w:val="404040" w:themeColor="text1" w:themeTint="BF"/>
                <w:sz w:val="20"/>
                <w:szCs w:val="23"/>
              </w:rPr>
              <w:instrText xml:space="preserve"> PAGE   \* MERGEFORMAT </w:instrText>
            </w:r>
            <w:r w:rsidRPr="004A0D84">
              <w:rPr>
                <w:color w:val="404040" w:themeColor="text1" w:themeTint="BF"/>
                <w:sz w:val="20"/>
                <w:szCs w:val="23"/>
              </w:rPr>
              <w:fldChar w:fldCharType="separate"/>
            </w:r>
            <w:r>
              <w:rPr>
                <w:noProof/>
                <w:color w:val="404040" w:themeColor="text1" w:themeTint="BF"/>
                <w:sz w:val="20"/>
                <w:szCs w:val="23"/>
              </w:rPr>
              <w:t>142</w:t>
            </w:r>
            <w:r w:rsidRPr="004A0D84">
              <w:rPr>
                <w:color w:val="404040" w:themeColor="text1" w:themeTint="BF"/>
                <w:sz w:val="20"/>
                <w:szCs w:val="23"/>
              </w:rPr>
              <w:fldChar w:fldCharType="end"/>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A96" w:rsidRDefault="00C96A96" w:rsidP="009F2662">
      <w:pPr>
        <w:spacing w:after="0" w:line="240" w:lineRule="auto"/>
      </w:pPr>
      <w:r>
        <w:separator/>
      </w:r>
    </w:p>
  </w:footnote>
  <w:footnote w:type="continuationSeparator" w:id="0">
    <w:p w:rsidR="00C96A96" w:rsidRDefault="00C96A96" w:rsidP="009F2662">
      <w:pPr>
        <w:spacing w:after="0" w:line="240" w:lineRule="auto"/>
      </w:pPr>
      <w:r>
        <w:continuationSeparator/>
      </w:r>
    </w:p>
  </w:footnote>
  <w:footnote w:id="1">
    <w:p w:rsidR="00C96A96" w:rsidRPr="00803F4D" w:rsidRDefault="00C96A96" w:rsidP="00AC52E2">
      <w:pPr>
        <w:pStyle w:val="Tekstprzypisudolnego"/>
        <w:jc w:val="left"/>
      </w:pPr>
      <w:r w:rsidRPr="00803F4D">
        <w:rPr>
          <w:rStyle w:val="Odwoanieprzypisudolnego"/>
        </w:rPr>
        <w:footnoteRef/>
      </w:r>
      <w:r w:rsidRPr="00803F4D">
        <w:t xml:space="preserve"> Plan zagospodarowania przestrzennego województwa dolnośląskiego</w:t>
      </w:r>
    </w:p>
  </w:footnote>
  <w:footnote w:id="2">
    <w:p w:rsidR="00C96A96" w:rsidRDefault="00C96A96" w:rsidP="00AC52E2">
      <w:pPr>
        <w:pStyle w:val="Tekstprzypisudolnego"/>
        <w:jc w:val="left"/>
      </w:pPr>
      <w:r>
        <w:rPr>
          <w:rStyle w:val="Odwoanieprzypisudolnego"/>
        </w:rPr>
        <w:footnoteRef/>
      </w:r>
      <w:r>
        <w:t xml:space="preserve"> Uchwała nr 6140/VI/22 Zarządu Województwa Dolnośląskiego z dnia 14 listopada 2022 r. w sprawie przyjęcia projektu propozycji wyznaczenia miejskich obszarów funkcjonalnych celem realizacji podejścia terytorialnego w ramach projektu programu Fundusze Europejskie dla Dolnego Śląska 2021-2027</w:t>
      </w:r>
    </w:p>
  </w:footnote>
  <w:footnote w:id="3">
    <w:p w:rsidR="00C96A96" w:rsidRDefault="00C96A96" w:rsidP="00801B43">
      <w:pPr>
        <w:pStyle w:val="Default"/>
        <w:rPr>
          <w:rFonts w:ascii="Fira Sans Extra Condensed" w:hAnsi="Fira Sans Extra Condensed" w:cs="Fira Sans Extra Condensed"/>
        </w:rPr>
      </w:pPr>
      <w:r>
        <w:rPr>
          <w:rStyle w:val="Odwoanieprzypisudolnego"/>
        </w:rPr>
        <w:footnoteRef/>
      </w:r>
      <w:r>
        <w:rPr>
          <w:bCs/>
          <w:color w:val="auto"/>
          <w:sz w:val="20"/>
          <w:szCs w:val="20"/>
        </w:rPr>
        <w:t xml:space="preserve"> Źródło danych GUS - Informacja o wynikach Narodowego Spisu Powszechnego Ludności i Mieszkań 2021 na poziomie województw, powiatów i gmin</w:t>
      </w:r>
      <w:r>
        <w:rPr>
          <w:bCs/>
          <w:color w:val="auto"/>
          <w:sz w:val="18"/>
          <w:szCs w:val="18"/>
        </w:rPr>
        <w:t>.</w:t>
      </w:r>
    </w:p>
  </w:footnote>
  <w:footnote w:id="4">
    <w:p w:rsidR="00C96A96" w:rsidRDefault="00C96A96" w:rsidP="000178B1">
      <w:pPr>
        <w:pStyle w:val="Tekstprzypisudolnego"/>
      </w:pPr>
      <w:r>
        <w:rPr>
          <w:rStyle w:val="Odwoanieprzypisudolnego"/>
        </w:rPr>
        <w:footnoteRef/>
      </w:r>
      <w:r>
        <w:t xml:space="preserve"> Do 2023 roku Miękinia była gminą wiejską. Dlatego też w ramach opracowania c</w:t>
      </w:r>
      <w:r w:rsidRPr="007D285C">
        <w:t>zęś</w:t>
      </w:r>
      <w:r>
        <w:t>ci</w:t>
      </w:r>
      <w:r w:rsidRPr="007D285C">
        <w:t xml:space="preserve"> diagnostyczn</w:t>
      </w:r>
      <w:r>
        <w:t>ej dla</w:t>
      </w:r>
      <w:r w:rsidRPr="007D285C">
        <w:t xml:space="preserve"> Zintegrowanych Inwestycji Terytorialnych WrOF na lata 2021-2027</w:t>
      </w:r>
      <w:r>
        <w:t xml:space="preserve">, która powstawała w 2022 kwalifikowano Miękinię do grupy gmin wiejskich. Od stycznia 2023 roku, Miękinia zyskała status gminy miejsko-wiejskiej. </w:t>
      </w:r>
    </w:p>
  </w:footnote>
  <w:footnote w:id="5">
    <w:p w:rsidR="00C96A96" w:rsidRPr="00DB3F95" w:rsidRDefault="00C96A96" w:rsidP="000178B1">
      <w:pPr>
        <w:pStyle w:val="Tekstprzypisudolnego"/>
      </w:pPr>
      <w:r w:rsidRPr="00DB3F95">
        <w:rPr>
          <w:rStyle w:val="Znakiprzypiswdolnych"/>
          <w:vertAlign w:val="superscript"/>
        </w:rPr>
        <w:footnoteRef/>
      </w:r>
      <w:r>
        <w:t xml:space="preserve"> </w:t>
      </w:r>
      <w:r w:rsidRPr="00DB3F95">
        <w:t>Zliczono powierzchnię miast oraz obszarów miejskich w gminach miejsko-wiejskich</w:t>
      </w:r>
    </w:p>
  </w:footnote>
  <w:footnote w:id="6">
    <w:p w:rsidR="00C96A96" w:rsidRDefault="00C96A96" w:rsidP="00CF66EC">
      <w:pPr>
        <w:pStyle w:val="Tekstprzypisudolnego"/>
      </w:pPr>
      <w:r>
        <w:rPr>
          <w:rStyle w:val="Odwoanieprzypisudolnego"/>
        </w:rPr>
        <w:footnoteRef/>
      </w:r>
      <w:r>
        <w:t xml:space="preserve"> Droga relacji: </w:t>
      </w:r>
      <w:r w:rsidRPr="00295BE5">
        <w:t>Magnice</w:t>
      </w:r>
      <w:r>
        <w:t xml:space="preserve"> </w:t>
      </w:r>
      <w:r w:rsidRPr="00295BE5">
        <w:t>–</w:t>
      </w:r>
      <w:r>
        <w:t xml:space="preserve"> </w:t>
      </w:r>
      <w:r w:rsidRPr="00295BE5">
        <w:t>Białystok</w:t>
      </w:r>
      <w:r>
        <w:t>.</w:t>
      </w:r>
    </w:p>
  </w:footnote>
  <w:footnote w:id="7">
    <w:p w:rsidR="00C96A96" w:rsidRDefault="00C96A96" w:rsidP="00CF66EC">
      <w:pPr>
        <w:pStyle w:val="Tekstprzypisudolnego"/>
      </w:pPr>
      <w:r>
        <w:rPr>
          <w:rStyle w:val="Odwoanieprzypisudolnego"/>
        </w:rPr>
        <w:footnoteRef/>
      </w:r>
      <w:r>
        <w:t xml:space="preserve"> Droga relacji: Ostróda </w:t>
      </w:r>
      <w:r w:rsidRPr="00295BE5">
        <w:t>– Wrocław</w:t>
      </w:r>
    </w:p>
  </w:footnote>
  <w:footnote w:id="8">
    <w:p w:rsidR="00C96A96" w:rsidRDefault="00C96A96" w:rsidP="00A02854">
      <w:pPr>
        <w:pStyle w:val="Tekstprzypisudolnego"/>
        <w:jc w:val="left"/>
      </w:pPr>
      <w:r w:rsidRPr="00D42138">
        <w:rPr>
          <w:rStyle w:val="Znakiprzypiswdolnych"/>
          <w:vertAlign w:val="superscript"/>
        </w:rPr>
        <w:footnoteRef/>
      </w:r>
      <w:r>
        <w:rPr>
          <w:color w:val="000000" w:themeColor="text1"/>
        </w:rPr>
        <w:t xml:space="preserve"> </w:t>
      </w:r>
      <w:r w:rsidRPr="00A02854">
        <w:rPr>
          <w:color w:val="000000" w:themeColor="text1"/>
        </w:rPr>
        <w:t xml:space="preserve">na podstawie https://irt.wroc.pl/strona-286-wroclawski_wezel_kolejowy.html oraz </w:t>
      </w:r>
      <w:r w:rsidRPr="00182AA0">
        <w:t>http://mapa.plk-sa.pl/</w:t>
      </w:r>
      <w:r w:rsidRPr="00A02854">
        <w:rPr>
          <w:color w:val="000000" w:themeColor="text1"/>
        </w:rPr>
        <w:t xml:space="preserve"> [Dostęp 31.12.2021].</w:t>
      </w:r>
    </w:p>
  </w:footnote>
  <w:footnote w:id="9">
    <w:p w:rsidR="00C96A96" w:rsidRDefault="00C96A96" w:rsidP="008B5689">
      <w:pPr>
        <w:pStyle w:val="Tekstprzypisudolnego"/>
      </w:pPr>
      <w:r>
        <w:rPr>
          <w:rStyle w:val="Odwoanieprzypisudolnego"/>
        </w:rPr>
        <w:footnoteRef/>
      </w:r>
      <w:r>
        <w:t xml:space="preserve"> za  Plan Zrównoważonej Mobilności dla Miejskiego Obszaru Funkcjonalnego Wrocławia (PZM MOFW), s. 73. </w:t>
      </w:r>
    </w:p>
  </w:footnote>
  <w:footnote w:id="10">
    <w:p w:rsidR="00C96A96" w:rsidRDefault="00C96A96" w:rsidP="00A02854">
      <w:pPr>
        <w:pStyle w:val="Tekstprzypisudolnego"/>
        <w:jc w:val="left"/>
      </w:pPr>
      <w:r>
        <w:rPr>
          <w:rStyle w:val="Odwoanieprzypisudolnego"/>
        </w:rPr>
        <w:footnoteRef/>
      </w:r>
      <w:r>
        <w:t xml:space="preserve"> Ibidem. </w:t>
      </w:r>
    </w:p>
  </w:footnote>
  <w:footnote w:id="11">
    <w:p w:rsidR="00C96A96" w:rsidRDefault="00C96A96">
      <w:pPr>
        <w:pStyle w:val="Tekstprzypisudolnego"/>
      </w:pPr>
      <w:r>
        <w:rPr>
          <w:rStyle w:val="Odwoanieprzypisudolnego"/>
        </w:rPr>
        <w:footnoteRef/>
      </w:r>
      <w:r>
        <w:t xml:space="preserve"> za: Raport, </w:t>
      </w:r>
      <w:r w:rsidRPr="00790E71">
        <w:t>Wrocławski Program Tramwajowy 2.0</w:t>
      </w:r>
    </w:p>
  </w:footnote>
  <w:footnote w:id="12">
    <w:p w:rsidR="00C96A96" w:rsidRDefault="00C96A96" w:rsidP="00A02854">
      <w:pPr>
        <w:pStyle w:val="Tekstprzypisudolnego"/>
        <w:jc w:val="left"/>
      </w:pPr>
      <w:r>
        <w:rPr>
          <w:rStyle w:val="Odwoanieprzypisudolnego"/>
        </w:rPr>
        <w:footnoteRef/>
      </w:r>
      <w:r>
        <w:t xml:space="preserve"> Plan Zrównoważonej Mobilności dla Miejskiego Obszaru Funkcjonalnego Wrocławia (PZM MOFW) STRESZCZENIE, s. 16.</w:t>
      </w:r>
    </w:p>
  </w:footnote>
  <w:footnote w:id="13">
    <w:p w:rsidR="00C96A96" w:rsidRDefault="00C96A96" w:rsidP="008E70A9">
      <w:pPr>
        <w:pStyle w:val="Tekstprzypisudolnego"/>
      </w:pPr>
      <w:r>
        <w:rPr>
          <w:rStyle w:val="Odwoanieprzypisudolnego"/>
        </w:rPr>
        <w:footnoteRef/>
      </w:r>
      <w:r>
        <w:t xml:space="preserve"> Droga relacji: Ostróda </w:t>
      </w:r>
      <w:r w:rsidRPr="00295BE5">
        <w:t>– Wrocław</w:t>
      </w:r>
    </w:p>
  </w:footnote>
  <w:footnote w:id="14">
    <w:p w:rsidR="00C96A96" w:rsidRDefault="00C96A96" w:rsidP="008E70A9">
      <w:pPr>
        <w:pStyle w:val="Tekstprzypisudolnego"/>
      </w:pPr>
      <w:r>
        <w:rPr>
          <w:rStyle w:val="Odwoanieprzypisudolnego"/>
        </w:rPr>
        <w:footnoteRef/>
      </w:r>
      <w:r>
        <w:t xml:space="preserve"> Droga relacji: </w:t>
      </w:r>
      <w:r w:rsidRPr="00295BE5">
        <w:t>Magnice</w:t>
      </w:r>
      <w:r>
        <w:t xml:space="preserve"> </w:t>
      </w:r>
      <w:r w:rsidRPr="00295BE5">
        <w:t>–</w:t>
      </w:r>
      <w:r>
        <w:t xml:space="preserve"> </w:t>
      </w:r>
      <w:r w:rsidRPr="00295BE5">
        <w:t>Białystok</w:t>
      </w:r>
    </w:p>
  </w:footnote>
  <w:footnote w:id="15">
    <w:p w:rsidR="00C96A96" w:rsidRPr="002D2FCB" w:rsidRDefault="00C96A96" w:rsidP="000530A7">
      <w:pPr>
        <w:pStyle w:val="Tekstprzypisudolnego"/>
        <w:jc w:val="left"/>
      </w:pPr>
      <w:r w:rsidRPr="008428C1">
        <w:rPr>
          <w:rStyle w:val="Znakiprzypiswdolnych"/>
          <w:vertAlign w:val="superscript"/>
        </w:rPr>
        <w:footnoteRef/>
      </w:r>
      <w:r>
        <w:t xml:space="preserve"> Zgodnie z definicją według BDL GUS: Droga dla rowerów (ścieżka rowerowa) - droga lub jej część przeznaczona do ruchu rowerów jednośladowych, oznaczona odpowiednimi znakami drogowymi (Ustawa z dnia 20 czerwca 1997 r. Prawo o ruchu drogowym (Dz. U. z 2021 r. poz. 450). Aktualna definicja drogi dla rowerów (</w:t>
      </w:r>
      <w:proofErr w:type="spellStart"/>
      <w:r>
        <w:t>Dz.U</w:t>
      </w:r>
      <w:proofErr w:type="spellEnd"/>
      <w:r>
        <w:t xml:space="preserve">. 2022 poz. 988 z dnia 28.04.2022 r.).brzmi: droga lub jej część przeznaczona do ruchu rowerów, oznaczona odpowiednimi znakami drogowymi; droga dla rowerów jest oddzielona od innych dróg lub jezdni tej samej drogi konstrukcyjnie lub za pomocą urządzeń bezpieczeństwa ruchu drogowego. </w:t>
      </w:r>
      <w:r w:rsidRPr="002D2FCB">
        <w:t>Dla nowego brzmienia definicji brak jest obecnie danych możliwych do zaprezentowania, analizę oparto na danych w brzmieniu ustawy  z 1997r.</w:t>
      </w:r>
    </w:p>
  </w:footnote>
  <w:footnote w:id="16">
    <w:p w:rsidR="00C96A96" w:rsidRDefault="00C96A96" w:rsidP="006174E4">
      <w:pPr>
        <w:pStyle w:val="Tekstprzypisudolnego"/>
        <w:jc w:val="left"/>
      </w:pPr>
      <w:r>
        <w:rPr>
          <w:rStyle w:val="Odwoanieprzypisudolnego"/>
        </w:rPr>
        <w:footnoteRef/>
      </w:r>
      <w:r>
        <w:t xml:space="preserve"> Ustawa z dnia 11 stycznia 2018 r. o elektromobilności i paliwach alternatywnych (Dz. U. Dz. U. z 2022 r. poz. 1083, 1260, 2687 z </w:t>
      </w:r>
      <w:proofErr w:type="spellStart"/>
      <w:r>
        <w:t>późn</w:t>
      </w:r>
      <w:proofErr w:type="spellEnd"/>
      <w:r>
        <w:t>. zm.)</w:t>
      </w:r>
    </w:p>
  </w:footnote>
  <w:footnote w:id="17">
    <w:p w:rsidR="00C96A96" w:rsidRPr="00822A1B" w:rsidRDefault="00C96A96" w:rsidP="00B103B8">
      <w:pPr>
        <w:pStyle w:val="Tekstprzypisudolnego"/>
        <w:jc w:val="left"/>
      </w:pPr>
      <w:r>
        <w:rPr>
          <w:rStyle w:val="Odwoanieprzypisudolnego"/>
        </w:rPr>
        <w:footnoteRef/>
      </w:r>
      <w:r>
        <w:t xml:space="preserve"> </w:t>
      </w:r>
      <w:r w:rsidRPr="00182AA0">
        <w:t>https://stat.gov.pl/metainformacje/slownik-pojec/pojecia-stosowane-w-statystyce-publicznej/3913,pojecie.html</w:t>
      </w:r>
      <w:r w:rsidRPr="00A02854">
        <w:rPr>
          <w:color w:val="000000" w:themeColor="text1"/>
        </w:rPr>
        <w:t xml:space="preserve"> [Dostęp: 15.08.2022]</w:t>
      </w:r>
    </w:p>
  </w:footnote>
  <w:footnote w:id="18">
    <w:p w:rsidR="00C96A96" w:rsidRDefault="00C96A96" w:rsidP="00A02854">
      <w:pPr>
        <w:pStyle w:val="Tekstprzypisudolnego"/>
        <w:jc w:val="left"/>
      </w:pPr>
      <w:r w:rsidRPr="006D2B68">
        <w:rPr>
          <w:rStyle w:val="Znakiprzypiswdolnych"/>
          <w:vertAlign w:val="superscript"/>
        </w:rPr>
        <w:footnoteRef/>
      </w:r>
      <w:r>
        <w:t xml:space="preserve"> </w:t>
      </w:r>
      <w:r w:rsidRPr="006B78DC">
        <w:t>Według definicji GUS: na wiek nieprodukcyjny składa się wiek przedprodukcyjny, w którym ludność nie osiągnęła jeszcze zdolności do pracy, tj. grupa wieku 0 - 17 lat oraz wiek poprodukcyjny, w którym osoby zazwyczaj kończą pracę zawodową, tj. dla mężczyzn - 65 lat i więcej, dla kobiet - 60 lat i więcej.</w:t>
      </w:r>
    </w:p>
  </w:footnote>
  <w:footnote w:id="19">
    <w:p w:rsidR="00C96A96" w:rsidRDefault="00C96A96" w:rsidP="00A02854">
      <w:pPr>
        <w:pStyle w:val="Tekstprzypisudolnego"/>
        <w:jc w:val="left"/>
      </w:pPr>
      <w:r>
        <w:rPr>
          <w:rStyle w:val="Odwoanieprzypisudolnego"/>
        </w:rPr>
        <w:footnoteRef/>
      </w:r>
      <w:r>
        <w:t xml:space="preserve"> Narodowy Spis Powszechny 2021 </w:t>
      </w:r>
    </w:p>
  </w:footnote>
  <w:footnote w:id="20">
    <w:p w:rsidR="00C96A96" w:rsidRDefault="00C96A96" w:rsidP="00A02854">
      <w:pPr>
        <w:pStyle w:val="Tekstprzypisudolnego"/>
        <w:jc w:val="left"/>
      </w:pPr>
      <w:r w:rsidRPr="000B314C">
        <w:rPr>
          <w:rStyle w:val="Znakiprzypiswdolnych"/>
          <w:vertAlign w:val="superscript"/>
        </w:rPr>
        <w:footnoteRef/>
      </w:r>
      <w:r>
        <w:t xml:space="preserve"> </w:t>
      </w:r>
      <w:proofErr w:type="spellStart"/>
      <w:r>
        <w:t>Gonda</w:t>
      </w:r>
      <w:proofErr w:type="spellEnd"/>
      <w:r>
        <w:t>-Sroczyńska E., 2009, Przemiany strefy podmiejskiej Wrocławia w ostatnim dziesięcioleciu, Infrastruktura i ekologia terenów wiejskich, PAN Oddział w Krakowie, Komisja Technicznej Infrastruktury Wsi, Kraków, s. 149 –165.</w:t>
      </w:r>
    </w:p>
  </w:footnote>
  <w:footnote w:id="21">
    <w:p w:rsidR="00C96A96" w:rsidRDefault="00C96A96" w:rsidP="00A02854">
      <w:pPr>
        <w:pStyle w:val="Tekstprzypisudolnego"/>
        <w:jc w:val="left"/>
      </w:pPr>
      <w:r w:rsidRPr="006D2B68">
        <w:rPr>
          <w:rStyle w:val="Znakiprzypiswdolnych"/>
          <w:vertAlign w:val="superscript"/>
        </w:rPr>
        <w:footnoteRef/>
      </w:r>
      <w:r>
        <w:t xml:space="preserve"> Miejska gościnność: wielki wzrost, wyzwania i szanse. Raport o uchodźcach z Ukrainy w największych polskich miastach, 2022, Centrum analiz i badań, Unia Metropolii Polskich.</w:t>
      </w:r>
    </w:p>
  </w:footnote>
  <w:footnote w:id="22">
    <w:p w:rsidR="00C96A96" w:rsidRDefault="00C96A96" w:rsidP="00A02854">
      <w:pPr>
        <w:pStyle w:val="Tekstprzypisudolnego"/>
        <w:jc w:val="left"/>
      </w:pPr>
      <w:r w:rsidRPr="006D2B68">
        <w:rPr>
          <w:rStyle w:val="Znakiprzypiswdolnych"/>
          <w:vertAlign w:val="superscript"/>
        </w:rPr>
        <w:footnoteRef/>
      </w:r>
      <w:r>
        <w:t xml:space="preserve"> Wrocław oraz czterdzieści trzy otaczające go gminy tworzą Wrocławski Obszar Metropolitalny (klasyfikacja NUTS-3). </w:t>
      </w:r>
    </w:p>
  </w:footnote>
  <w:footnote w:id="23">
    <w:p w:rsidR="00C96A96" w:rsidRDefault="00C96A96" w:rsidP="00A02854">
      <w:pPr>
        <w:pStyle w:val="Tekstprzypisudolnego"/>
        <w:jc w:val="left"/>
      </w:pPr>
      <w:r>
        <w:rPr>
          <w:rStyle w:val="Odwoanieprzypisudolnego"/>
        </w:rPr>
        <w:footnoteRef/>
      </w:r>
      <w:r>
        <w:t xml:space="preserve"> Stan na 1.04.2022 r.</w:t>
      </w:r>
    </w:p>
  </w:footnote>
  <w:footnote w:id="24">
    <w:p w:rsidR="00C96A96" w:rsidRDefault="00C96A96" w:rsidP="00A02854">
      <w:pPr>
        <w:pStyle w:val="Tekstprzypisudolnego"/>
        <w:jc w:val="left"/>
      </w:pPr>
      <w:r>
        <w:rPr>
          <w:rStyle w:val="Odwoanieprzypisudolnego"/>
        </w:rPr>
        <w:footnoteRef/>
      </w:r>
      <w:r>
        <w:t xml:space="preserve"> Inwazja Rosji na Ukrainę rozpoczęła się 24 lutego 2022 r., analizie podlegała zmiana liczby ludności do 1.04.2022 r. </w:t>
      </w:r>
    </w:p>
  </w:footnote>
  <w:footnote w:id="25">
    <w:p w:rsidR="00C96A96" w:rsidRDefault="00C96A96" w:rsidP="00A02854">
      <w:pPr>
        <w:pStyle w:val="Tekstprzypisudolnego"/>
        <w:jc w:val="left"/>
      </w:pPr>
      <w:r>
        <w:rPr>
          <w:rStyle w:val="Odwoanieprzypisudolnego"/>
        </w:rPr>
        <w:footnoteRef/>
      </w:r>
      <w:r>
        <w:t xml:space="preserve"> Miejska gościnność: wielki wzrost, wyzwania i szanse. Raport o uchodźcach z Ukrainy w największych polskich miastach, 2022, Centrum analiz i badań, Unia Metropolii Polskich.</w:t>
      </w:r>
    </w:p>
  </w:footnote>
  <w:footnote w:id="26">
    <w:p w:rsidR="00C96A96" w:rsidRDefault="00C96A96" w:rsidP="00A02854">
      <w:pPr>
        <w:pStyle w:val="Tekstprzypisudolnego"/>
        <w:jc w:val="left"/>
      </w:pPr>
      <w:r w:rsidRPr="006D2B68">
        <w:rPr>
          <w:rStyle w:val="Znakiprzypiswdolnych"/>
          <w:vertAlign w:val="superscript"/>
        </w:rPr>
        <w:footnoteRef/>
      </w:r>
      <w:r>
        <w:t xml:space="preserve"> Osoby przebywające na danym obszarze w ciągu nocy.</w:t>
      </w:r>
    </w:p>
  </w:footnote>
  <w:footnote w:id="27">
    <w:p w:rsidR="00C96A96" w:rsidRDefault="00C96A96" w:rsidP="00A02854">
      <w:pPr>
        <w:pStyle w:val="Tekstprzypisudolnego"/>
        <w:jc w:val="left"/>
      </w:pPr>
      <w:r w:rsidRPr="006D2B68">
        <w:rPr>
          <w:rStyle w:val="Znakiprzypiswdolnych"/>
          <w:vertAlign w:val="superscript"/>
        </w:rPr>
        <w:footnoteRef/>
      </w:r>
      <w:r>
        <w:t xml:space="preserve"> Osoby przebywające na danym obszarze w ciągu dnia, do tej grupy zalicza się mieszkańców, turystów, osoby dojeżdżające do pracy, szkoły lub korzystające z rozmaitych usług.</w:t>
      </w:r>
    </w:p>
  </w:footnote>
  <w:footnote w:id="28">
    <w:p w:rsidR="00C96A96" w:rsidRPr="00A02854" w:rsidRDefault="00C96A96" w:rsidP="00A02854">
      <w:pPr>
        <w:pStyle w:val="Tekstprzypisudolnego"/>
        <w:jc w:val="left"/>
        <w:rPr>
          <w:color w:val="000000" w:themeColor="text1"/>
        </w:rPr>
      </w:pPr>
      <w:r w:rsidRPr="00A02854">
        <w:rPr>
          <w:rStyle w:val="Odwoanieprzypisudolnego"/>
          <w:color w:val="000000" w:themeColor="text1"/>
        </w:rPr>
        <w:footnoteRef/>
      </w:r>
      <w:r w:rsidRPr="00A02854">
        <w:rPr>
          <w:color w:val="000000" w:themeColor="text1"/>
        </w:rPr>
        <w:t xml:space="preserve"> Stan na 31.12.2021 r., dane BDL GUS [dostęp: 22.02.2023 r.]</w:t>
      </w:r>
    </w:p>
  </w:footnote>
  <w:footnote w:id="29">
    <w:p w:rsidR="00C96A96" w:rsidRDefault="00C96A96" w:rsidP="00A02854">
      <w:pPr>
        <w:pStyle w:val="Tekstprzypisudolnego"/>
        <w:jc w:val="left"/>
      </w:pPr>
      <w:r w:rsidRPr="00A02854">
        <w:rPr>
          <w:rStyle w:val="Odwoanieprzypisudolnego"/>
          <w:color w:val="000000" w:themeColor="text1"/>
        </w:rPr>
        <w:footnoteRef/>
      </w:r>
      <w:r>
        <w:t xml:space="preserve"> </w:t>
      </w:r>
      <w:r w:rsidRPr="00182AA0">
        <w:t>https://stat.gov.pl/statystyka-regionalna/jednostki-terytorialne/klasyfikacja-nuts/klasyfikacja-nuts-w-polsce/</w:t>
      </w:r>
      <w:r w:rsidRPr="00A02854">
        <w:rPr>
          <w:color w:val="000000" w:themeColor="text1"/>
        </w:rPr>
        <w:t xml:space="preserve"> [dostęp: październik 2022 r.]</w:t>
      </w:r>
    </w:p>
  </w:footnote>
  <w:footnote w:id="30">
    <w:p w:rsidR="00C96A96" w:rsidRDefault="00C96A96" w:rsidP="001E57CD">
      <w:pPr>
        <w:pStyle w:val="Tekstprzypisudolnego"/>
        <w:jc w:val="left"/>
      </w:pPr>
      <w:r>
        <w:rPr>
          <w:rStyle w:val="Odwoanieprzypisudolnego"/>
        </w:rPr>
        <w:footnoteRef/>
      </w:r>
      <w:r>
        <w:t xml:space="preserve"> Sekcja Polskiej Klasyfikacji Działalności - </w:t>
      </w:r>
      <w:r w:rsidRPr="00505DBC">
        <w:t>PKD ustala symbole, nazwy i zakres poszczególnych grupowań klasyfikacyjnych na pięciu różnych poziomach, tj. sekcji i podsekcji, działów, grup, klas i podklas.</w:t>
      </w:r>
      <w:r>
        <w:t xml:space="preserve"> </w:t>
      </w:r>
      <w:r w:rsidRPr="00505DBC">
        <w:t>Klasyfikacja ta jest umownie przyjętym, hierarchicznie usystematyzowanym podziałem zbioru rodzajów działalności społeczno-gospodarczej</w:t>
      </w:r>
    </w:p>
  </w:footnote>
  <w:footnote w:id="31">
    <w:p w:rsidR="00C96A96" w:rsidRPr="00A02854" w:rsidRDefault="00C96A96" w:rsidP="001F39DB">
      <w:pPr>
        <w:spacing w:after="0" w:line="240" w:lineRule="auto"/>
        <w:rPr>
          <w:rFonts w:cs="Calibri"/>
          <w:color w:val="000000" w:themeColor="text1"/>
        </w:rPr>
      </w:pPr>
      <w:r w:rsidRPr="00A02854">
        <w:rPr>
          <w:rStyle w:val="Odwoanieprzypisudolnego"/>
          <w:color w:val="000000" w:themeColor="text1"/>
        </w:rPr>
        <w:footnoteRef/>
      </w:r>
      <w:r w:rsidRPr="00A02854">
        <w:rPr>
          <w:color w:val="000000" w:themeColor="text1"/>
          <w:sz w:val="20"/>
          <w:szCs w:val="20"/>
        </w:rPr>
        <w:t> „Wrocławski sektor IT”</w:t>
      </w:r>
      <w:r>
        <w:rPr>
          <w:color w:val="000000" w:themeColor="text1"/>
          <w:sz w:val="20"/>
          <w:szCs w:val="20"/>
        </w:rPr>
        <w:t xml:space="preserve"> </w:t>
      </w:r>
      <w:r w:rsidRPr="00A02854">
        <w:rPr>
          <w:color w:val="000000" w:themeColor="text1"/>
          <w:sz w:val="20"/>
          <w:szCs w:val="20"/>
        </w:rPr>
        <w:t>z 2019 r.,</w:t>
      </w:r>
      <w:r>
        <w:rPr>
          <w:color w:val="000000" w:themeColor="text1"/>
          <w:sz w:val="20"/>
          <w:szCs w:val="20"/>
        </w:rPr>
        <w:t xml:space="preserve"> p</w:t>
      </w:r>
      <w:r w:rsidRPr="00A02854">
        <w:rPr>
          <w:color w:val="000000" w:themeColor="text1"/>
          <w:sz w:val="20"/>
          <w:szCs w:val="20"/>
        </w:rPr>
        <w:t xml:space="preserve">ublikacja przygotowana przez ARAW, Invest in Wrocław oraz Stowarzyszenie </w:t>
      </w:r>
      <w:proofErr w:type="spellStart"/>
      <w:r w:rsidRPr="00A02854">
        <w:rPr>
          <w:color w:val="000000" w:themeColor="text1"/>
          <w:sz w:val="20"/>
          <w:szCs w:val="20"/>
        </w:rPr>
        <w:t>ITCorner</w:t>
      </w:r>
      <w:proofErr w:type="spellEnd"/>
      <w:r w:rsidRPr="00A02854">
        <w:rPr>
          <w:color w:val="000000" w:themeColor="text1"/>
          <w:sz w:val="20"/>
          <w:szCs w:val="20"/>
        </w:rPr>
        <w:t xml:space="preserve">, we współpracy z Centrum Badawczo-Rozwojowym </w:t>
      </w:r>
      <w:proofErr w:type="spellStart"/>
      <w:r w:rsidRPr="00A02854">
        <w:rPr>
          <w:color w:val="000000" w:themeColor="text1"/>
          <w:sz w:val="20"/>
          <w:szCs w:val="20"/>
        </w:rPr>
        <w:t>Biostat</w:t>
      </w:r>
      <w:proofErr w:type="spellEnd"/>
      <w:r w:rsidRPr="00A02854">
        <w:rPr>
          <w:color w:val="000000" w:themeColor="text1"/>
          <w:sz w:val="20"/>
          <w:szCs w:val="20"/>
        </w:rPr>
        <w:t xml:space="preserve"> Sp. z o.o.</w:t>
      </w:r>
    </w:p>
  </w:footnote>
  <w:footnote w:id="32">
    <w:p w:rsidR="00C96A96" w:rsidRPr="00A02854" w:rsidRDefault="00C96A96" w:rsidP="001F39DB">
      <w:pPr>
        <w:pStyle w:val="Tekstprzypisudolnego"/>
        <w:jc w:val="left"/>
        <w:rPr>
          <w:color w:val="000000" w:themeColor="text1"/>
        </w:rPr>
      </w:pPr>
      <w:r w:rsidRPr="00A02854">
        <w:rPr>
          <w:rStyle w:val="Znakiprzypiswdolnych"/>
          <w:color w:val="000000" w:themeColor="text1"/>
          <w:vertAlign w:val="superscript"/>
        </w:rPr>
        <w:footnoteRef/>
      </w:r>
      <w:r w:rsidRPr="00A02854">
        <w:rPr>
          <w:color w:val="000000" w:themeColor="text1"/>
        </w:rPr>
        <w:t xml:space="preserve"> Według GUS Liczba pracujących wg faktycznego miejsca pracy. Dane dotyczą podmiotów gospodarki narodowej o liczbie pracujących 10 i więcej osób oraz jednostek sfery budżetowej niezależnie od liczby pracujących. Dane nie obejmują pracujących w jednostkach budżetowych działających w zakresie obrony narodowej i bezpieczeństwa publicznego, osób pracujących w gospodarstwach indywidualnych w rolnictwie, duchownych oraz pracujących w fundacjach, stowarzyszeniach i innych organizacjach społecznych.</w:t>
      </w:r>
    </w:p>
  </w:footnote>
  <w:footnote w:id="33">
    <w:p w:rsidR="00C96A96" w:rsidRDefault="00C96A96" w:rsidP="00F258FA">
      <w:pPr>
        <w:pStyle w:val="Tekstprzypisudolnego"/>
        <w:jc w:val="left"/>
      </w:pPr>
      <w:r w:rsidRPr="00A02854">
        <w:rPr>
          <w:rStyle w:val="Odwoanieprzypisudolnego"/>
          <w:color w:val="000000" w:themeColor="text1"/>
        </w:rPr>
        <w:footnoteRef/>
      </w:r>
      <w:r>
        <w:t xml:space="preserve"> </w:t>
      </w:r>
      <w:r w:rsidRPr="00182AA0">
        <w:t>https://stat.gov.pl/obszary-tematyczne/rynek-pracy/opracowania/przeplywy-ludnosci-zwiazane-z-zatrudnieniem-w-2016-r-,20,1.html</w:t>
      </w:r>
      <w:r w:rsidRPr="00A02854">
        <w:rPr>
          <w:color w:val="000000" w:themeColor="text1"/>
        </w:rPr>
        <w:t xml:space="preserve"> [Dostęp: 21.09.2022].</w:t>
      </w:r>
    </w:p>
  </w:footnote>
  <w:footnote w:id="34">
    <w:p w:rsidR="00C96A96" w:rsidRPr="00A02854" w:rsidRDefault="00C96A96" w:rsidP="00F258FA">
      <w:pPr>
        <w:pStyle w:val="Tekstprzypisudolnego"/>
        <w:jc w:val="left"/>
        <w:rPr>
          <w:color w:val="000000" w:themeColor="text1"/>
        </w:rPr>
      </w:pPr>
      <w:r w:rsidRPr="00A02854">
        <w:rPr>
          <w:rStyle w:val="Odwoanieprzypisudolnego"/>
          <w:color w:val="000000" w:themeColor="text1"/>
        </w:rPr>
        <w:footnoteRef/>
      </w:r>
      <w:r w:rsidRPr="00A02854">
        <w:rPr>
          <w:color w:val="000000" w:themeColor="text1"/>
        </w:rPr>
        <w:t xml:space="preserve"> Więcej o problemie </w:t>
      </w:r>
      <w:r w:rsidRPr="00182AA0">
        <w:t>https://www.money.pl/gospodarka/polacy-nie-szukaja-pracy-rekord-w-historii-badania-eksperci-winny-socjal-choc-nie-tylko-6560309430598528a.html</w:t>
      </w:r>
      <w:r w:rsidRPr="00A02854">
        <w:rPr>
          <w:color w:val="000000" w:themeColor="text1"/>
        </w:rPr>
        <w:t xml:space="preserve"> [dostęp: wrzesień 2022]</w:t>
      </w:r>
    </w:p>
  </w:footnote>
  <w:footnote w:id="35">
    <w:p w:rsidR="00C96A96" w:rsidRDefault="00C96A96" w:rsidP="00F258FA">
      <w:pPr>
        <w:pStyle w:val="Tekstprzypisudolnego"/>
        <w:jc w:val="left"/>
      </w:pPr>
      <w:r w:rsidRPr="00A02854">
        <w:rPr>
          <w:rStyle w:val="Odwoanieprzypisudolnego"/>
          <w:color w:val="000000" w:themeColor="text1"/>
        </w:rPr>
        <w:footnoteRef/>
      </w:r>
      <w:r w:rsidRPr="00A02854">
        <w:rPr>
          <w:color w:val="000000" w:themeColor="text1"/>
        </w:rPr>
        <w:t xml:space="preserve"> Wskazana wartość może być nieznacznie zawyżona ponieważ, obejmuje gminy powiatu wrocławskiego nienależące do WrOF</w:t>
      </w:r>
    </w:p>
  </w:footnote>
  <w:footnote w:id="36">
    <w:p w:rsidR="00C96A96" w:rsidRPr="00A02854" w:rsidRDefault="00C96A96" w:rsidP="00E366EA">
      <w:pPr>
        <w:pStyle w:val="Tekstprzypisudolnego"/>
        <w:rPr>
          <w:color w:val="000000" w:themeColor="text1"/>
        </w:rPr>
      </w:pPr>
      <w:r w:rsidRPr="00A02854">
        <w:rPr>
          <w:rStyle w:val="Odwoanieprzypisudolnego"/>
          <w:color w:val="000000" w:themeColor="text1"/>
        </w:rPr>
        <w:footnoteRef/>
      </w:r>
      <w:r w:rsidRPr="00A02854">
        <w:rPr>
          <w:color w:val="000000" w:themeColor="text1"/>
          <w:vertAlign w:val="superscript"/>
        </w:rPr>
        <w:t xml:space="preserve"> </w:t>
      </w:r>
      <w:r w:rsidRPr="00A02854">
        <w:rPr>
          <w:color w:val="000000" w:themeColor="text1"/>
        </w:rPr>
        <w:t>GIOŚ, Stan środowiska w województwie dolnośląskim raport 2020</w:t>
      </w:r>
    </w:p>
  </w:footnote>
  <w:footnote w:id="37">
    <w:p w:rsidR="00C96A96" w:rsidRPr="00A02854" w:rsidRDefault="00C96A96" w:rsidP="00E366EA">
      <w:pPr>
        <w:pStyle w:val="Tekstprzypisudolnego"/>
        <w:rPr>
          <w:color w:val="000000" w:themeColor="text1"/>
        </w:rPr>
      </w:pPr>
      <w:r w:rsidRPr="00A02854">
        <w:rPr>
          <w:rStyle w:val="Odwoanieprzypisudolnego"/>
          <w:color w:val="000000" w:themeColor="text1"/>
        </w:rPr>
        <w:footnoteRef/>
      </w:r>
      <w:r w:rsidRPr="00A02854">
        <w:rPr>
          <w:color w:val="000000" w:themeColor="text1"/>
        </w:rPr>
        <w:t xml:space="preserve"> GIOŚ, Ocena jakości wód podziemnych na terenie województwa dolnośląskiego w 2021 roku </w:t>
      </w:r>
    </w:p>
  </w:footnote>
  <w:footnote w:id="38">
    <w:p w:rsidR="00C96A96" w:rsidRDefault="00C96A96" w:rsidP="00E366EA">
      <w:pPr>
        <w:pStyle w:val="Tekstprzypisudolnego"/>
      </w:pPr>
      <w:r w:rsidRPr="00A02854">
        <w:rPr>
          <w:rStyle w:val="Odwoanieprzypisudolnego"/>
          <w:color w:val="000000" w:themeColor="text1"/>
        </w:rPr>
        <w:footnoteRef/>
      </w:r>
      <w:r w:rsidRPr="00A02854">
        <w:rPr>
          <w:color w:val="000000" w:themeColor="text1"/>
        </w:rPr>
        <w:t xml:space="preserve"> GIOŚ, Stan środowiska w województwie dolnośląskim raport 2020</w:t>
      </w:r>
    </w:p>
  </w:footnote>
  <w:footnote w:id="39">
    <w:p w:rsidR="00C96A96" w:rsidRPr="004E05EC" w:rsidRDefault="00C96A96" w:rsidP="00A02854">
      <w:pPr>
        <w:pStyle w:val="Tekstprzypisudolnego"/>
      </w:pPr>
      <w:r w:rsidRPr="004E05EC">
        <w:rPr>
          <w:rStyle w:val="Odwoanieprzypisudolnego"/>
        </w:rPr>
        <w:footnoteRef/>
      </w:r>
      <w:r w:rsidRPr="004E05EC">
        <w:t xml:space="preserve"> Wojewódzki Program Ochrony Środowiska Województwa Dolnośląskiego na lata 2022-2025 z perspektywą do roku 2029</w:t>
      </w:r>
    </w:p>
  </w:footnote>
  <w:footnote w:id="40">
    <w:p w:rsidR="00C96A96" w:rsidRDefault="00C96A96" w:rsidP="00A02854">
      <w:pPr>
        <w:pStyle w:val="Tekstprzypisudolnego"/>
        <w:jc w:val="left"/>
      </w:pPr>
      <w:r>
        <w:rPr>
          <w:rStyle w:val="Odwoanieprzypisudolnego"/>
        </w:rPr>
        <w:footnoteRef/>
      </w:r>
      <w:r>
        <w:t xml:space="preserve"> Roczna ocena jakości powietrza w województwie dolnośląskim. Raport wojewódzki za rok 2021</w:t>
      </w:r>
    </w:p>
  </w:footnote>
  <w:footnote w:id="41">
    <w:p w:rsidR="00C96A96" w:rsidRPr="00A63913" w:rsidRDefault="00C96A96" w:rsidP="00A02854">
      <w:pPr>
        <w:pStyle w:val="Tekstprzypisudolnego"/>
        <w:jc w:val="left"/>
        <w:rPr>
          <w:highlight w:val="yellow"/>
        </w:rPr>
      </w:pPr>
      <w:r w:rsidRPr="002570D8">
        <w:rPr>
          <w:rStyle w:val="Odwoanieprzypisudolnego"/>
        </w:rPr>
        <w:footnoteRef/>
      </w:r>
      <w:r w:rsidRPr="002570D8">
        <w:t xml:space="preserve"> Strategia Energetyczna Dolnego Śląska – kierunki wsparcia sektora energetycznego </w:t>
      </w:r>
    </w:p>
  </w:footnote>
  <w:footnote w:id="42">
    <w:p w:rsidR="00C96A96" w:rsidRDefault="00C96A96" w:rsidP="00A02854">
      <w:pPr>
        <w:pStyle w:val="Tekstprzypisudolnego"/>
        <w:jc w:val="left"/>
      </w:pPr>
      <w:r w:rsidRPr="002570D8">
        <w:rPr>
          <w:rStyle w:val="Odwoanieprzypisudolnego"/>
        </w:rPr>
        <w:footnoteRef/>
      </w:r>
      <w:r w:rsidRPr="002570D8">
        <w:t xml:space="preserve"> Strategia Energetyczna Dolnego Śląska – kierunki wsparcia sektora energetycznego</w:t>
      </w:r>
    </w:p>
  </w:footnote>
  <w:footnote w:id="43">
    <w:p w:rsidR="00C96A96" w:rsidRPr="00BE44BF" w:rsidRDefault="00C96A96" w:rsidP="000178B1">
      <w:pPr>
        <w:pStyle w:val="Tekstprzypisudolnego"/>
        <w:rPr>
          <w:iCs/>
        </w:rPr>
      </w:pPr>
      <w:r>
        <w:rPr>
          <w:rStyle w:val="Odwoanieprzypisudolnego"/>
        </w:rPr>
        <w:footnoteRef/>
      </w:r>
      <w:r>
        <w:rPr>
          <w:iCs/>
        </w:rPr>
        <w:t xml:space="preserve"> </w:t>
      </w:r>
      <w:r w:rsidRPr="00BE44BF">
        <w:rPr>
          <w:iCs/>
        </w:rPr>
        <w:t>Plan adaptacji Miasta Wrocławia do zmian klimatu do roku 2030</w:t>
      </w:r>
    </w:p>
  </w:footnote>
  <w:footnote w:id="44">
    <w:p w:rsidR="00C96A96" w:rsidRPr="00CD0574" w:rsidRDefault="00C96A96" w:rsidP="000178B1">
      <w:pPr>
        <w:pStyle w:val="Tekstprzypisudolnego"/>
      </w:pPr>
      <w:r w:rsidRPr="00CD0574">
        <w:rPr>
          <w:rStyle w:val="Odwoanieprzypisudolnego"/>
        </w:rPr>
        <w:footnoteRef/>
      </w:r>
      <w:r w:rsidRPr="00CD0574">
        <w:t xml:space="preserve"> Sendzimir.org.pl [</w:t>
      </w:r>
      <w:r>
        <w:t>Dostęp</w:t>
      </w:r>
      <w:r w:rsidRPr="00CD0574">
        <w:t>: 06.11.2022]</w:t>
      </w:r>
    </w:p>
  </w:footnote>
  <w:footnote w:id="45">
    <w:p w:rsidR="00C96A96" w:rsidRDefault="00C96A96" w:rsidP="007838A0">
      <w:pPr>
        <w:pStyle w:val="Tekstprzypisudolnego"/>
      </w:pPr>
      <w:r w:rsidRPr="00BE44BF">
        <w:rPr>
          <w:rStyle w:val="Odwoanieprzypisudolnego"/>
          <w:iCs/>
        </w:rPr>
        <w:footnoteRef/>
      </w:r>
      <w:r w:rsidRPr="00BE44BF">
        <w:rPr>
          <w:iCs/>
        </w:rPr>
        <w:t xml:space="preserve"> wroclaw.lasy.gov.pl [</w:t>
      </w:r>
      <w:r>
        <w:rPr>
          <w:iCs/>
        </w:rPr>
        <w:t>Dostęp</w:t>
      </w:r>
      <w:r w:rsidRPr="00BE44BF">
        <w:rPr>
          <w:iCs/>
        </w:rPr>
        <w:t xml:space="preserve">: </w:t>
      </w:r>
      <w:r>
        <w:rPr>
          <w:iCs/>
        </w:rPr>
        <w:t>06.11</w:t>
      </w:r>
      <w:r w:rsidRPr="00BE44BF">
        <w:rPr>
          <w:iCs/>
        </w:rPr>
        <w:t>.2022]</w:t>
      </w:r>
    </w:p>
  </w:footnote>
  <w:footnote w:id="46">
    <w:p w:rsidR="00C96A96" w:rsidRPr="00025965" w:rsidRDefault="00C96A96" w:rsidP="00BB1E72">
      <w:pPr>
        <w:pStyle w:val="Tekstprzypisudolnego"/>
        <w:rPr>
          <w:color w:val="000000"/>
        </w:rPr>
      </w:pPr>
      <w:r>
        <w:rPr>
          <w:rStyle w:val="Odwoanieprzypisudolnego"/>
        </w:rPr>
        <w:footnoteRef/>
      </w:r>
      <w:r>
        <w:t xml:space="preserve"> funduszeeuropejskie.gov.pl </w:t>
      </w:r>
      <w:r w:rsidRPr="00BE160E">
        <w:rPr>
          <w:color w:val="000000"/>
        </w:rPr>
        <w:t>[</w:t>
      </w:r>
      <w:r>
        <w:rPr>
          <w:color w:val="000000"/>
        </w:rPr>
        <w:t>Dostęp: 06.11.2022]</w:t>
      </w:r>
    </w:p>
  </w:footnote>
  <w:footnote w:id="47">
    <w:p w:rsidR="00C96A96" w:rsidRDefault="00C96A96" w:rsidP="00BB1E72">
      <w:pPr>
        <w:pStyle w:val="Tekstprzypisudolnego"/>
      </w:pPr>
      <w:r w:rsidRPr="002570D8">
        <w:rPr>
          <w:rStyle w:val="Odwoanieprzypisudolnego"/>
        </w:rPr>
        <w:footnoteRef/>
      </w:r>
      <w:r w:rsidRPr="002570D8">
        <w:t xml:space="preserve"> https://www.wroclaw.pl/zielony-wroclaw/zlap-deszcz-2022-wnioski-doplaty [Dostęp: 29.11.2022]</w:t>
      </w:r>
    </w:p>
  </w:footnote>
  <w:footnote w:id="48">
    <w:p w:rsidR="00C96A96" w:rsidRPr="002570D8" w:rsidRDefault="00C96A96" w:rsidP="00BB1E72">
      <w:pPr>
        <w:pStyle w:val="Tekstprzypisudolnego"/>
      </w:pPr>
      <w:r w:rsidRPr="002570D8">
        <w:rPr>
          <w:rStyle w:val="Odwoanieprzypisudolnego"/>
        </w:rPr>
        <w:footnoteRef/>
      </w:r>
      <w:r w:rsidRPr="002570D8">
        <w:t xml:space="preserve"> klimada2.ios.gov.pl [Dostęp: 30.11.2022]</w:t>
      </w:r>
    </w:p>
  </w:footnote>
  <w:footnote w:id="49">
    <w:p w:rsidR="00C96A96" w:rsidRDefault="00C96A96" w:rsidP="00BB1E72">
      <w:pPr>
        <w:pStyle w:val="Tekstprzypisudolnego"/>
      </w:pPr>
      <w:r w:rsidRPr="002570D8">
        <w:rPr>
          <w:rStyle w:val="Odwoanieprzypisudolnego"/>
        </w:rPr>
        <w:footnoteRef/>
      </w:r>
      <w:r w:rsidRPr="002570D8">
        <w:t xml:space="preserve"> wroclaw.pl/</w:t>
      </w:r>
      <w:proofErr w:type="spellStart"/>
      <w:r w:rsidRPr="002570D8">
        <w:t>growgreen</w:t>
      </w:r>
      <w:proofErr w:type="spellEnd"/>
      <w:r w:rsidRPr="002570D8">
        <w:t>/zielona-ulica [Dostęp: 30.11.2022]</w:t>
      </w:r>
    </w:p>
  </w:footnote>
  <w:footnote w:id="50">
    <w:p w:rsidR="00C96A96" w:rsidRPr="00C3439A" w:rsidRDefault="00C96A96" w:rsidP="00A02854">
      <w:pPr>
        <w:pStyle w:val="Tekstprzypisudolnego"/>
        <w:jc w:val="left"/>
      </w:pPr>
      <w:r>
        <w:rPr>
          <w:rStyle w:val="Odwoanieprzypisudolnego"/>
        </w:rPr>
        <w:footnoteRef/>
      </w:r>
      <w:r w:rsidRPr="00C3439A">
        <w:t xml:space="preserve"> https://www.wroclaw.pl/zielony-wroclaw/pola-irygacyjne-osobowice-rezerwatem-zielone-pluca-wroclawia [</w:t>
      </w:r>
      <w:r w:rsidRPr="000B35CF">
        <w:rPr>
          <w:iCs/>
        </w:rPr>
        <w:t>Dostęp</w:t>
      </w:r>
      <w:r>
        <w:t>: 30.11.2022]</w:t>
      </w:r>
    </w:p>
  </w:footnote>
  <w:footnote w:id="51">
    <w:p w:rsidR="00C96A96" w:rsidRDefault="00C96A96" w:rsidP="00A02854">
      <w:pPr>
        <w:pStyle w:val="Tekstprzypisudolnego"/>
        <w:jc w:val="left"/>
      </w:pPr>
      <w:r>
        <w:rPr>
          <w:rStyle w:val="Odwoanieprzypisudolnego"/>
        </w:rPr>
        <w:footnoteRef/>
      </w:r>
      <w:r>
        <w:t xml:space="preserve"> </w:t>
      </w:r>
      <w:r w:rsidRPr="008175C9">
        <w:t>CRFOP [</w:t>
      </w:r>
      <w:r w:rsidRPr="000B35CF">
        <w:rPr>
          <w:iCs/>
        </w:rPr>
        <w:t>Dostęp</w:t>
      </w:r>
      <w:r w:rsidRPr="008175C9">
        <w:t xml:space="preserve">: </w:t>
      </w:r>
      <w:r>
        <w:t>08.11</w:t>
      </w:r>
      <w:r w:rsidRPr="008175C9">
        <w:t>.2022]</w:t>
      </w:r>
    </w:p>
  </w:footnote>
  <w:footnote w:id="52">
    <w:p w:rsidR="00C96A96" w:rsidRDefault="00C96A96" w:rsidP="00A02854">
      <w:pPr>
        <w:pStyle w:val="Tekstprzypisudolnego"/>
        <w:jc w:val="left"/>
      </w:pPr>
      <w:r>
        <w:rPr>
          <w:rStyle w:val="Odwoanieprzypisudolnego"/>
        </w:rPr>
        <w:footnoteRef/>
      </w:r>
      <w:r>
        <w:t xml:space="preserve"> Z powodu nieaktualnych danych w CRFOP, w przypadku Wrocławia dane uzyskano z BDL GUS [Stan na: 31.12.2022]</w:t>
      </w:r>
    </w:p>
  </w:footnote>
  <w:footnote w:id="53">
    <w:p w:rsidR="00C96A96" w:rsidRDefault="00C96A96" w:rsidP="00F258FA">
      <w:pPr>
        <w:pStyle w:val="Tekstprzypisudolnego"/>
        <w:jc w:val="left"/>
      </w:pPr>
      <w:r w:rsidRPr="00FB09BF">
        <w:rPr>
          <w:rStyle w:val="Odwoanieprzypisudolnego"/>
          <w:color w:val="000000" w:themeColor="text1"/>
        </w:rPr>
        <w:footnoteRef/>
      </w:r>
      <w:r>
        <w:t xml:space="preserve"> </w:t>
      </w:r>
      <w:r w:rsidRPr="00182AA0">
        <w:t>https://stat.gov.pl/metainformacje/slownik-pojec/pojecia-stosowane-w-statystyce publicznej/3198,pojecie.html</w:t>
      </w:r>
      <w:r w:rsidRPr="00FB09BF">
        <w:rPr>
          <w:color w:val="000000" w:themeColor="text1"/>
        </w:rPr>
        <w:t xml:space="preserve"> [Dostęp: 3.11.2022]</w:t>
      </w:r>
    </w:p>
  </w:footnote>
  <w:footnote w:id="54">
    <w:p w:rsidR="00C96A96" w:rsidRDefault="00C96A96" w:rsidP="003A0777">
      <w:pPr>
        <w:pStyle w:val="Tekstprzypisudolnego"/>
      </w:pPr>
      <w:r w:rsidRPr="007E13E9">
        <w:rPr>
          <w:rStyle w:val="Odwoanieprzypisudolnego"/>
        </w:rPr>
        <w:footnoteRef/>
      </w:r>
      <w:r>
        <w:rPr>
          <w:u w:val="single"/>
        </w:rPr>
        <w:t xml:space="preserve"> </w:t>
      </w:r>
      <w:r w:rsidRPr="00223971">
        <w:rPr>
          <w:u w:val="single"/>
        </w:rPr>
        <w:t>miekinia.wroclaw.lasy.gov.pl</w:t>
      </w:r>
      <w:r w:rsidRPr="007E13E9">
        <w:t xml:space="preserve"> [Dostęp: 02.12.2022]</w:t>
      </w:r>
    </w:p>
  </w:footnote>
  <w:footnote w:id="55">
    <w:p w:rsidR="00C96A96" w:rsidRPr="0043120F" w:rsidRDefault="00C96A96" w:rsidP="00A02854">
      <w:pPr>
        <w:pStyle w:val="Tekstprzypisudolnego"/>
        <w:jc w:val="left"/>
      </w:pPr>
      <w:r w:rsidRPr="0043120F">
        <w:rPr>
          <w:rStyle w:val="Odwoanieprzypisudolnego"/>
        </w:rPr>
        <w:footnoteRef/>
      </w:r>
      <w:r w:rsidRPr="0043120F">
        <w:t xml:space="preserve"> Podczas tworzenia kartogramów wykorzystano najbardziej aktualne dane pochodzące z roku 2020 (brak danych za rok 2021).</w:t>
      </w:r>
    </w:p>
  </w:footnote>
  <w:footnote w:id="56">
    <w:p w:rsidR="00C96A96" w:rsidRPr="0043120F" w:rsidRDefault="00C96A96" w:rsidP="00A02854">
      <w:pPr>
        <w:pStyle w:val="Tekstprzypisudolnego"/>
        <w:jc w:val="left"/>
      </w:pPr>
      <w:r w:rsidRPr="0043120F">
        <w:rPr>
          <w:rStyle w:val="Odwoanieprzypisudolnego"/>
        </w:rPr>
        <w:footnoteRef/>
      </w:r>
      <w:r>
        <w:t xml:space="preserve"> </w:t>
      </w:r>
      <w:r w:rsidRPr="00D8197F">
        <w:t>Dla gminy wiejskiej Oława jest to wartość odnosząca się do sieci wodociągowej będącej we władaniu Gminy. Jeśliby wziąć też pod uwagę odcinki sieci wodociągowej gospodarowane przez ZDHIR w Oleśnicy Małej oraz sieć w Marszowicach zarządzaną przez gminę Domaniów, to poziom zwodociągowania gminy Oława wynosi praktycznie 100%.</w:t>
      </w:r>
    </w:p>
  </w:footnote>
  <w:footnote w:id="57">
    <w:p w:rsidR="00C96A96" w:rsidRDefault="00C96A96" w:rsidP="00A02854">
      <w:pPr>
        <w:pStyle w:val="Tekstprzypisudolnego"/>
        <w:jc w:val="left"/>
      </w:pPr>
      <w:r w:rsidRPr="00FE3CEA">
        <w:rPr>
          <w:rStyle w:val="Odwoanieprzypisudolnego"/>
          <w:i/>
          <w:iCs/>
        </w:rPr>
        <w:footnoteRef/>
      </w:r>
      <w:r>
        <w:t xml:space="preserve"> </w:t>
      </w:r>
      <w:r w:rsidRPr="00B16AC9">
        <w:t>Podczas tworzenia kartogramów wykorzystano najbardziej aktualne dane pochodzące z roku 2020 (brak danych za rok 2021).</w:t>
      </w:r>
    </w:p>
  </w:footnote>
  <w:footnote w:id="58">
    <w:p w:rsidR="00C96A96" w:rsidRDefault="00C96A96" w:rsidP="00D755F3">
      <w:pPr>
        <w:pStyle w:val="Tekstprzypisudolnego"/>
      </w:pPr>
      <w:r>
        <w:rPr>
          <w:rStyle w:val="Odwoanieprzypisudolnego"/>
        </w:rPr>
        <w:footnoteRef/>
      </w:r>
      <w:r>
        <w:t xml:space="preserve"> </w:t>
      </w:r>
      <w:r w:rsidRPr="00B16AC9">
        <w:t>GUS [</w:t>
      </w:r>
      <w:r w:rsidRPr="000B35CF">
        <w:rPr>
          <w:iCs/>
        </w:rPr>
        <w:t>Dostęp</w:t>
      </w:r>
      <w:r>
        <w:rPr>
          <w:iCs/>
        </w:rPr>
        <w:t>:</w:t>
      </w:r>
      <w:r w:rsidRPr="00B16AC9">
        <w:t xml:space="preserve"> 09.11.2022]</w:t>
      </w:r>
    </w:p>
  </w:footnote>
  <w:footnote w:id="59">
    <w:p w:rsidR="00C96A96" w:rsidRPr="00B16AC9" w:rsidRDefault="00C96A96" w:rsidP="000178B1">
      <w:pPr>
        <w:pStyle w:val="Tekstprzypisudolnego"/>
      </w:pPr>
      <w:r w:rsidRPr="00637C31">
        <w:rPr>
          <w:rStyle w:val="Odwoanieprzypisudolnego"/>
        </w:rPr>
        <w:footnoteRef/>
      </w:r>
      <w:r>
        <w:t xml:space="preserve"> </w:t>
      </w:r>
      <w:r w:rsidRPr="00B16AC9">
        <w:t>Równoważna Liczba Mieszkańców</w:t>
      </w:r>
    </w:p>
  </w:footnote>
  <w:footnote w:id="60">
    <w:p w:rsidR="00C96A96" w:rsidRDefault="00C96A96" w:rsidP="000178B1">
      <w:pPr>
        <w:pStyle w:val="Tekstprzypisudolnego"/>
      </w:pPr>
      <w:r w:rsidRPr="00B16AC9">
        <w:rPr>
          <w:rStyle w:val="Odwoanieprzypisudolnego"/>
        </w:rPr>
        <w:footnoteRef/>
      </w:r>
      <w:r>
        <w:rPr>
          <w:rFonts w:cs="Calibri"/>
        </w:rPr>
        <w:t xml:space="preserve"> </w:t>
      </w:r>
      <w:r w:rsidRPr="00B16AC9">
        <w:rPr>
          <w:rFonts w:cs="Calibri"/>
        </w:rPr>
        <w:t>PGW WP – Sprawozdanie z realizacji KPOŚK za rok 2020</w:t>
      </w:r>
    </w:p>
  </w:footnote>
  <w:footnote w:id="61">
    <w:p w:rsidR="00C96A96" w:rsidRDefault="00C96A96" w:rsidP="000178B1">
      <w:pPr>
        <w:pStyle w:val="Tekstprzypisudolnego"/>
      </w:pPr>
      <w:r>
        <w:rPr>
          <w:rStyle w:val="Odwoanieprzypisudolnego"/>
        </w:rPr>
        <w:footnoteRef/>
      </w:r>
      <w:r>
        <w:t xml:space="preserve"> Za: </w:t>
      </w:r>
      <w:r w:rsidRPr="00560DDB">
        <w:t>VI AKPOŚK Załącznik nr 3</w:t>
      </w:r>
      <w:r>
        <w:t xml:space="preserve"> [Dostęp: 27.12.2022]</w:t>
      </w:r>
    </w:p>
  </w:footnote>
  <w:footnote w:id="62">
    <w:p w:rsidR="00C96A96" w:rsidRDefault="00C96A96" w:rsidP="00B34B71">
      <w:pPr>
        <w:pStyle w:val="Tekstprzypisudolnego"/>
      </w:pPr>
      <w:r>
        <w:rPr>
          <w:rStyle w:val="Odwoanieprzypisudolnego"/>
        </w:rPr>
        <w:footnoteRef/>
      </w:r>
      <w:r>
        <w:t xml:space="preserve"> </w:t>
      </w:r>
      <w:r w:rsidRPr="007E2F09">
        <w:t>VI AKPOŚK Załącznik nr 3</w:t>
      </w:r>
    </w:p>
  </w:footnote>
  <w:footnote w:id="63">
    <w:p w:rsidR="00C96A96" w:rsidRPr="00E7593A" w:rsidRDefault="00C96A96" w:rsidP="000178B1">
      <w:pPr>
        <w:pStyle w:val="Tekstprzypisudolnego"/>
      </w:pPr>
      <w:r w:rsidRPr="00E7593A">
        <w:rPr>
          <w:rStyle w:val="Odwoanieprzypisudolnego"/>
        </w:rPr>
        <w:footnoteRef/>
      </w:r>
      <w:r w:rsidRPr="00E7593A">
        <w:t xml:space="preserve"> www.kogeneracja.com.pl/pl/o-grupie/o-spolce/ [</w:t>
      </w:r>
      <w:r w:rsidRPr="000B35CF">
        <w:rPr>
          <w:iCs/>
        </w:rPr>
        <w:t>Dostęp</w:t>
      </w:r>
      <w:r w:rsidRPr="00E7593A">
        <w:t xml:space="preserve">: </w:t>
      </w:r>
      <w:r>
        <w:t>30</w:t>
      </w:r>
      <w:r w:rsidRPr="00E7593A">
        <w:t>.09.2022]</w:t>
      </w:r>
    </w:p>
  </w:footnote>
  <w:footnote w:id="64">
    <w:p w:rsidR="00C96A96" w:rsidRPr="00E7593A" w:rsidRDefault="00C96A96" w:rsidP="000530A7">
      <w:pPr>
        <w:pStyle w:val="Tekstprzypisudolnego"/>
        <w:jc w:val="left"/>
      </w:pPr>
      <w:r w:rsidRPr="00E7593A">
        <w:rPr>
          <w:rStyle w:val="Odwoanieprzypisudolnego"/>
        </w:rPr>
        <w:footnoteRef/>
      </w:r>
      <w:r w:rsidRPr="00E7593A">
        <w:t xml:space="preserve"> api.ure.gov.pl [</w:t>
      </w:r>
      <w:r w:rsidRPr="000B35CF">
        <w:rPr>
          <w:iCs/>
        </w:rPr>
        <w:t>Dostęp</w:t>
      </w:r>
      <w:r w:rsidRPr="00E7593A">
        <w:t xml:space="preserve">: </w:t>
      </w:r>
      <w:r>
        <w:t>08.11</w:t>
      </w:r>
      <w:r w:rsidRPr="00E7593A">
        <w:t>.2022]</w:t>
      </w:r>
    </w:p>
  </w:footnote>
  <w:footnote w:id="65">
    <w:p w:rsidR="00C96A96" w:rsidRPr="00C04F9E" w:rsidRDefault="00C96A96" w:rsidP="00223971">
      <w:pPr>
        <w:pStyle w:val="Tekstprzypisudolnego"/>
        <w:jc w:val="left"/>
        <w:rPr>
          <w:i/>
          <w:iCs/>
        </w:rPr>
      </w:pPr>
      <w:r w:rsidRPr="00E7593A">
        <w:rPr>
          <w:rStyle w:val="Odwoanieprzypisudolnego"/>
        </w:rPr>
        <w:footnoteRef/>
      </w:r>
      <w:r w:rsidRPr="00E7593A">
        <w:t xml:space="preserve"> GUS</w:t>
      </w:r>
      <w:r>
        <w:t xml:space="preserve"> [Stan na: 31.12.2021]</w:t>
      </w:r>
    </w:p>
  </w:footnote>
  <w:footnote w:id="66">
    <w:p w:rsidR="00C96A96" w:rsidRDefault="00C96A96" w:rsidP="00223971">
      <w:pPr>
        <w:pStyle w:val="Tekstprzypisudolnego"/>
        <w:jc w:val="left"/>
      </w:pPr>
      <w:r w:rsidRPr="00E7593A">
        <w:rPr>
          <w:rStyle w:val="Odwoanieprzypisudolnego"/>
        </w:rPr>
        <w:footnoteRef/>
      </w:r>
      <w:r w:rsidRPr="00E7593A">
        <w:t xml:space="preserve"> „Założenia do planu zaopatrzenia w ciepło, energię elektryczną i paliwa gazowe dla obszaru Gminy Wrocław” na lata 2020÷2035</w:t>
      </w:r>
    </w:p>
  </w:footnote>
  <w:footnote w:id="67">
    <w:p w:rsidR="00C96A96" w:rsidRPr="006D1C27" w:rsidRDefault="00C96A96" w:rsidP="00223971">
      <w:pPr>
        <w:pStyle w:val="Tekstprzypisudolnego"/>
        <w:jc w:val="left"/>
        <w:rPr>
          <w:i/>
          <w:iCs/>
        </w:rPr>
      </w:pPr>
      <w:r w:rsidRPr="006174E4">
        <w:rPr>
          <w:rStyle w:val="Odwoanieprzypisudolnego"/>
          <w:iCs/>
        </w:rPr>
        <w:footnoteRef/>
      </w:r>
      <w:r w:rsidRPr="006174E4">
        <w:t xml:space="preserve"> </w:t>
      </w:r>
      <w:r w:rsidRPr="00E7593A">
        <w:t>Raport Krajowy, Prezes Urzędu Regulacji Energetyki, 2021</w:t>
      </w:r>
    </w:p>
  </w:footnote>
  <w:footnote w:id="68">
    <w:p w:rsidR="00C96A96" w:rsidRDefault="00C96A96" w:rsidP="000530A7">
      <w:pPr>
        <w:pStyle w:val="Tekstprzypisudolnego"/>
        <w:jc w:val="left"/>
      </w:pPr>
      <w:r w:rsidRPr="00E8614C">
        <w:rPr>
          <w:rStyle w:val="Odwoanieprzypisudolnego"/>
        </w:rPr>
        <w:footnoteRef/>
      </w:r>
      <w:r w:rsidRPr="00E8614C">
        <w:t xml:space="preserve"> Zgodnie z Dyrektywą Parlamentu Europejskiego i Rady 2009/28/WE rozwój OZE ma duże znaczenie m.in. dla zwiększenia bezpieczeństwa dostaw energii</w:t>
      </w:r>
    </w:p>
  </w:footnote>
  <w:footnote w:id="69">
    <w:p w:rsidR="00C96A96" w:rsidRDefault="00C96A96" w:rsidP="00A02854">
      <w:pPr>
        <w:pStyle w:val="Tekstprzypisudolnego"/>
        <w:jc w:val="left"/>
      </w:pPr>
      <w:r>
        <w:rPr>
          <w:rStyle w:val="Odwoanieprzypisudolnego"/>
        </w:rPr>
        <w:footnoteRef/>
      </w:r>
      <w:r>
        <w:t xml:space="preserve"> Ustawa o odnawialnych źródłach energii </w:t>
      </w:r>
      <w:r w:rsidRPr="00B37B66">
        <w:t xml:space="preserve">art.  2  pkt  3  </w:t>
      </w:r>
    </w:p>
  </w:footnote>
  <w:footnote w:id="70">
    <w:p w:rsidR="00C96A96" w:rsidRPr="00E7593A" w:rsidRDefault="00C96A96" w:rsidP="00A02854">
      <w:pPr>
        <w:pStyle w:val="Tekstprzypisudolnego"/>
        <w:jc w:val="left"/>
      </w:pPr>
      <w:r w:rsidRPr="00E7593A">
        <w:rPr>
          <w:rStyle w:val="Odwoanieprzypisudolnego"/>
        </w:rPr>
        <w:footnoteRef/>
      </w:r>
      <w:r w:rsidRPr="00E7593A">
        <w:t xml:space="preserve"> Projekt Założeń do Planu Zaopatrzenia w Ciepło, Energię Elektryczną i Paliwa Gazowe dla Gminy Żórawina na lata 2017-2031</w:t>
      </w:r>
    </w:p>
  </w:footnote>
  <w:footnote w:id="71">
    <w:p w:rsidR="00C96A96" w:rsidRPr="00E7593A" w:rsidRDefault="00C96A96" w:rsidP="00A02854">
      <w:pPr>
        <w:pStyle w:val="Tekstprzypisudolnego"/>
        <w:jc w:val="left"/>
      </w:pPr>
      <w:r w:rsidRPr="00E7593A">
        <w:rPr>
          <w:rStyle w:val="Odwoanieprzypisudolnego"/>
        </w:rPr>
        <w:footnoteRef/>
      </w:r>
      <w:r w:rsidRPr="00E7593A">
        <w:t xml:space="preserve"> (Projekt) Założeń do Planu Zaopatrzenia w Ciepło, Energię Elektryczną i Paliwa Gazowe dla Gminy Kobierzyce na lata 2022 - 2036</w:t>
      </w:r>
    </w:p>
  </w:footnote>
  <w:footnote w:id="72">
    <w:p w:rsidR="00C96A96" w:rsidRPr="00E7593A" w:rsidRDefault="00C96A96" w:rsidP="00A02854">
      <w:pPr>
        <w:pStyle w:val="Tekstprzypisudolnego"/>
        <w:jc w:val="left"/>
      </w:pPr>
      <w:r w:rsidRPr="00E7593A">
        <w:rPr>
          <w:rStyle w:val="Odwoanieprzypisudolnego"/>
        </w:rPr>
        <w:footnoteRef/>
      </w:r>
      <w:r>
        <w:t xml:space="preserve"> (</w:t>
      </w:r>
      <w:r w:rsidRPr="00E7593A">
        <w:t>Projekt) Założeń do Planu Zaopatrzenia w Ciepło, Energię Elektryczną i Paliwa Gazowe dla Gminy Kobierzyce na lata 2022 - 2036</w:t>
      </w:r>
    </w:p>
  </w:footnote>
  <w:footnote w:id="73">
    <w:p w:rsidR="00C96A96" w:rsidRPr="006D1C27" w:rsidRDefault="00C96A96" w:rsidP="00A02854">
      <w:pPr>
        <w:pStyle w:val="Tekstprzypisudolnego"/>
        <w:jc w:val="left"/>
        <w:rPr>
          <w:i/>
          <w:iCs/>
          <w:sz w:val="18"/>
          <w:szCs w:val="18"/>
        </w:rPr>
      </w:pPr>
      <w:r w:rsidRPr="00E7593A">
        <w:rPr>
          <w:rStyle w:val="Odwoanieprzypisudolnego"/>
        </w:rPr>
        <w:footnoteRef/>
      </w:r>
      <w:r w:rsidRPr="00E7593A">
        <w:t xml:space="preserve"> Program ochrony środowiska dla miasta Wrocławia na lata 2021-2025 z perspektywą do roku 2030</w:t>
      </w:r>
    </w:p>
  </w:footnote>
  <w:footnote w:id="74">
    <w:p w:rsidR="00C96A96" w:rsidRDefault="00C96A96" w:rsidP="00A02854">
      <w:pPr>
        <w:pStyle w:val="Tekstprzypisudolnego"/>
        <w:jc w:val="left"/>
      </w:pPr>
      <w:r>
        <w:rPr>
          <w:rStyle w:val="Odwoanieprzypisudolnego"/>
        </w:rPr>
        <w:footnoteRef/>
      </w:r>
      <w:r>
        <w:t xml:space="preserve"> </w:t>
      </w:r>
      <w:r w:rsidRPr="00AF5A2E">
        <w:t>https://psme.org.pl/events/warsztaty-klastry-energii-i-magazyny-energii-srodkiem-zaradczym-na-wysokie-ceny-energii-dla-przedsiebiorcow-samorzadow-i-mieszkancow/</w:t>
      </w:r>
      <w:r>
        <w:t xml:space="preserve"> [</w:t>
      </w:r>
      <w:r w:rsidRPr="000B35CF">
        <w:rPr>
          <w:iCs/>
        </w:rPr>
        <w:t>Dostęp</w:t>
      </w:r>
      <w:r>
        <w:rPr>
          <w:iCs/>
        </w:rPr>
        <w:t>: 29.11.2022]</w:t>
      </w:r>
    </w:p>
  </w:footnote>
  <w:footnote w:id="75">
    <w:p w:rsidR="00C96A96" w:rsidRPr="006174E4" w:rsidRDefault="00C96A96" w:rsidP="00F258FA">
      <w:pPr>
        <w:pStyle w:val="Tekstprzypisudolnego"/>
        <w:jc w:val="left"/>
      </w:pPr>
      <w:r w:rsidRPr="006174E4">
        <w:rPr>
          <w:rStyle w:val="Odwoanieprzypisudolnego"/>
          <w:iCs/>
        </w:rPr>
        <w:footnoteRef/>
      </w:r>
      <w:r w:rsidRPr="006174E4">
        <w:t xml:space="preserve"> Strategia energetyczna Dolnego Śląska – kierunki wsparcia sektora energetycznego</w:t>
      </w:r>
    </w:p>
  </w:footnote>
  <w:footnote w:id="76">
    <w:p w:rsidR="00C96A96" w:rsidRPr="006174E4" w:rsidRDefault="00C96A96" w:rsidP="00A02854">
      <w:pPr>
        <w:pStyle w:val="Tekstprzypisudolnego"/>
        <w:jc w:val="left"/>
        <w:rPr>
          <w:iCs/>
        </w:rPr>
      </w:pPr>
      <w:r w:rsidRPr="006174E4">
        <w:rPr>
          <w:rStyle w:val="Odwoanieprzypisudolnego"/>
          <w:iCs/>
        </w:rPr>
        <w:footnoteRef/>
      </w:r>
      <w:r w:rsidRPr="006174E4">
        <w:t xml:space="preserve"> Program ochrony środowiska dla miasta Wrocławia na lata 2021-2025 z perspektywą do roku 2030</w:t>
      </w:r>
    </w:p>
  </w:footnote>
  <w:footnote w:id="77">
    <w:p w:rsidR="00C96A96" w:rsidRPr="006174E4" w:rsidRDefault="00C96A96" w:rsidP="00A02854">
      <w:pPr>
        <w:pStyle w:val="Tekstprzypisudolnego"/>
        <w:jc w:val="left"/>
      </w:pPr>
      <w:r w:rsidRPr="006174E4">
        <w:rPr>
          <w:rStyle w:val="Odwoanieprzypisudolnego"/>
        </w:rPr>
        <w:footnoteRef/>
      </w:r>
      <w:r w:rsidRPr="006174E4">
        <w:t xml:space="preserve"> Potencjał Polski południowo-zachodniej w zakresie produkcji energii ze źródeł odnawialnych – artykuł przeglądowy</w:t>
      </w:r>
    </w:p>
  </w:footnote>
  <w:footnote w:id="78">
    <w:p w:rsidR="00C96A96" w:rsidRPr="006174E4" w:rsidRDefault="00C96A96" w:rsidP="00A02854">
      <w:pPr>
        <w:pStyle w:val="Tekstprzypisudolnego"/>
        <w:jc w:val="left"/>
      </w:pPr>
      <w:r w:rsidRPr="006174E4">
        <w:rPr>
          <w:rStyle w:val="Odwoanieprzypisudolnego"/>
        </w:rPr>
        <w:footnoteRef/>
      </w:r>
      <w:r w:rsidRPr="006174E4">
        <w:t xml:space="preserve"> Program ochrony środowiska dla miasta Wrocławia na lata 2021-2025 z perspektywą do roku 2030</w:t>
      </w:r>
    </w:p>
  </w:footnote>
  <w:footnote w:id="79">
    <w:p w:rsidR="00C96A96" w:rsidRPr="00EA2F14" w:rsidRDefault="00C96A96" w:rsidP="00A02854">
      <w:pPr>
        <w:pStyle w:val="Tekstprzypisudolnego"/>
        <w:jc w:val="left"/>
      </w:pPr>
      <w:r w:rsidRPr="006174E4">
        <w:rPr>
          <w:rStyle w:val="Odwoanieprzypisudolnego"/>
        </w:rPr>
        <w:footnoteRef/>
      </w:r>
      <w:r w:rsidRPr="006174E4">
        <w:t xml:space="preserve"> Założenia do planu zaopatrzenia w ciepło, energię elektryczną i paliwa gazowe dla miasta Oława na lata 2019-2034</w:t>
      </w:r>
    </w:p>
  </w:footnote>
  <w:footnote w:id="80">
    <w:p w:rsidR="00C96A96" w:rsidRPr="003B579C" w:rsidRDefault="00C96A96" w:rsidP="000530A7">
      <w:pPr>
        <w:pStyle w:val="Tekstprzypisudolnego"/>
        <w:jc w:val="left"/>
      </w:pPr>
      <w:r w:rsidRPr="003B579C">
        <w:rPr>
          <w:rStyle w:val="Odwoanieprzypisudolnego"/>
        </w:rPr>
        <w:footnoteRef/>
      </w:r>
      <w:r w:rsidRPr="003B579C">
        <w:t xml:space="preserve"> Program ochrony środowiska dla gminy Kąty Wrocławskie na lata 2018-2021 z perspektywą do roku 2025</w:t>
      </w:r>
    </w:p>
  </w:footnote>
  <w:footnote w:id="81">
    <w:p w:rsidR="00C96A96" w:rsidRPr="003B579C" w:rsidRDefault="00C96A96" w:rsidP="000530A7">
      <w:pPr>
        <w:pStyle w:val="Tekstprzypisudolnego"/>
        <w:jc w:val="left"/>
        <w:rPr>
          <w:iCs/>
        </w:rPr>
      </w:pPr>
      <w:r w:rsidRPr="003B579C">
        <w:rPr>
          <w:rStyle w:val="Odwoanieprzypisudolnego"/>
        </w:rPr>
        <w:footnoteRef/>
      </w:r>
      <w:r w:rsidRPr="003B579C">
        <w:t xml:space="preserve"> https://www.cire.pl/artykuly/materialy-problemowe/154373-wodor-do-wytwarzania-i-magazynowania-energii-elektrycznej [</w:t>
      </w:r>
      <w:r w:rsidRPr="003B579C">
        <w:rPr>
          <w:iCs/>
        </w:rPr>
        <w:t>Dostęp</w:t>
      </w:r>
      <w:r w:rsidRPr="003B579C">
        <w:t>: 01.09.2022]</w:t>
      </w:r>
    </w:p>
  </w:footnote>
  <w:footnote w:id="82">
    <w:p w:rsidR="00C96A96" w:rsidRPr="003B579C" w:rsidRDefault="00C96A96" w:rsidP="000530A7">
      <w:pPr>
        <w:pStyle w:val="Tekstprzypisudolnego"/>
        <w:jc w:val="left"/>
      </w:pPr>
      <w:r w:rsidRPr="003B579C">
        <w:rPr>
          <w:rStyle w:val="Odwoanieprzypisudolnego"/>
          <w:iCs/>
        </w:rPr>
        <w:footnoteRef/>
      </w:r>
      <w:r w:rsidRPr="003B579C">
        <w:t xml:space="preserve"> Inspektor, technika i bezpieczeństwo „Wodór – zielone złoto”, UDT</w:t>
      </w:r>
    </w:p>
  </w:footnote>
  <w:footnote w:id="83">
    <w:p w:rsidR="00C96A96" w:rsidRPr="003B579C" w:rsidRDefault="00C96A96" w:rsidP="000530A7">
      <w:pPr>
        <w:pStyle w:val="Tekstprzypisudolnego"/>
        <w:jc w:val="left"/>
        <w:rPr>
          <w:iCs/>
        </w:rPr>
      </w:pPr>
      <w:r w:rsidRPr="003B579C">
        <w:rPr>
          <w:rStyle w:val="Odwoanieprzypisudolnego"/>
        </w:rPr>
        <w:footnoteRef/>
      </w:r>
      <w:r w:rsidRPr="003B579C">
        <w:t xml:space="preserve"> https://dolinah2.pl/ [</w:t>
      </w:r>
      <w:r w:rsidRPr="003B579C">
        <w:rPr>
          <w:iCs/>
        </w:rPr>
        <w:t>Dostęp</w:t>
      </w:r>
      <w:r w:rsidRPr="003B579C">
        <w:t>: 06.11.2022]</w:t>
      </w:r>
    </w:p>
  </w:footnote>
  <w:footnote w:id="84">
    <w:p w:rsidR="00C96A96" w:rsidRPr="0079392E" w:rsidRDefault="00C96A96" w:rsidP="000530A7">
      <w:pPr>
        <w:pStyle w:val="Tekstprzypisudolnego"/>
        <w:jc w:val="left"/>
      </w:pPr>
      <w:r w:rsidRPr="003B579C">
        <w:rPr>
          <w:rStyle w:val="Odwoanieprzypisudolnego"/>
          <w:iCs/>
        </w:rPr>
        <w:footnoteRef/>
      </w:r>
      <w:r>
        <w:t xml:space="preserve"> </w:t>
      </w:r>
      <w:r w:rsidRPr="003B579C">
        <w:t>https://h2poland.eu/ [</w:t>
      </w:r>
      <w:r w:rsidRPr="003B579C">
        <w:rPr>
          <w:iCs/>
        </w:rPr>
        <w:t>Dostęp</w:t>
      </w:r>
      <w:r w:rsidRPr="003B579C">
        <w:t>: 06.11.2022]</w:t>
      </w:r>
    </w:p>
  </w:footnote>
  <w:footnote w:id="85">
    <w:p w:rsidR="00C96A96" w:rsidRPr="00A02854" w:rsidRDefault="00C96A96" w:rsidP="00760A34">
      <w:pPr>
        <w:pStyle w:val="Tekstprzypisudolnego"/>
        <w:jc w:val="left"/>
        <w:rPr>
          <w:sz w:val="22"/>
        </w:rPr>
      </w:pPr>
      <w:r w:rsidRPr="00A02854">
        <w:rPr>
          <w:rStyle w:val="Odwoanieprzypisudolnego"/>
          <w:szCs w:val="18"/>
        </w:rPr>
        <w:footnoteRef/>
      </w:r>
      <w:r>
        <w:rPr>
          <w:szCs w:val="18"/>
        </w:rPr>
        <w:t xml:space="preserve"> </w:t>
      </w:r>
      <w:r w:rsidRPr="00A02854">
        <w:rPr>
          <w:szCs w:val="18"/>
        </w:rPr>
        <w:t>ustawa z dnia 13 września 1996 r. o utrzymaniu czystości i porządku w gminach (</w:t>
      </w:r>
      <w:proofErr w:type="spellStart"/>
      <w:r w:rsidRPr="00A02854">
        <w:rPr>
          <w:szCs w:val="18"/>
        </w:rPr>
        <w:t>Dz.U</w:t>
      </w:r>
      <w:proofErr w:type="spellEnd"/>
      <w:r w:rsidRPr="00A02854">
        <w:rPr>
          <w:szCs w:val="18"/>
        </w:rPr>
        <w:t>. 2022 r. poz. 1297 z </w:t>
      </w:r>
      <w:proofErr w:type="spellStart"/>
      <w:r w:rsidRPr="00A02854">
        <w:rPr>
          <w:szCs w:val="18"/>
        </w:rPr>
        <w:t>późn</w:t>
      </w:r>
      <w:proofErr w:type="spellEnd"/>
      <w:r w:rsidRPr="00A02854">
        <w:rPr>
          <w:szCs w:val="18"/>
        </w:rPr>
        <w:t xml:space="preserve">. zm.) </w:t>
      </w:r>
    </w:p>
  </w:footnote>
  <w:footnote w:id="86">
    <w:p w:rsidR="00C96A96" w:rsidRPr="00A02854" w:rsidRDefault="00C96A96" w:rsidP="00760A34">
      <w:pPr>
        <w:pStyle w:val="Tekstprzypisudolnego"/>
        <w:jc w:val="left"/>
        <w:rPr>
          <w:color w:val="000000" w:themeColor="text1"/>
          <w:szCs w:val="18"/>
        </w:rPr>
      </w:pPr>
      <w:r w:rsidRPr="00A02854">
        <w:rPr>
          <w:rStyle w:val="Odwoanieprzypisudolnego"/>
          <w:color w:val="000000" w:themeColor="text1"/>
          <w:szCs w:val="18"/>
        </w:rPr>
        <w:footnoteRef/>
      </w:r>
      <w:r w:rsidRPr="00A02854">
        <w:rPr>
          <w:color w:val="000000" w:themeColor="text1"/>
          <w:szCs w:val="18"/>
        </w:rPr>
        <w:t xml:space="preserve"> Rozporządzenie uchylone Ustawą z dnia 17 grudnia 2020 r. o zmianie ustawy o utrzymaniu czystości i porządku w gminach oraz niektórych innych ustaw (</w:t>
      </w:r>
      <w:proofErr w:type="spellStart"/>
      <w:r w:rsidRPr="00A02854">
        <w:rPr>
          <w:color w:val="000000" w:themeColor="text1"/>
          <w:szCs w:val="18"/>
        </w:rPr>
        <w:t>Dz.U</w:t>
      </w:r>
      <w:proofErr w:type="spellEnd"/>
      <w:r w:rsidRPr="00A02854">
        <w:rPr>
          <w:color w:val="000000" w:themeColor="text1"/>
          <w:szCs w:val="18"/>
        </w:rPr>
        <w:t xml:space="preserve">. 2020 poz. 2361). Zgodnie z ustawą, od roku 2021, </w:t>
      </w:r>
      <w:proofErr w:type="spellStart"/>
      <w:r w:rsidRPr="00A02854">
        <w:rPr>
          <w:color w:val="000000" w:themeColor="text1"/>
          <w:szCs w:val="18"/>
        </w:rPr>
        <w:t>gminysą</w:t>
      </w:r>
      <w:proofErr w:type="spellEnd"/>
      <w:r w:rsidRPr="00A02854">
        <w:rPr>
          <w:color w:val="000000" w:themeColor="text1"/>
          <w:szCs w:val="18"/>
        </w:rPr>
        <w:t xml:space="preserve"> zobowiązane osiągnąć poziom przygotowania do ponownego użycia i recyklingu odpadów komunalnych w wysokości co najmniej:20% wagowo za rok 2021; 25% wagowo za rok 2022; 35% wagowo za rok 2023; 45% wagowo za rok 2024; 55% wagowo za rok 2025; 56% wagowo za rok 2026; 57% wagowo za rok 2027; 58% wagowo  za rok 2028; 59% wagowo za rok 2029;  60% wagowo za rok 2030; 61% wagowo za rok 2031; 62% wagowo za rok 2032; 63% wagowo za rok 2033; 64% wagowo za rok 2034; 65% wagowo za rok 2035 i za każdy kolejny rok.</w:t>
      </w:r>
    </w:p>
  </w:footnote>
  <w:footnote w:id="87">
    <w:p w:rsidR="00C96A96" w:rsidRDefault="00C96A96" w:rsidP="00760A34">
      <w:pPr>
        <w:pStyle w:val="Tekstprzypisudolnego"/>
        <w:jc w:val="left"/>
      </w:pPr>
      <w:r w:rsidRPr="00A02854">
        <w:rPr>
          <w:rStyle w:val="Odwoanieprzypisudolnego"/>
          <w:color w:val="000000" w:themeColor="text1"/>
        </w:rPr>
        <w:footnoteRef/>
      </w:r>
      <w:r>
        <w:t xml:space="preserve"> </w:t>
      </w:r>
      <w:r w:rsidRPr="00182AA0">
        <w:t>www.bazaazbestowa.gov.pl/pl/usuwanie-azbestu/zestawienie-statystyczne</w:t>
      </w:r>
    </w:p>
  </w:footnote>
  <w:footnote w:id="88">
    <w:p w:rsidR="00C96A96" w:rsidRDefault="00C96A96" w:rsidP="000530A7">
      <w:pPr>
        <w:pStyle w:val="Tekstprzypisudolnego"/>
        <w:jc w:val="left"/>
      </w:pPr>
      <w:r>
        <w:rPr>
          <w:rStyle w:val="Odwoanieprzypisudolnego"/>
        </w:rPr>
        <w:footnoteRef/>
      </w:r>
      <w:r>
        <w:t xml:space="preserve"> Zgodnie z definicją podawaną przez GUS. Impreza o charakterze artystycznym, rozrywkowym lub sportowym skierowana do szerokiej publiczności, organizowana zgodnie z przepisami o bezpieczeństwie imprez masowych.</w:t>
      </w:r>
    </w:p>
  </w:footnote>
  <w:footnote w:id="89">
    <w:p w:rsidR="00C96A96" w:rsidRDefault="00C96A96" w:rsidP="000178B1">
      <w:pPr>
        <w:pStyle w:val="Tekstprzypisudolnego"/>
      </w:pPr>
      <w:r>
        <w:rPr>
          <w:rStyle w:val="Odwoanieprzypisudolnego"/>
        </w:rPr>
        <w:footnoteRef/>
      </w:r>
      <w:r>
        <w:t xml:space="preserve"> Najnowsze możliwe dane z GUS dotyczące klubów sportowych pochodzą z 2018 r. </w:t>
      </w:r>
    </w:p>
  </w:footnote>
  <w:footnote w:id="90">
    <w:p w:rsidR="00C96A96" w:rsidRDefault="00C96A96" w:rsidP="000178B1">
      <w:pPr>
        <w:pStyle w:val="Tekstprzypisudolnego"/>
      </w:pPr>
      <w:r>
        <w:rPr>
          <w:rStyle w:val="Odwoanieprzypisudolnego"/>
        </w:rPr>
        <w:footnoteRef/>
      </w:r>
      <w:r>
        <w:t xml:space="preserve"> Ł</w:t>
      </w:r>
      <w:r w:rsidRPr="00477C8F">
        <w:t>ącznie z klubami wyznaniowymi i UKS</w:t>
      </w:r>
    </w:p>
  </w:footnote>
  <w:footnote w:id="91">
    <w:p w:rsidR="00C96A96" w:rsidRDefault="00C96A96" w:rsidP="000178B1">
      <w:pPr>
        <w:pStyle w:val="Tekstprzypisudolnego"/>
      </w:pPr>
      <w:r>
        <w:rPr>
          <w:rStyle w:val="Odwoanieprzypisudolnego"/>
        </w:rPr>
        <w:footnoteRef/>
      </w:r>
      <w:r>
        <w:t xml:space="preserve"> Każda osoba liczona jest tylko raz.</w:t>
      </w:r>
    </w:p>
  </w:footnote>
  <w:footnote w:id="92">
    <w:p w:rsidR="00C96A96" w:rsidRDefault="00C96A96" w:rsidP="000178B1">
      <w:pPr>
        <w:pStyle w:val="Tekstprzypisudolnego"/>
      </w:pPr>
      <w:r>
        <w:rPr>
          <w:rStyle w:val="Odwoanieprzypisudolnego"/>
        </w:rPr>
        <w:footnoteRef/>
      </w:r>
      <w:r>
        <w:t xml:space="preserve"> Dane dotyczące sportu, w tym liczby osób ćwiczących agregowane są co dwa lata. Najnowsze dane pochodzą z 2018 r. W celu pokazania dynamiki zmian, wykorzystano dane wcześniejsze. </w:t>
      </w:r>
    </w:p>
  </w:footnote>
  <w:footnote w:id="93">
    <w:p w:rsidR="00C96A96" w:rsidRPr="00801B43" w:rsidRDefault="00C96A96" w:rsidP="00192628">
      <w:pPr>
        <w:pStyle w:val="Nagwek2"/>
        <w:spacing w:line="240" w:lineRule="auto"/>
        <w:jc w:val="left"/>
        <w:rPr>
          <w:rFonts w:ascii="Calibri" w:eastAsia="Calibri" w:hAnsi="Calibri"/>
          <w:b w:val="0"/>
          <w:color w:val="auto"/>
          <w:sz w:val="20"/>
          <w:szCs w:val="20"/>
        </w:rPr>
      </w:pPr>
      <w:r w:rsidRPr="00801B43">
        <w:rPr>
          <w:rFonts w:ascii="Calibri" w:eastAsia="Calibri" w:hAnsi="Calibri"/>
          <w:b w:val="0"/>
          <w:color w:val="auto"/>
          <w:sz w:val="20"/>
          <w:szCs w:val="20"/>
          <w:vertAlign w:val="superscript"/>
        </w:rPr>
        <w:footnoteRef/>
      </w:r>
      <w:r>
        <w:rPr>
          <w:rFonts w:ascii="Calibri" w:eastAsia="Calibri" w:hAnsi="Calibri"/>
          <w:b w:val="0"/>
          <w:color w:val="auto"/>
          <w:sz w:val="20"/>
          <w:szCs w:val="20"/>
        </w:rPr>
        <w:t xml:space="preserve"> </w:t>
      </w:r>
      <w:r w:rsidRPr="00801B43">
        <w:rPr>
          <w:rFonts w:ascii="Calibri" w:eastAsia="Calibri" w:hAnsi="Calibri"/>
          <w:b w:val="0"/>
          <w:color w:val="auto"/>
          <w:sz w:val="20"/>
          <w:szCs w:val="20"/>
        </w:rPr>
        <w:t>Ustawa z dnia 19 lipca 2019 r. o zapewnianiu dostępności osobom ze szczegó</w:t>
      </w:r>
      <w:r>
        <w:rPr>
          <w:rFonts w:ascii="Calibri" w:eastAsia="Calibri" w:hAnsi="Calibri"/>
          <w:b w:val="0"/>
          <w:color w:val="auto"/>
          <w:sz w:val="20"/>
          <w:szCs w:val="20"/>
        </w:rPr>
        <w:t>lnymi potrzebami (Dz. U. z 2020 </w:t>
      </w:r>
      <w:r w:rsidRPr="00801B43">
        <w:rPr>
          <w:rFonts w:ascii="Calibri" w:eastAsia="Calibri" w:hAnsi="Calibri"/>
          <w:b w:val="0"/>
          <w:color w:val="auto"/>
          <w:sz w:val="20"/>
          <w:szCs w:val="20"/>
        </w:rPr>
        <w:t>r. poz. 1062, z 2022 r. poz. 975, 1079.</w:t>
      </w:r>
    </w:p>
  </w:footnote>
  <w:footnote w:id="94">
    <w:p w:rsidR="00C96A96" w:rsidRDefault="00C96A96" w:rsidP="00192628">
      <w:pPr>
        <w:pStyle w:val="Tekstprzypisudolnego"/>
        <w:jc w:val="left"/>
      </w:pPr>
      <w:r>
        <w:rPr>
          <w:rStyle w:val="Odwoanieprzypisudolnego"/>
        </w:rPr>
        <w:footnoteRef/>
      </w:r>
      <w:r>
        <w:t xml:space="preserve"> Według GUS: hale sportowe </w:t>
      </w:r>
      <w:r w:rsidRPr="00D80731">
        <w:t>o wymiarach od 36x19 m</w:t>
      </w:r>
    </w:p>
  </w:footnote>
  <w:footnote w:id="95">
    <w:p w:rsidR="00C96A96" w:rsidRDefault="00C96A96" w:rsidP="00192628">
      <w:pPr>
        <w:pStyle w:val="Tekstprzypisudolnego"/>
        <w:jc w:val="left"/>
      </w:pPr>
      <w:r>
        <w:rPr>
          <w:rStyle w:val="Odwoanieprzypisudolnego"/>
        </w:rPr>
        <w:footnoteRef/>
      </w:r>
      <w:r>
        <w:t xml:space="preserve"> Według GUS: sale gimnastyczne</w:t>
      </w:r>
      <w:r w:rsidRPr="00D80731">
        <w:t xml:space="preserve"> wymiarach poniżej 36x19 m i sale pomocnicze</w:t>
      </w:r>
    </w:p>
  </w:footnote>
  <w:footnote w:id="96">
    <w:p w:rsidR="00C96A96" w:rsidRPr="00223971" w:rsidRDefault="00C96A96" w:rsidP="00223971">
      <w:pPr>
        <w:pStyle w:val="Tekstprzypisudolnego"/>
        <w:jc w:val="left"/>
        <w:rPr>
          <w:color w:val="000000" w:themeColor="text1"/>
        </w:rPr>
      </w:pPr>
      <w:r w:rsidRPr="00223971">
        <w:rPr>
          <w:rStyle w:val="Odwoanieprzypisudolnego"/>
          <w:color w:val="000000" w:themeColor="text1"/>
        </w:rPr>
        <w:footnoteRef/>
      </w:r>
      <w:r w:rsidRPr="00223971">
        <w:rPr>
          <w:color w:val="000000" w:themeColor="text1"/>
        </w:rPr>
        <w:t xml:space="preserve"> Wszystkie dopuszczone do użytkowania szlaki MTB, które rzadko mają więcej niż 30% powierzchni asfaltowanych, złożone z single </w:t>
      </w:r>
      <w:proofErr w:type="spellStart"/>
      <w:r w:rsidRPr="00223971">
        <w:rPr>
          <w:color w:val="000000" w:themeColor="text1"/>
        </w:rPr>
        <w:t>tracków</w:t>
      </w:r>
      <w:proofErr w:type="spellEnd"/>
      <w:r w:rsidRPr="00223971">
        <w:rPr>
          <w:color w:val="000000" w:themeColor="text1"/>
        </w:rPr>
        <w:t xml:space="preserve"> oraz dróg, prowadzących przez lasy i hale górskie.</w:t>
      </w:r>
    </w:p>
  </w:footnote>
  <w:footnote w:id="97">
    <w:p w:rsidR="00C96A96" w:rsidRPr="00223971" w:rsidRDefault="00C96A96" w:rsidP="00223971">
      <w:pPr>
        <w:pStyle w:val="Tekstprzypisudolnego"/>
        <w:jc w:val="left"/>
        <w:rPr>
          <w:color w:val="000000" w:themeColor="text1"/>
        </w:rPr>
      </w:pPr>
      <w:r w:rsidRPr="00FB09BF">
        <w:rPr>
          <w:rStyle w:val="Odwoanieprzypisudolnego"/>
          <w:color w:val="000000" w:themeColor="text1"/>
        </w:rPr>
        <w:footnoteRef/>
      </w:r>
      <w:r>
        <w:t xml:space="preserve"> </w:t>
      </w:r>
      <w:r w:rsidRPr="00182AA0">
        <w:t>www.dspiw.pl/o-szlaku/</w:t>
      </w:r>
      <w:r w:rsidRPr="00223971">
        <w:rPr>
          <w:color w:val="000000" w:themeColor="text1"/>
        </w:rPr>
        <w:t>[dostęp: sierpień 2022 r.]</w:t>
      </w:r>
    </w:p>
  </w:footnote>
  <w:footnote w:id="98">
    <w:p w:rsidR="00C96A96" w:rsidRPr="00223971" w:rsidRDefault="00C96A96" w:rsidP="00223971">
      <w:pPr>
        <w:pStyle w:val="Tekstprzypisudolnego"/>
        <w:tabs>
          <w:tab w:val="left" w:pos="4885"/>
        </w:tabs>
        <w:jc w:val="left"/>
        <w:rPr>
          <w:color w:val="000000" w:themeColor="text1"/>
        </w:rPr>
      </w:pPr>
      <w:r w:rsidRPr="00223971">
        <w:rPr>
          <w:rStyle w:val="Odwoanieprzypisudolnego"/>
          <w:color w:val="000000" w:themeColor="text1"/>
        </w:rPr>
        <w:footnoteRef/>
      </w:r>
      <w:r>
        <w:rPr>
          <w:color w:val="000000" w:themeColor="text1"/>
        </w:rPr>
        <w:t xml:space="preserve"> </w:t>
      </w:r>
      <w:r w:rsidRPr="00223971">
        <w:rPr>
          <w:color w:val="000000" w:themeColor="text1"/>
        </w:rPr>
        <w:t xml:space="preserve">Badanie ruchu turystycznego na Dolnym Śląsku 2019 - </w:t>
      </w:r>
      <w:r w:rsidRPr="00182AA0">
        <w:t>https://umwd.dolnyslask.pl/turystyka/analizy-badania/</w:t>
      </w:r>
      <w:r w:rsidRPr="00223971">
        <w:rPr>
          <w:color w:val="000000" w:themeColor="text1"/>
        </w:rPr>
        <w:t xml:space="preserve"> [dostęp: sierpień 2022 r.]</w:t>
      </w:r>
    </w:p>
  </w:footnote>
  <w:footnote w:id="99">
    <w:p w:rsidR="00C96A96" w:rsidRDefault="00C96A96" w:rsidP="00223971">
      <w:pPr>
        <w:pStyle w:val="Tekstprzypisudolnego"/>
        <w:jc w:val="left"/>
      </w:pPr>
      <w:r w:rsidRPr="00223971">
        <w:rPr>
          <w:rStyle w:val="Odwoanieprzypisudolnego"/>
          <w:color w:val="000000" w:themeColor="text1"/>
        </w:rPr>
        <w:footnoteRef/>
      </w:r>
      <w:r>
        <w:rPr>
          <w:color w:val="000000" w:themeColor="text1"/>
        </w:rPr>
        <w:t xml:space="preserve"> </w:t>
      </w:r>
      <w:r w:rsidRPr="00223971">
        <w:rPr>
          <w:color w:val="000000" w:themeColor="text1"/>
        </w:rPr>
        <w:t>Turystyka w województwie dolnośląskim w 2021 r. – opracowanie GUS.</w:t>
      </w:r>
    </w:p>
  </w:footnote>
  <w:footnote w:id="100">
    <w:p w:rsidR="00C96A96" w:rsidRDefault="00C96A96" w:rsidP="00223971">
      <w:pPr>
        <w:pStyle w:val="Tekstprzypisudolnego"/>
        <w:jc w:val="left"/>
      </w:pPr>
      <w:r w:rsidRPr="00FB09BF">
        <w:rPr>
          <w:rStyle w:val="Odwoanieprzypisudolnego"/>
          <w:color w:val="000000" w:themeColor="text1"/>
        </w:rPr>
        <w:footnoteRef/>
      </w:r>
      <w:r>
        <w:t xml:space="preserve"> </w:t>
      </w:r>
      <w:r w:rsidRPr="00182AA0">
        <w:t>https://stat.gov.pl/metainformacje/slownik-pojec/pojecia-stosowane-w-statystyce-publicznej/4035,pojecie.html</w:t>
      </w:r>
      <w:r w:rsidRPr="00FB09BF">
        <w:rPr>
          <w:color w:val="000000" w:themeColor="text1"/>
        </w:rPr>
        <w:t xml:space="preserve"> [Dostęp: 12.10.2022]</w:t>
      </w:r>
    </w:p>
  </w:footnote>
  <w:footnote w:id="101">
    <w:p w:rsidR="00C96A96" w:rsidRPr="001037F6" w:rsidRDefault="00C96A96" w:rsidP="00575F4C">
      <w:pPr>
        <w:spacing w:after="0" w:line="240" w:lineRule="auto"/>
        <w:jc w:val="left"/>
        <w:rPr>
          <w:rFonts w:ascii="Verdana" w:hAnsi="Verdana"/>
          <w:sz w:val="20"/>
          <w:szCs w:val="20"/>
        </w:rPr>
      </w:pPr>
      <w:r>
        <w:rPr>
          <w:rStyle w:val="Odwoanieprzypisudolnego"/>
        </w:rPr>
        <w:footnoteRef/>
      </w:r>
      <w:r>
        <w:rPr>
          <w:sz w:val="20"/>
        </w:rPr>
        <w:t xml:space="preserve"> </w:t>
      </w:r>
      <w:r w:rsidRPr="001037F6">
        <w:rPr>
          <w:sz w:val="20"/>
        </w:rPr>
        <w:t>Dane niepełne - Komenda Powiatowa Policji w Oleśnicy nie udostępniła danych</w:t>
      </w:r>
      <w:r>
        <w:rPr>
          <w:sz w:val="20"/>
        </w:rPr>
        <w:t xml:space="preserve"> dla Oleśnicy (miasta i gminy i </w:t>
      </w:r>
      <w:r w:rsidRPr="001037F6">
        <w:rPr>
          <w:sz w:val="20"/>
        </w:rPr>
        <w:t>wiejskiej) oraz Dobroszyc.</w:t>
      </w:r>
    </w:p>
  </w:footnote>
  <w:footnote w:id="102">
    <w:p w:rsidR="00C96A96" w:rsidRPr="00617E34" w:rsidRDefault="00C96A96" w:rsidP="000178B1">
      <w:pPr>
        <w:pStyle w:val="Tekstprzypisudolnego"/>
      </w:pPr>
      <w:r w:rsidRPr="00617E34">
        <w:rPr>
          <w:rStyle w:val="Odwoanieprzypisudolnego"/>
        </w:rPr>
        <w:footnoteRef/>
      </w:r>
      <w:r>
        <w:t xml:space="preserve"> </w:t>
      </w:r>
      <w:r w:rsidRPr="00617E34">
        <w:t xml:space="preserve">Plan adaptacji Miasta Wrocławia do zmian klimatu </w:t>
      </w:r>
    </w:p>
  </w:footnote>
  <w:footnote w:id="103">
    <w:p w:rsidR="00C96A96" w:rsidRDefault="00C96A96" w:rsidP="00223971">
      <w:pPr>
        <w:pStyle w:val="Tekstprzypisudolnego"/>
        <w:jc w:val="left"/>
      </w:pPr>
      <w:r>
        <w:rPr>
          <w:rStyle w:val="Odwoanieprzypisudolnego"/>
        </w:rPr>
        <w:footnoteRef/>
      </w:r>
      <w:r>
        <w:t xml:space="preserve"> </w:t>
      </w:r>
      <w:r w:rsidRPr="00611136">
        <w:t>Na podstawie: Wytyczne dotyczące realizacji projektów z udziałem środków Europejskiego Funduszu Społecznego Plus w regionalnych programach na lata 2021–2027 (projekt do konsultacji zewnętrznych),  s.18 [Dostęp: 16.01.2022]</w:t>
      </w:r>
    </w:p>
  </w:footnote>
  <w:footnote w:id="104">
    <w:p w:rsidR="00C96A96" w:rsidRDefault="00C96A96" w:rsidP="00182AA0">
      <w:pPr>
        <w:pStyle w:val="Tekstprzypisudolnego"/>
        <w:tabs>
          <w:tab w:val="left" w:pos="4690"/>
        </w:tabs>
        <w:ind w:right="-142"/>
        <w:jc w:val="left"/>
      </w:pPr>
      <w:r>
        <w:rPr>
          <w:rStyle w:val="Odwoanieprzypisudolnego"/>
        </w:rPr>
        <w:footnoteRef/>
      </w:r>
      <w:r>
        <w:rPr>
          <w:color w:val="000000" w:themeColor="text1"/>
        </w:rPr>
        <w:t xml:space="preserve"> </w:t>
      </w:r>
      <w:r w:rsidRPr="00223971">
        <w:rPr>
          <w:color w:val="000000" w:themeColor="text1"/>
        </w:rPr>
        <w:t xml:space="preserve">Więcej o problemie: </w:t>
      </w:r>
      <w:r w:rsidRPr="00182AA0">
        <w:t>https://www.nik.gov.pl/aktualnosci/rodzinna-piecza-zastepcza.html</w:t>
      </w:r>
      <w:r w:rsidRPr="00223971">
        <w:rPr>
          <w:color w:val="000000" w:themeColor="text1"/>
        </w:rPr>
        <w:t xml:space="preserve"> [Dostęp: 30.11.2022]</w:t>
      </w:r>
    </w:p>
  </w:footnote>
  <w:footnote w:id="105">
    <w:p w:rsidR="00C96A96" w:rsidRDefault="00C96A96" w:rsidP="002670B6">
      <w:pPr>
        <w:pStyle w:val="Tekstprzypisudolnego"/>
        <w:jc w:val="left"/>
      </w:pPr>
      <w:r>
        <w:rPr>
          <w:rStyle w:val="Odwoanieprzypisudolnego"/>
        </w:rPr>
        <w:footnoteRef/>
      </w:r>
      <w:r>
        <w:t xml:space="preserve"> </w:t>
      </w:r>
      <w:r w:rsidRPr="009B0797">
        <w:t>Licz</w:t>
      </w:r>
      <w:r>
        <w:t>e</w:t>
      </w:r>
      <w:r w:rsidRPr="009B0797">
        <w:t>bność próby wyniosła 1066 pełnoletnich mieszkańców obszaru WrOF</w:t>
      </w:r>
    </w:p>
  </w:footnote>
  <w:footnote w:id="106">
    <w:p w:rsidR="00C96A96" w:rsidRPr="00223971" w:rsidRDefault="00C96A96" w:rsidP="003B0A45">
      <w:pPr>
        <w:pStyle w:val="Tekstprzypisudolnego"/>
        <w:jc w:val="left"/>
        <w:rPr>
          <w:color w:val="000000" w:themeColor="text1"/>
        </w:rPr>
      </w:pPr>
      <w:r w:rsidRPr="00223971">
        <w:rPr>
          <w:rStyle w:val="Odwoanieprzypisudolnego"/>
          <w:color w:val="000000" w:themeColor="text1"/>
        </w:rPr>
        <w:footnoteRef/>
      </w:r>
      <w:r w:rsidRPr="00223971">
        <w:rPr>
          <w:color w:val="000000" w:themeColor="text1"/>
        </w:rPr>
        <w:t xml:space="preserve"> W Polsce w przeważającej większości to powiaty są organami prowadzącymi licea. Ustawodawca przewidział jednak możliwość, aby gminy wypełniały te zadania. Takim przykładem jest Długołęka, która jest organem prowadzącym dla liceum ogólnokształcącego.</w:t>
      </w:r>
    </w:p>
  </w:footnote>
  <w:footnote w:id="107">
    <w:p w:rsidR="00C96A96" w:rsidRPr="00223971" w:rsidRDefault="00C96A96" w:rsidP="003B0A45">
      <w:pPr>
        <w:pStyle w:val="Tekstprzypisudolnego"/>
        <w:jc w:val="left"/>
        <w:rPr>
          <w:color w:val="000000" w:themeColor="text1"/>
        </w:rPr>
      </w:pPr>
      <w:r w:rsidRPr="00223971">
        <w:rPr>
          <w:rStyle w:val="Odwoanieprzypisudolnego"/>
          <w:color w:val="000000" w:themeColor="text1"/>
        </w:rPr>
        <w:footnoteRef/>
      </w:r>
      <w:r w:rsidRPr="00223971">
        <w:rPr>
          <w:color w:val="000000" w:themeColor="text1"/>
        </w:rPr>
        <w:t xml:space="preserve"> Wśród jednostek WrOF jedyną jednostką będącą miastem na prawach powiatu jest Wrocław, który </w:t>
      </w:r>
    </w:p>
    <w:p w:rsidR="00C96A96" w:rsidRDefault="00C96A96" w:rsidP="003B0A45">
      <w:pPr>
        <w:pStyle w:val="Tekstprzypisudolnego"/>
        <w:jc w:val="left"/>
      </w:pPr>
      <w:r w:rsidRPr="00223971">
        <w:rPr>
          <w:color w:val="000000" w:themeColor="text1"/>
        </w:rPr>
        <w:t xml:space="preserve">prowadzi 62 placówki ponadpodstawowe (bez specjalnych) - </w:t>
      </w:r>
      <w:r w:rsidRPr="00182AA0">
        <w:t>https://bip.um.wroc.pl/artykul/172/47745/szkoly-i-placowki-publiczne-prowadzone-przez-miasto-wroclaw</w:t>
      </w:r>
      <w:r w:rsidRPr="00223971">
        <w:rPr>
          <w:color w:val="000000" w:themeColor="text1"/>
        </w:rPr>
        <w:t>, dodatkowo wyjątek stanowi gmina Długołęka, gdzie organem prowadzącym dla liceum ogólnokształcącego jest gmina [dostęp: wrzesień 2022]</w:t>
      </w:r>
    </w:p>
  </w:footnote>
  <w:footnote w:id="108">
    <w:p w:rsidR="00C96A96" w:rsidRPr="00223971" w:rsidRDefault="00C96A96" w:rsidP="000178B1">
      <w:pPr>
        <w:pStyle w:val="Tekstprzypisudolnego"/>
        <w:rPr>
          <w:color w:val="000000" w:themeColor="text1"/>
        </w:rPr>
      </w:pPr>
      <w:r w:rsidRPr="00223971">
        <w:rPr>
          <w:rStyle w:val="Znakiprzypiswdolnych"/>
          <w:color w:val="000000" w:themeColor="text1"/>
          <w:vertAlign w:val="superscript"/>
        </w:rPr>
        <w:footnoteRef/>
      </w:r>
      <w:r>
        <w:rPr>
          <w:color w:val="000000" w:themeColor="text1"/>
        </w:rPr>
        <w:t xml:space="preserve"> </w:t>
      </w:r>
      <w:r w:rsidRPr="00223971">
        <w:rPr>
          <w:color w:val="000000" w:themeColor="text1"/>
        </w:rPr>
        <w:t>Miejska gościnność: wielki wzrost, wyzwania i szanse. Raport o uchodźcach z Ukrainy w największych polskich miastach, 2022, Centrum analiz i badań, Unia Metropolii Polskich.</w:t>
      </w:r>
    </w:p>
  </w:footnote>
  <w:footnote w:id="109">
    <w:p w:rsidR="00C96A96" w:rsidRDefault="00C96A96" w:rsidP="000178B1">
      <w:pPr>
        <w:pStyle w:val="Tekstprzypisudolnego"/>
      </w:pPr>
      <w:r w:rsidRPr="00223971">
        <w:rPr>
          <w:rStyle w:val="Odwoanieprzypisudolnego"/>
          <w:color w:val="000000" w:themeColor="text1"/>
        </w:rPr>
        <w:footnoteRef/>
      </w:r>
      <w:r>
        <w:t xml:space="preserve"> </w:t>
      </w:r>
      <w:r w:rsidRPr="00182AA0">
        <w:t>https://ogloszenia.kuratorium.wroclaw.pl/praca-dla-nauczycieli/</w:t>
      </w:r>
      <w:r w:rsidRPr="00223971">
        <w:rPr>
          <w:color w:val="000000" w:themeColor="text1"/>
        </w:rPr>
        <w:t xml:space="preserve"> [dostęp: 7.11.2022 r. ]</w:t>
      </w:r>
    </w:p>
  </w:footnote>
  <w:footnote w:id="110">
    <w:p w:rsidR="00C96A96" w:rsidRDefault="00C96A96" w:rsidP="00223971">
      <w:pPr>
        <w:pStyle w:val="Tekstprzypisudolnego"/>
        <w:jc w:val="left"/>
      </w:pPr>
      <w:r>
        <w:rPr>
          <w:rStyle w:val="Odwoanieprzypisudolnego"/>
        </w:rPr>
        <w:footnoteRef/>
      </w:r>
      <w:r>
        <w:t xml:space="preserve"> </w:t>
      </w:r>
      <w:r w:rsidRPr="004C002E">
        <w:t>Za: Miejska gościnność: wielki wzrost, wyzwania i szanse. Raport o uchodźcach z Ukrainy w największych polskich miastach, 2022</w:t>
      </w:r>
      <w:r>
        <w:t>, „</w:t>
      </w:r>
      <w:r w:rsidRPr="004C002E">
        <w:t>jeśli w mieście pojawia się 10 000 nowych dzieci, to wraz z nimi powinno pojawić się 10 nowych szkół i 500 nowych nauczycieli</w:t>
      </w:r>
      <w:r>
        <w:t>”.</w:t>
      </w:r>
    </w:p>
  </w:footnote>
  <w:footnote w:id="111">
    <w:p w:rsidR="00C96A96" w:rsidRDefault="00C96A96" w:rsidP="00223971">
      <w:pPr>
        <w:pStyle w:val="Tekstprzypisudolnego"/>
        <w:jc w:val="left"/>
      </w:pPr>
      <w:r>
        <w:rPr>
          <w:rStyle w:val="Odwoanieprzypisudolnego"/>
        </w:rPr>
        <w:footnoteRef/>
      </w:r>
      <w:r>
        <w:t xml:space="preserve"> W przypadku liczby placówek przedszkolnych widoczna jest rozbieżność pomiędzy liczbą publikowaną przez GUS w 2021 r., a liczbą zgromadzoną w wyniku badań ankietowych w 2022 r. Należy pamiętać że GUS agreguje wszystkie przedszkola, bez względu na mechanizm finansowania i organ prowadzący. W ankietach samorządy uwzględniły tylko te przedszkola, którym zapewniają finansowanie.</w:t>
      </w:r>
    </w:p>
  </w:footnote>
  <w:footnote w:id="112">
    <w:p w:rsidR="00C96A96" w:rsidRDefault="00C96A96" w:rsidP="00223971">
      <w:pPr>
        <w:pStyle w:val="Tekstprzypisudolnego"/>
        <w:jc w:val="left"/>
      </w:pPr>
      <w:r>
        <w:rPr>
          <w:rStyle w:val="Odwoanieprzypisudolnego"/>
        </w:rPr>
        <w:footnoteRef/>
      </w:r>
      <w:r>
        <w:t xml:space="preserve"> Dane dotyczące infrastruktury na podstawie badań ankietowych w gminach WrOF</w:t>
      </w:r>
    </w:p>
  </w:footnote>
  <w:footnote w:id="113">
    <w:p w:rsidR="00C96A96" w:rsidRDefault="00C96A96" w:rsidP="00223971">
      <w:pPr>
        <w:pStyle w:val="Tekstprzypisudolnego"/>
        <w:jc w:val="left"/>
      </w:pPr>
      <w:r>
        <w:rPr>
          <w:rStyle w:val="Odwoanieprzypisudolnego"/>
        </w:rPr>
        <w:footnoteRef/>
      </w:r>
      <w:r>
        <w:t xml:space="preserve"> Dane przekazane przez gminę Wisznia Mała</w:t>
      </w:r>
    </w:p>
  </w:footnote>
  <w:footnote w:id="114">
    <w:p w:rsidR="00C96A96" w:rsidRDefault="00C96A96" w:rsidP="000178B1">
      <w:pPr>
        <w:pStyle w:val="Tekstprzypisudolnego"/>
      </w:pPr>
      <w:r w:rsidRPr="00FB09BF">
        <w:rPr>
          <w:rStyle w:val="Znakiprzypiswdolnych"/>
          <w:color w:val="000000" w:themeColor="text1"/>
          <w:vertAlign w:val="superscript"/>
        </w:rPr>
        <w:footnoteRef/>
      </w:r>
      <w:r>
        <w:t xml:space="preserve"> </w:t>
      </w:r>
      <w:r w:rsidRPr="00182AA0">
        <w:t>http://www.bazaps.ekonomiaspoleczna.gov.pl/</w:t>
      </w:r>
      <w:r w:rsidRPr="00FB09BF">
        <w:rPr>
          <w:color w:val="000000" w:themeColor="text1"/>
        </w:rPr>
        <w:t xml:space="preserve"> [dostęp: sierpień 2022 r.]</w:t>
      </w:r>
    </w:p>
  </w:footnote>
  <w:footnote w:id="115">
    <w:p w:rsidR="00C96A96" w:rsidRDefault="00C96A96" w:rsidP="000178B1">
      <w:pPr>
        <w:pStyle w:val="Tekstprzypisudolnego"/>
      </w:pPr>
      <w:r>
        <w:rPr>
          <w:rStyle w:val="Odwoanieprzypisudolnego"/>
        </w:rPr>
        <w:footnoteRef/>
      </w:r>
      <w:r>
        <w:t xml:space="preserve"> Ustawa z dnia 8 marca 1990 r. o samorządzie gminnym (Dz. U. z 2022 r. poz. 559, 583, 1005, 1079, 1561)</w:t>
      </w:r>
    </w:p>
  </w:footnote>
  <w:footnote w:id="116">
    <w:p w:rsidR="00C96A96" w:rsidRDefault="00C96A96" w:rsidP="000178B1">
      <w:pPr>
        <w:pStyle w:val="Tekstprzypisudolnego"/>
      </w:pPr>
      <w:r>
        <w:rPr>
          <w:rStyle w:val="Odwoanieprzypisudolnego"/>
        </w:rPr>
        <w:footnoteRef/>
      </w:r>
      <w:r>
        <w:t xml:space="preserve"> Uchwała nr XLIII/259/21 Rady Miejskiej w Oławie z dnia 30 listopada 2021 r. w sprawie określenia zasad i trybu przeprowadzenia konsultacji społecznych budżetu obywatelskiego z mieszkańcami Gminy Miasto Oława</w:t>
      </w:r>
    </w:p>
  </w:footnote>
  <w:footnote w:id="117">
    <w:p w:rsidR="00C96A96" w:rsidRDefault="00C96A96" w:rsidP="006A36A5">
      <w:pPr>
        <w:pStyle w:val="Tekstprzypisudolnego"/>
      </w:pPr>
      <w:r>
        <w:rPr>
          <w:rStyle w:val="Odwoanieprzypisudolnego"/>
        </w:rPr>
        <w:footnoteRef/>
      </w:r>
      <w:r>
        <w:t xml:space="preserve"> B+R – działalność badawczo-rozwojowa</w:t>
      </w:r>
    </w:p>
  </w:footnote>
  <w:footnote w:id="118">
    <w:p w:rsidR="00C96A96" w:rsidRDefault="00C96A96" w:rsidP="002F5572">
      <w:pPr>
        <w:pStyle w:val="Tekstprzypisudolnego"/>
        <w:jc w:val="left"/>
      </w:pPr>
      <w:r>
        <w:rPr>
          <w:rStyle w:val="Odwoanieprzypisudolnego"/>
        </w:rPr>
        <w:footnoteRef/>
      </w:r>
      <w:r>
        <w:t xml:space="preserve"> </w:t>
      </w:r>
      <w:proofErr w:type="spellStart"/>
      <w:r w:rsidRPr="003E65CF">
        <w:t>Outplacement</w:t>
      </w:r>
      <w:proofErr w:type="spellEnd"/>
      <w:r w:rsidRPr="003E65CF">
        <w:t xml:space="preserve"> – program wsparcia w poszukiwaniu nowej pracy dla pracowników zwalnianych przez firmy grupowo lub indywidualnie.</w:t>
      </w:r>
    </w:p>
  </w:footnote>
  <w:footnote w:id="119">
    <w:p w:rsidR="00C96A96" w:rsidRDefault="00C96A96" w:rsidP="00235FCA">
      <w:pPr>
        <w:pStyle w:val="Tekstprzypisudolnego"/>
      </w:pPr>
      <w:r>
        <w:rPr>
          <w:rStyle w:val="Odwoanieprzypisudolnego"/>
        </w:rPr>
        <w:footnoteRef/>
      </w:r>
      <w:r>
        <w:t xml:space="preserve"> Dyrektywa</w:t>
      </w:r>
      <w:r w:rsidRPr="00407A4B">
        <w:t xml:space="preserve"> 91/271/EWG</w:t>
      </w:r>
    </w:p>
  </w:footnote>
  <w:footnote w:id="120">
    <w:p w:rsidR="00C96A96" w:rsidRDefault="00C96A96" w:rsidP="0002200C">
      <w:pPr>
        <w:pStyle w:val="Tekstprzypisudolnego"/>
        <w:jc w:val="left"/>
      </w:pPr>
      <w:r>
        <w:rPr>
          <w:rStyle w:val="Odwoanieprzypisudolnego"/>
        </w:rPr>
        <w:footnoteRef/>
      </w:r>
      <w:r>
        <w:t xml:space="preserve"> Dane na dzień przekazania Strategii do zatwierdzenia przez IZ FEDS 2021-2027 i IZ FENIKS 2021-2027. W okresie realizacji Strategii kwoty mogą ulec zmianie.</w:t>
      </w:r>
    </w:p>
  </w:footnote>
  <w:footnote w:id="121">
    <w:p w:rsidR="00C96A96" w:rsidRDefault="00C96A96" w:rsidP="0002200C">
      <w:pPr>
        <w:pStyle w:val="Tekstprzypisudolnego"/>
        <w:jc w:val="left"/>
      </w:pPr>
      <w:r>
        <w:rPr>
          <w:rStyle w:val="Odwoanieprzypisudolnego"/>
        </w:rPr>
        <w:footnoteRef/>
      </w:r>
      <w:r>
        <w:t xml:space="preserve"> </w:t>
      </w:r>
      <w:proofErr w:type="spellStart"/>
      <w:r>
        <w:t>FEnIKS</w:t>
      </w:r>
      <w:proofErr w:type="spellEnd"/>
      <w:r>
        <w:t xml:space="preserve"> 2021-2027, Priorytet III. Transport Miejski, zawiera tylko Cel szczegółowy 2.8 </w:t>
      </w:r>
      <w:r w:rsidRPr="00047F34">
        <w:rPr>
          <w:rFonts w:ascii="Calibri" w:eastAsia="Calibri" w:hAnsi="Calibri" w:cs="Times New Roman"/>
          <w:bCs/>
        </w:rPr>
        <w:t xml:space="preserve">Wspieranie zrównoważonej </w:t>
      </w:r>
      <w:r w:rsidRPr="00047F34">
        <w:rPr>
          <w:rFonts w:eastAsia="Calibri" w:cs="Times New Roman"/>
          <w:bCs/>
        </w:rPr>
        <w:t>multimodalnej mobilności miejskiej jako elementu transformacji w kierunku gospodarki zero emisyjnej</w:t>
      </w:r>
      <w:r>
        <w:rPr>
          <w:rFonts w:eastAsia="Calibri" w:cs="Times New Roman"/>
          <w:bCs/>
        </w:rPr>
        <w:t>.</w:t>
      </w:r>
    </w:p>
  </w:footnote>
  <w:footnote w:id="122">
    <w:p w:rsidR="00C96A96" w:rsidRDefault="00C96A96" w:rsidP="00FF3CCF">
      <w:pPr>
        <w:autoSpaceDE w:val="0"/>
        <w:autoSpaceDN w:val="0"/>
        <w:adjustRightInd w:val="0"/>
        <w:spacing w:after="0" w:line="240" w:lineRule="auto"/>
        <w:jc w:val="left"/>
        <w:rPr>
          <w:rFonts w:ascii="TimesNewRoman" w:hAnsi="TimesNewRoman" w:cs="TimesNewRoman"/>
          <w:sz w:val="20"/>
          <w:szCs w:val="20"/>
        </w:rPr>
      </w:pPr>
      <w:r>
        <w:rPr>
          <w:rStyle w:val="Odwoanieprzypisudolnego"/>
        </w:rPr>
        <w:footnoteRef/>
      </w:r>
      <w:r>
        <w:rPr>
          <w:sz w:val="20"/>
          <w:szCs w:val="24"/>
        </w:rPr>
        <w:t xml:space="preserve"> Art. 34. ust. 5 Ustawy W</w:t>
      </w:r>
      <w:r w:rsidRPr="00BA04F7">
        <w:rPr>
          <w:sz w:val="20"/>
          <w:szCs w:val="24"/>
        </w:rPr>
        <w:t>drożeniowej: ZIT są zarządzane przez związek ZIT utworzony w jednej z form współpracy jednostek samorządu terytorialnego, o których mowa w art. 64, art. 74 i art. 84 ustawy z dnia 8 marca 1990 r. o samorządzie gminnym (Dz. U. z 2022 r. poz. 559, 583 i 1005) albo w ustawie z dnia 9 marca 2017 r. o związku metropolitalnym w województwie śląskim (Dz. U. z 2022 r. poz. 439 i 583), a w przypadku udziału w związku ZIT powiatu stosuje się również przepisy art. 5 ust. 2, art. 72a, ar</w:t>
      </w:r>
      <w:r>
        <w:rPr>
          <w:sz w:val="20"/>
          <w:szCs w:val="24"/>
        </w:rPr>
        <w:t>t. 73 i art. 75 ustawy z dnia 5 </w:t>
      </w:r>
      <w:r w:rsidRPr="00BA04F7">
        <w:rPr>
          <w:sz w:val="20"/>
          <w:szCs w:val="24"/>
        </w:rPr>
        <w:t>czerwca 1998 r. o samorządzie powiatowym (Dz. U. z 2022 r. poz. 528 i 583).</w:t>
      </w:r>
    </w:p>
  </w:footnote>
  <w:footnote w:id="123">
    <w:p w:rsidR="00C96A96" w:rsidRDefault="00C96A96" w:rsidP="00D72C00">
      <w:pPr>
        <w:pStyle w:val="Tekstprzypisudolnego"/>
        <w:jc w:val="left"/>
      </w:pPr>
      <w:r>
        <w:rPr>
          <w:rStyle w:val="Odwoanieprzypisudolnego"/>
        </w:rPr>
        <w:footnoteRef/>
      </w:r>
      <w:r>
        <w:t xml:space="preserve"> Przy czym na etapie realizacji jest możliwe przesunięcie terminu realizacji projektu w uzasadnionych przypadkach</w:t>
      </w:r>
    </w:p>
  </w:footnote>
  <w:footnote w:id="124">
    <w:p w:rsidR="00C96A96" w:rsidRDefault="00C96A96" w:rsidP="00CF1B43">
      <w:pPr>
        <w:pStyle w:val="Tekstprzypisudolnego"/>
        <w:jc w:val="left"/>
      </w:pPr>
      <w:r>
        <w:rPr>
          <w:rStyle w:val="Odwoanieprzypisudolnego"/>
        </w:rPr>
        <w:footnoteRef/>
      </w:r>
      <w:r>
        <w:t xml:space="preserve"> Ewaluacja – Poradnik dla pracowników administracji publicznej, 2022, Ministerstwo Rozwoju Regionalnego, Warszawa. </w:t>
      </w:r>
    </w:p>
  </w:footnote>
  <w:footnote w:id="125">
    <w:p w:rsidR="00C96A96" w:rsidRPr="006174E4" w:rsidRDefault="00C96A96" w:rsidP="006174E4">
      <w:pPr>
        <w:pStyle w:val="Tekstprzypisudolnego"/>
        <w:jc w:val="left"/>
      </w:pPr>
      <w:r w:rsidRPr="006174E4">
        <w:rPr>
          <w:rStyle w:val="Odwoanieprzypisudolnego"/>
        </w:rPr>
        <w:footnoteRef/>
      </w:r>
      <w:r w:rsidRPr="006174E4">
        <w:t xml:space="preserve"> Komunikat Komisji do Parlamentu Europejskiego, Rady Europejskiej, Rady, Komitetu ekonomiczno-społecznego i Komitetu Regionów Europejski Zielony Ład</w:t>
      </w:r>
    </w:p>
    <w:p w:rsidR="00C96A96" w:rsidRDefault="00C96A96" w:rsidP="006174E4">
      <w:pPr>
        <w:pStyle w:val="Tekstprzypisudolnego"/>
        <w:jc w:val="left"/>
      </w:pPr>
      <w:r w:rsidRPr="006174E4">
        <w:t xml:space="preserve">COM/2019/640 </w:t>
      </w:r>
      <w:proofErr w:type="spellStart"/>
      <w:r w:rsidRPr="006174E4">
        <w:t>final</w:t>
      </w:r>
      <w:proofErr w:type="spellEnd"/>
    </w:p>
  </w:footnote>
  <w:footnote w:id="126">
    <w:p w:rsidR="00C96A96" w:rsidRDefault="00C96A96" w:rsidP="006174E4">
      <w:pPr>
        <w:pStyle w:val="Tekstprzypisudolnego"/>
        <w:jc w:val="left"/>
      </w:pPr>
      <w:r>
        <w:rPr>
          <w:rStyle w:val="Odwoanieprzypisudolnego"/>
        </w:rPr>
        <w:footnoteRef/>
      </w:r>
      <w:r>
        <w:t xml:space="preserve"> Zgodnie z zapisami </w:t>
      </w:r>
      <w:r w:rsidRPr="002B70CE">
        <w:t xml:space="preserve">Strategia Rozwoju Województwa Dolnośląskiego 2030, terytorium WrOF identyfikowane jest jako obszar obejmujący swoim zasięgiem </w:t>
      </w:r>
      <w:r>
        <w:t xml:space="preserve">cały </w:t>
      </w:r>
      <w:r w:rsidRPr="002B70CE">
        <w:t xml:space="preserve">podregion wrocławski (łącznie </w:t>
      </w:r>
      <w:r>
        <w:t xml:space="preserve">44 gminy), a więc szerszy niż identyfikowany w niniejszej strategii, który obejmuje 19 jednostek. </w:t>
      </w:r>
    </w:p>
  </w:footnote>
  <w:footnote w:id="127">
    <w:p w:rsidR="00C96A96" w:rsidRDefault="00C96A96" w:rsidP="006174E4">
      <w:pPr>
        <w:pStyle w:val="Tekstprzypisudolnego"/>
        <w:jc w:val="left"/>
      </w:pPr>
      <w:r>
        <w:rPr>
          <w:rStyle w:val="Odwoanieprzypisudolnego"/>
        </w:rPr>
        <w:footnoteRef/>
      </w:r>
      <w:r>
        <w:t xml:space="preserve"> Plan zagospodarowania przestrzennego Wrocławskiego Obszaru Funkcjonalnego stanowi rozdział w Planie Zagospodarowania Przestrzennego Województwa Dolnośląskiego (s. 71 -100)</w:t>
      </w:r>
    </w:p>
  </w:footnote>
  <w:footnote w:id="128">
    <w:p w:rsidR="00C96A96" w:rsidRDefault="00C96A96" w:rsidP="00ED1504">
      <w:pPr>
        <w:pStyle w:val="Tekstprzypisudolnego"/>
        <w:jc w:val="left"/>
      </w:pPr>
      <w:r>
        <w:rPr>
          <w:rStyle w:val="Odwoanieprzypisudolnego"/>
        </w:rPr>
        <w:footnoteRef/>
      </w:r>
      <w:r>
        <w:rPr>
          <w:iCs/>
        </w:rPr>
        <w:t xml:space="preserve"> </w:t>
      </w:r>
      <w:r w:rsidRPr="00181A4F">
        <w:rPr>
          <w:iCs/>
        </w:rPr>
        <w:t>Wskaźniki do oceny sytuacji finansowej jednostek samorz</w:t>
      </w:r>
      <w:r>
        <w:rPr>
          <w:iCs/>
        </w:rPr>
        <w:t>ądu terytorialnego w latach 2019-2021</w:t>
      </w:r>
      <w:r w:rsidRPr="00181A4F">
        <w:rPr>
          <w:iCs/>
        </w:rPr>
        <w:t>, Mini</w:t>
      </w:r>
      <w:r>
        <w:rPr>
          <w:iCs/>
        </w:rPr>
        <w:t>sterstwo Finansów, Warszawa 2022</w:t>
      </w:r>
    </w:p>
  </w:footnote>
  <w:footnote w:id="129">
    <w:p w:rsidR="00C96A96" w:rsidRDefault="00C96A96" w:rsidP="00337060">
      <w:pPr>
        <w:pStyle w:val="Tekstprzypisudolnego"/>
        <w:jc w:val="left"/>
      </w:pPr>
      <w:r>
        <w:rPr>
          <w:rStyle w:val="Odwoanieprzypisudolnego"/>
        </w:rPr>
        <w:footnoteRef/>
      </w:r>
      <w:r>
        <w:t xml:space="preserve"> Projekty na które pozyskano dofinansowanie w perspektywie finansowej 2014-2020.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0178B1">
    <w:pPr>
      <w:pStyle w:val="Nagwek"/>
      <w:rPr>
        <w:i/>
        <w:iCs/>
        <w:color w:val="6A91B3"/>
        <w:sz w:val="18"/>
        <w:szCs w:val="18"/>
      </w:rPr>
    </w:pPr>
    <w:r w:rsidRPr="001473F1">
      <w:rPr>
        <w:b/>
        <w:color w:val="000000" w:themeColor="text1"/>
        <w:szCs w:val="23"/>
      </w:rPr>
      <w:t>Strategia Zintegrowanych Inwestycji Terytorialnych na lata 2021-2027</w:t>
    </w:r>
    <w:r>
      <w:rPr>
        <w:rStyle w:val="nadtabelaZnak"/>
      </w:rPr>
      <w:pict>
        <v:rect id="_x0000_i1026" style="width:453.6pt;height:1pt" o:hralign="center" o:hrstd="t" o:hrnoshade="t" o:hr="t" fillcolor="black [3213]" stroked="f"/>
      </w:pict>
    </w:r>
  </w:p>
  <w:p w:rsidR="00C96A96" w:rsidRDefault="00C96A96">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jc w:val="right"/>
      <w:rPr>
        <w:i/>
        <w:iCs/>
        <w:color w:val="6A91B3"/>
        <w:sz w:val="18"/>
        <w:szCs w:val="18"/>
      </w:rPr>
    </w:pPr>
    <w:r w:rsidRPr="00E60C99">
      <w:rPr>
        <w:color w:val="FFFFFF" w:themeColor="background1"/>
        <w:sz w:val="20"/>
        <w:szCs w:val="23"/>
      </w:rPr>
      <w:t>Wrocławski Obszar Funkcjonalny</w:t>
    </w:r>
    <w:r>
      <w:rPr>
        <w:rStyle w:val="nadtabelaZnak"/>
      </w:rPr>
      <w:pict>
        <v:rect id="_x0000_i1047" style="width:453.6pt;height:1pt" o:hralign="center" o:hrstd="t" o:hrnoshade="t" o:hr="t" fillcolor="gray" stroked="f"/>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110DC5" w:rsidRDefault="00C96A96" w:rsidP="00B37216">
    <w:pPr>
      <w:pStyle w:val="Nagwek"/>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rPr>
        <w:i/>
        <w:iCs/>
        <w:color w:val="6A91B3"/>
        <w:sz w:val="18"/>
        <w:szCs w:val="18"/>
      </w:rPr>
    </w:pPr>
    <w:r w:rsidRPr="006C6B0E">
      <w:rPr>
        <w:color w:val="6A91B3"/>
        <w:sz w:val="20"/>
        <w:szCs w:val="23"/>
      </w:rPr>
      <w:t>Strategia Zintegrowanych Inwestycji Terytorialnych na lata 2021-2027</w:t>
    </w:r>
    <w:r>
      <w:rPr>
        <w:rStyle w:val="nadtabelaZnak"/>
      </w:rPr>
      <w:pict>
        <v:rect id="_x0000_i1049" style="width:453.6pt;height:1pt" o:hralign="center" o:hrstd="t" o:hrnoshade="t" o:hr="t" fillcolor="gray" stroked="f"/>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jc w:val="right"/>
      <w:rPr>
        <w:i/>
        <w:iCs/>
        <w:color w:val="6A91B3"/>
        <w:sz w:val="18"/>
        <w:szCs w:val="18"/>
      </w:rPr>
    </w:pPr>
    <w:r w:rsidRPr="00337060">
      <w:rPr>
        <w:color w:val="FFFFFF" w:themeColor="background1"/>
        <w:sz w:val="20"/>
        <w:szCs w:val="23"/>
      </w:rPr>
      <w:t>Wrocławski Obszar Funkcjonalny</w:t>
    </w:r>
    <w:r>
      <w:rPr>
        <w:rStyle w:val="nadtabelaZnak"/>
      </w:rPr>
      <w:pict>
        <v:rect id="_x0000_i1050" style="width:453.6pt;height:1pt" o:hralign="center" o:hrstd="t" o:hrnoshade="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0178B1">
    <w:pPr>
      <w:pStyle w:val="Nagwek"/>
      <w:jc w:val="right"/>
      <w:rPr>
        <w:i/>
        <w:iCs/>
        <w:color w:val="6A91B3"/>
        <w:sz w:val="18"/>
        <w:szCs w:val="18"/>
      </w:rPr>
    </w:pPr>
    <w:r>
      <w:tab/>
    </w:r>
    <w:r w:rsidRPr="001473F1">
      <w:rPr>
        <w:b/>
        <w:color w:val="000000" w:themeColor="text1"/>
        <w:szCs w:val="23"/>
      </w:rPr>
      <w:t>Wrocławski Obszar Funkcjonalny</w:t>
    </w:r>
    <w:r>
      <w:rPr>
        <w:rStyle w:val="nadtabelaZnak"/>
      </w:rPr>
      <w:pict>
        <v:rect id="_x0000_i1027" style="width:453.6pt;height:1pt" o:hralign="center" o:hrstd="t" o:hrnoshade="t" o:hr="t" fillcolor="black [3213]" stroked="f"/>
      </w:pict>
    </w:r>
  </w:p>
  <w:p w:rsidR="00C96A96" w:rsidRDefault="00C96A96" w:rsidP="000178B1">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0178B1">
    <w:pPr>
      <w:pStyle w:val="Nagwek"/>
      <w:rPr>
        <w:i/>
        <w:iCs/>
        <w:color w:val="6A91B3"/>
        <w:sz w:val="18"/>
        <w:szCs w:val="18"/>
      </w:rPr>
    </w:pPr>
    <w:r>
      <w:rPr>
        <w:color w:val="6A91B3"/>
        <w:sz w:val="20"/>
        <w:szCs w:val="23"/>
      </w:rPr>
      <w:t xml:space="preserve">Strategia Zintegrowanych Inwestycji Terytorialnych na lata </w:t>
    </w:r>
    <w:r w:rsidRPr="009447E1">
      <w:rPr>
        <w:color w:val="6A91B3"/>
        <w:sz w:val="20"/>
        <w:szCs w:val="23"/>
      </w:rPr>
      <w:t>2021-2027</w:t>
    </w:r>
    <w:r>
      <w:rPr>
        <w:rStyle w:val="nadtabelaZnak"/>
      </w:rPr>
      <w:pict>
        <v:rect id="_x0000_i1030" style="width:453.6pt;height:1pt" o:hralign="center" o:hrstd="t" o:hrnoshade="t" o:hr="t" fillcolor="gray" stroked="f"/>
      </w:pict>
    </w:r>
  </w:p>
  <w:p w:rsidR="00C96A96" w:rsidRDefault="00C96A96">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0178B1">
    <w:pPr>
      <w:pStyle w:val="Nagwek"/>
      <w:rPr>
        <w:i/>
        <w:iCs/>
        <w:color w:val="6A91B3"/>
        <w:sz w:val="18"/>
        <w:szCs w:val="18"/>
      </w:rPr>
    </w:pPr>
    <w:r>
      <w:rPr>
        <w:color w:val="6A91B3"/>
        <w:sz w:val="20"/>
        <w:szCs w:val="23"/>
      </w:rPr>
      <w:t xml:space="preserve">Strategia Zintegrowanych Inwestycji Terytorialnych na lata </w:t>
    </w:r>
    <w:r w:rsidRPr="009447E1">
      <w:rPr>
        <w:color w:val="6A91B3"/>
        <w:sz w:val="20"/>
        <w:szCs w:val="23"/>
      </w:rPr>
      <w:t>2021-2027</w:t>
    </w:r>
    <w:r>
      <w:rPr>
        <w:rStyle w:val="nadtabelaZnak"/>
      </w:rPr>
      <w:pict>
        <v:rect id="_x0000_i1036" style="width:453.6pt;height:1pt" o:hralign="center" o:hrstd="t" o:hrnoshade="t" o:hr="t" fillcolor="gray" stroked="f"/>
      </w:pict>
    </w:r>
  </w:p>
  <w:p w:rsidR="00C96A96" w:rsidRDefault="00C96A96">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rPr>
        <w:i/>
        <w:iCs/>
        <w:color w:val="6A91B3"/>
        <w:sz w:val="18"/>
        <w:szCs w:val="18"/>
      </w:rPr>
    </w:pPr>
    <w:r>
      <w:rPr>
        <w:color w:val="6A91B3"/>
        <w:sz w:val="20"/>
        <w:szCs w:val="23"/>
      </w:rPr>
      <w:t xml:space="preserve">Strategia Zintegrowanych Inwestycji Terytorialnych na lata </w:t>
    </w:r>
    <w:r w:rsidRPr="002840C1">
      <w:rPr>
        <w:color w:val="6A91B3"/>
        <w:sz w:val="20"/>
        <w:szCs w:val="23"/>
      </w:rPr>
      <w:t>2021-2027</w:t>
    </w:r>
    <w:r>
      <w:rPr>
        <w:rStyle w:val="nadtabelaZnak"/>
      </w:rPr>
      <w:pict>
        <v:rect id="_x0000_i1042" style="width:453.6pt;height:1pt" o:hralign="center" o:hrstd="t" o:hrnoshade="t" o:hr="t" fillcolor="gray" stroked="f"/>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jc w:val="right"/>
      <w:rPr>
        <w:i/>
        <w:iCs/>
        <w:color w:val="6A91B3"/>
        <w:sz w:val="18"/>
        <w:szCs w:val="18"/>
      </w:rPr>
    </w:pPr>
    <w:r w:rsidRPr="00A80C29">
      <w:rPr>
        <w:color w:val="FFFFFF" w:themeColor="background1"/>
        <w:sz w:val="20"/>
        <w:szCs w:val="23"/>
      </w:rPr>
      <w:t>Wrocławski Obszar Funkcjonalny</w:t>
    </w:r>
    <w:r>
      <w:rPr>
        <w:rStyle w:val="nadtabelaZnak"/>
      </w:rPr>
      <w:pict>
        <v:rect id="_x0000_i1043" style="width:453.6pt;height:1pt" o:hralign="center" o:hrstd="t" o:hrnoshade="t" o:hr="t" fillcolor="gray" stroked="f"/>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rPr>
        <w:i/>
        <w:iCs/>
        <w:color w:val="6A91B3"/>
        <w:sz w:val="18"/>
        <w:szCs w:val="18"/>
      </w:rPr>
    </w:pPr>
    <w:r>
      <w:rPr>
        <w:color w:val="6A91B3"/>
        <w:sz w:val="20"/>
        <w:szCs w:val="23"/>
      </w:rPr>
      <w:t xml:space="preserve">Strategia Zintegrowanych Inwestycji Terytorialnych na lata </w:t>
    </w:r>
    <w:r w:rsidRPr="002840C1">
      <w:rPr>
        <w:color w:val="6A91B3"/>
        <w:sz w:val="20"/>
        <w:szCs w:val="23"/>
      </w:rPr>
      <w:t>2021-2027</w:t>
    </w:r>
    <w:r>
      <w:rPr>
        <w:rStyle w:val="nadtabelaZnak"/>
      </w:rPr>
      <w:pict>
        <v:rect id="_x0000_i1044" style="width:453.6pt;height:1pt" o:hralign="center" o:hrstd="t" o:hrnoshade="t" o:hr="t" fillcolor="gray" stroked="f"/>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jc w:val="right"/>
      <w:rPr>
        <w:i/>
        <w:iCs/>
        <w:color w:val="6A91B3"/>
        <w:sz w:val="18"/>
        <w:szCs w:val="18"/>
      </w:rPr>
    </w:pPr>
    <w:r w:rsidRPr="00E60C99">
      <w:rPr>
        <w:color w:val="FFFFFF" w:themeColor="background1"/>
        <w:sz w:val="20"/>
        <w:szCs w:val="23"/>
      </w:rPr>
      <w:t>Wrocławski Obszar Funkcjonalny</w:t>
    </w:r>
    <w:r>
      <w:rPr>
        <w:rStyle w:val="nadtabelaZnak"/>
      </w:rPr>
      <w:pict>
        <v:rect id="_x0000_i1045" style="width:453.6pt;height:1pt" o:hralign="center" o:hrstd="t" o:hrnoshade="t" o:hr="t" fillcolor="gray" stroked="f"/>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A96" w:rsidRPr="00E75AC4" w:rsidRDefault="00C96A96" w:rsidP="006307DD">
    <w:pPr>
      <w:pStyle w:val="Nagwek"/>
      <w:rPr>
        <w:i/>
        <w:iCs/>
        <w:color w:val="6A91B3"/>
        <w:sz w:val="18"/>
        <w:szCs w:val="18"/>
      </w:rPr>
    </w:pPr>
    <w:r>
      <w:rPr>
        <w:color w:val="6A91B3"/>
        <w:sz w:val="20"/>
        <w:szCs w:val="23"/>
      </w:rPr>
      <w:t xml:space="preserve">Strategia Zintegrowanych Inwestycji Terytorialnych na lata </w:t>
    </w:r>
    <w:r w:rsidRPr="002840C1">
      <w:rPr>
        <w:color w:val="6A91B3"/>
        <w:sz w:val="20"/>
        <w:szCs w:val="23"/>
      </w:rPr>
      <w:t>2021-2027</w:t>
    </w:r>
    <w:r>
      <w:rPr>
        <w:rStyle w:val="nadtabelaZnak"/>
      </w:rPr>
      <w:pict>
        <v:rect id="_x0000_i1046" style="width:453.6pt;height:1pt" o:hralign="center" o:hrstd="t" o:hrnoshade="t" o:hr="t" fillcolor="gray"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pt;height:66pt" o:bullet="t">
        <v:imagedata r:id="rId1" o:title="3Zasób 2"/>
      </v:shape>
    </w:pict>
  </w:numPicBullet>
  <w:abstractNum w:abstractNumId="0">
    <w:nsid w:val="FFFFFF89"/>
    <w:multiLevelType w:val="singleLevel"/>
    <w:tmpl w:val="38242DA8"/>
    <w:lvl w:ilvl="0">
      <w:start w:val="1"/>
      <w:numFmt w:val="bullet"/>
      <w:pStyle w:val="Listapunktowana1"/>
      <w:lvlText w:val=""/>
      <w:lvlJc w:val="left"/>
      <w:pPr>
        <w:tabs>
          <w:tab w:val="num" w:pos="360"/>
        </w:tabs>
        <w:ind w:left="360" w:hanging="360"/>
      </w:pPr>
      <w:rPr>
        <w:rFonts w:ascii="Symbol" w:hAnsi="Symbol" w:hint="default"/>
      </w:rPr>
    </w:lvl>
  </w:abstractNum>
  <w:abstractNum w:abstractNumId="1">
    <w:nsid w:val="00000003"/>
    <w:multiLevelType w:val="multilevel"/>
    <w:tmpl w:val="F07A2EB6"/>
    <w:name w:val="WWNum9"/>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62DAE1DE"/>
    <w:name w:val="WWNum12"/>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6D34DFE8"/>
    <w:name w:val="WWNum14"/>
    <w:lvl w:ilvl="0">
      <w:start w:val="1"/>
      <w:numFmt w:val="bullet"/>
      <w:lvlText w:val=""/>
      <w:lvlPicBulletId w:val="0"/>
      <w:lvlJc w:val="left"/>
      <w:pPr>
        <w:tabs>
          <w:tab w:val="num" w:pos="0"/>
        </w:tabs>
        <w:ind w:left="720" w:hanging="360"/>
      </w:pPr>
      <w:rPr>
        <w:rFonts w:ascii="Symbol" w:hAnsi="Symbol" w:hint="default"/>
        <w:color w:val="auto"/>
        <w:sz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6"/>
    <w:multiLevelType w:val="multilevel"/>
    <w:tmpl w:val="F41A2E32"/>
    <w:name w:val="WWNum16"/>
    <w:lvl w:ilvl="0">
      <w:start w:val="1"/>
      <w:numFmt w:val="bullet"/>
      <w:lvlText w:val=""/>
      <w:lvlPicBulletId w:val="0"/>
      <w:lvlJc w:val="left"/>
      <w:pPr>
        <w:tabs>
          <w:tab w:val="num" w:pos="0"/>
        </w:tabs>
        <w:ind w:left="720" w:hanging="360"/>
      </w:pPr>
      <w:rPr>
        <w:rFonts w:ascii="Symbol" w:hAnsi="Symbol" w:hint="default"/>
        <w:color w:val="auto"/>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7"/>
    <w:multiLevelType w:val="multilevel"/>
    <w:tmpl w:val="FA6A5582"/>
    <w:name w:val="WWNum17"/>
    <w:lvl w:ilvl="0">
      <w:start w:val="1"/>
      <w:numFmt w:val="bullet"/>
      <w:lvlText w:val=""/>
      <w:lvlPicBulletId w:val="0"/>
      <w:lvlJc w:val="left"/>
      <w:pPr>
        <w:tabs>
          <w:tab w:val="num" w:pos="0"/>
        </w:tabs>
        <w:ind w:left="720" w:hanging="360"/>
      </w:pPr>
      <w:rPr>
        <w:rFonts w:ascii="Symbol" w:hAnsi="Symbol" w:hint="default"/>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2EB2913"/>
    <w:multiLevelType w:val="hybridMultilevel"/>
    <w:tmpl w:val="ED5EB0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33418A6"/>
    <w:multiLevelType w:val="hybridMultilevel"/>
    <w:tmpl w:val="66F2CF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038C4490"/>
    <w:multiLevelType w:val="hybridMultilevel"/>
    <w:tmpl w:val="824AE612"/>
    <w:lvl w:ilvl="0" w:tplc="BA945A1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5640B36"/>
    <w:multiLevelType w:val="hybridMultilevel"/>
    <w:tmpl w:val="A27041BE"/>
    <w:lvl w:ilvl="0" w:tplc="E488CBB4">
      <w:start w:val="1"/>
      <w:numFmt w:val="bullet"/>
      <w:lvlText w:val=""/>
      <w:lvlPicBulletId w:val="0"/>
      <w:lvlJc w:val="left"/>
      <w:pPr>
        <w:ind w:left="360" w:hanging="360"/>
      </w:pPr>
      <w:rPr>
        <w:rFonts w:ascii="Symbol" w:hAnsi="Symbol" w:hint="default"/>
        <w:b w:val="0"/>
        <w:color w:val="auto"/>
        <w:sz w:val="16"/>
        <w:szCs w:val="1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78954F4"/>
    <w:multiLevelType w:val="hybridMultilevel"/>
    <w:tmpl w:val="B526E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A0C0D69"/>
    <w:multiLevelType w:val="hybridMultilevel"/>
    <w:tmpl w:val="EA1CDFE4"/>
    <w:lvl w:ilvl="0" w:tplc="04150001">
      <w:start w:val="1"/>
      <w:numFmt w:val="bullet"/>
      <w:lvlText w:val=""/>
      <w:lvlJc w:val="left"/>
      <w:pPr>
        <w:ind w:left="360" w:hanging="360"/>
      </w:pPr>
      <w:rPr>
        <w:rFonts w:ascii="Symbol" w:hAnsi="Symbol"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nsid w:val="0D372EA4"/>
    <w:multiLevelType w:val="hybridMultilevel"/>
    <w:tmpl w:val="0DBE85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FBF50B2"/>
    <w:multiLevelType w:val="hybridMultilevel"/>
    <w:tmpl w:val="1FDEDA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0FD92487"/>
    <w:multiLevelType w:val="hybridMultilevel"/>
    <w:tmpl w:val="B6767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100D69FC"/>
    <w:multiLevelType w:val="hybridMultilevel"/>
    <w:tmpl w:val="8F4CE9E6"/>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nsid w:val="10BD44C5"/>
    <w:multiLevelType w:val="hybridMultilevel"/>
    <w:tmpl w:val="16BA3C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017A20"/>
    <w:multiLevelType w:val="hybridMultilevel"/>
    <w:tmpl w:val="FED02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5A74F8D"/>
    <w:multiLevelType w:val="hybridMultilevel"/>
    <w:tmpl w:val="B76069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95E651E"/>
    <w:multiLevelType w:val="hybridMultilevel"/>
    <w:tmpl w:val="5BF89078"/>
    <w:lvl w:ilvl="0" w:tplc="89A28E30">
      <w:start w:val="1"/>
      <w:numFmt w:val="bullet"/>
      <w:lvlText w:val=""/>
      <w:lvlPicBulletId w:val="0"/>
      <w:lvlJc w:val="left"/>
      <w:pPr>
        <w:ind w:left="776" w:hanging="360"/>
      </w:pPr>
      <w:rPr>
        <w:rFonts w:ascii="Symbol" w:hAnsi="Symbol" w:hint="default"/>
        <w:color w:val="auto"/>
        <w:sz w:val="22"/>
        <w:szCs w:val="22"/>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20">
    <w:nsid w:val="199F1CA8"/>
    <w:multiLevelType w:val="hybridMultilevel"/>
    <w:tmpl w:val="31560400"/>
    <w:lvl w:ilvl="0" w:tplc="04150001">
      <w:start w:val="1"/>
      <w:numFmt w:val="bullet"/>
      <w:pStyle w:val="Listapunktowan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1A3A4EFA"/>
    <w:multiLevelType w:val="hybridMultilevel"/>
    <w:tmpl w:val="D0D61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AE04359"/>
    <w:multiLevelType w:val="hybridMultilevel"/>
    <w:tmpl w:val="9446B7A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BA65A70"/>
    <w:multiLevelType w:val="hybridMultilevel"/>
    <w:tmpl w:val="AB74F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10C0219"/>
    <w:multiLevelType w:val="hybridMultilevel"/>
    <w:tmpl w:val="4F9A56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27238EA"/>
    <w:multiLevelType w:val="hybridMultilevel"/>
    <w:tmpl w:val="6480D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5723CE0"/>
    <w:multiLevelType w:val="hybridMultilevel"/>
    <w:tmpl w:val="DE341A18"/>
    <w:lvl w:ilvl="0" w:tplc="FEAA57C2">
      <w:start w:val="1"/>
      <w:numFmt w:val="bullet"/>
      <w:lvlText w:val=""/>
      <w:lvlPicBulletId w:val="0"/>
      <w:lvlJc w:val="left"/>
      <w:pPr>
        <w:ind w:left="720" w:hanging="360"/>
      </w:pPr>
      <w:rPr>
        <w:rFonts w:ascii="Symbol" w:hAnsi="Symbol" w:hint="default"/>
        <w:color w:val="auto"/>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25AB3BB5"/>
    <w:multiLevelType w:val="hybridMultilevel"/>
    <w:tmpl w:val="83AE5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8087C2C"/>
    <w:multiLevelType w:val="hybridMultilevel"/>
    <w:tmpl w:val="F02C7B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97C2BDE"/>
    <w:multiLevelType w:val="hybridMultilevel"/>
    <w:tmpl w:val="18AA7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A1479B6"/>
    <w:multiLevelType w:val="hybridMultilevel"/>
    <w:tmpl w:val="AEE03656"/>
    <w:lvl w:ilvl="0" w:tplc="04150017">
      <w:start w:val="1"/>
      <w:numFmt w:val="lowerLetter"/>
      <w:lvlText w:val="%1)"/>
      <w:lvlJc w:val="left"/>
      <w:pPr>
        <w:ind w:left="720" w:hanging="360"/>
      </w:pPr>
    </w:lvl>
    <w:lvl w:ilvl="1" w:tplc="EBEAFD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A4847CD"/>
    <w:multiLevelType w:val="hybridMultilevel"/>
    <w:tmpl w:val="A894BF7E"/>
    <w:lvl w:ilvl="0" w:tplc="BA945A16">
      <w:start w:val="1"/>
      <w:numFmt w:val="bullet"/>
      <w:lvlText w:val=""/>
      <w:lvlPicBulletId w:val="0"/>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E244433"/>
    <w:multiLevelType w:val="multilevel"/>
    <w:tmpl w:val="317CF0CC"/>
    <w:styleLink w:val="WWNum58"/>
    <w:lvl w:ilvl="0">
      <w:numFmt w:val="bullet"/>
      <w:lvlText w:val=""/>
      <w:lvlJc w:val="left"/>
      <w:pPr>
        <w:ind w:left="1080" w:hanging="360"/>
      </w:pPr>
      <w:rPr>
        <w:rFonts w:ascii="Symbol" w:hAnsi="Symbol" w:cs="OpenSymbol"/>
      </w:rPr>
    </w:lvl>
    <w:lvl w:ilvl="1">
      <w:numFmt w:val="bullet"/>
      <w:lvlText w:val="◦"/>
      <w:lvlJc w:val="left"/>
      <w:pPr>
        <w:ind w:left="1440" w:hanging="360"/>
      </w:pPr>
      <w:rPr>
        <w:rFonts w:ascii="OpenSymbol" w:hAnsi="OpenSymbol" w:cs="OpenSymbol"/>
      </w:rPr>
    </w:lvl>
    <w:lvl w:ilvl="2">
      <w:numFmt w:val="bullet"/>
      <w:lvlText w:val="▪"/>
      <w:lvlJc w:val="left"/>
      <w:pPr>
        <w:ind w:left="1800" w:hanging="360"/>
      </w:pPr>
      <w:rPr>
        <w:rFonts w:ascii="OpenSymbol" w:hAnsi="OpenSymbol" w:cs="OpenSymbol"/>
      </w:rPr>
    </w:lvl>
    <w:lvl w:ilvl="3">
      <w:numFmt w:val="bullet"/>
      <w:lvlText w:val=""/>
      <w:lvlJc w:val="left"/>
      <w:pPr>
        <w:ind w:left="2160" w:hanging="360"/>
      </w:pPr>
      <w:rPr>
        <w:rFonts w:ascii="Symbol" w:hAnsi="Symbol" w:cs="OpenSymbol"/>
      </w:rPr>
    </w:lvl>
    <w:lvl w:ilvl="4">
      <w:numFmt w:val="bullet"/>
      <w:lvlText w:val="◦"/>
      <w:lvlJc w:val="left"/>
      <w:pPr>
        <w:ind w:left="2520" w:hanging="360"/>
      </w:pPr>
      <w:rPr>
        <w:rFonts w:ascii="OpenSymbol" w:hAnsi="OpenSymbol" w:cs="OpenSymbol"/>
      </w:rPr>
    </w:lvl>
    <w:lvl w:ilvl="5">
      <w:numFmt w:val="bullet"/>
      <w:lvlText w:val="▪"/>
      <w:lvlJc w:val="left"/>
      <w:pPr>
        <w:ind w:left="2880" w:hanging="360"/>
      </w:pPr>
      <w:rPr>
        <w:rFonts w:ascii="OpenSymbol" w:hAnsi="OpenSymbol" w:cs="OpenSymbol"/>
      </w:rPr>
    </w:lvl>
    <w:lvl w:ilvl="6">
      <w:numFmt w:val="bullet"/>
      <w:lvlText w:val=""/>
      <w:lvlJc w:val="left"/>
      <w:pPr>
        <w:ind w:left="3240" w:hanging="360"/>
      </w:pPr>
      <w:rPr>
        <w:rFonts w:ascii="Symbol" w:hAnsi="Symbol" w:cs="OpenSymbol"/>
      </w:rPr>
    </w:lvl>
    <w:lvl w:ilvl="7">
      <w:numFmt w:val="bullet"/>
      <w:lvlText w:val="◦"/>
      <w:lvlJc w:val="left"/>
      <w:pPr>
        <w:ind w:left="3600" w:hanging="360"/>
      </w:pPr>
      <w:rPr>
        <w:rFonts w:ascii="OpenSymbol" w:hAnsi="OpenSymbol" w:cs="OpenSymbol"/>
      </w:rPr>
    </w:lvl>
    <w:lvl w:ilvl="8">
      <w:numFmt w:val="bullet"/>
      <w:lvlText w:val="▪"/>
      <w:lvlJc w:val="left"/>
      <w:pPr>
        <w:ind w:left="3960" w:hanging="360"/>
      </w:pPr>
      <w:rPr>
        <w:rFonts w:ascii="OpenSymbol" w:hAnsi="OpenSymbol" w:cs="OpenSymbol"/>
      </w:rPr>
    </w:lvl>
  </w:abstractNum>
  <w:abstractNum w:abstractNumId="33">
    <w:nsid w:val="2EB8722A"/>
    <w:multiLevelType w:val="hybridMultilevel"/>
    <w:tmpl w:val="F4643CD0"/>
    <w:lvl w:ilvl="0" w:tplc="89EA4530">
      <w:start w:val="1"/>
      <w:numFmt w:val="bullet"/>
      <w:lvlText w:val=""/>
      <w:lvlPicBulletId w:val="0"/>
      <w:lvlJc w:val="left"/>
      <w:pPr>
        <w:ind w:left="720" w:hanging="360"/>
      </w:pPr>
      <w:rPr>
        <w:rFonts w:ascii="Symbol" w:hAnsi="Symbol" w:hint="default"/>
        <w:color w:val="auto"/>
        <w:sz w:val="20"/>
        <w:szCs w:val="2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nsid w:val="2EC3303F"/>
    <w:multiLevelType w:val="hybridMultilevel"/>
    <w:tmpl w:val="BD78298A"/>
    <w:lvl w:ilvl="0" w:tplc="E488CBB4">
      <w:start w:val="1"/>
      <w:numFmt w:val="bullet"/>
      <w:lvlText w:val=""/>
      <w:lvlPicBulletId w:val="0"/>
      <w:lvlJc w:val="left"/>
      <w:pPr>
        <w:ind w:left="360" w:hanging="360"/>
      </w:pPr>
      <w:rPr>
        <w:rFonts w:ascii="Symbol" w:hAnsi="Symbol" w:hint="default"/>
        <w:color w:val="auto"/>
        <w:sz w:val="16"/>
        <w:szCs w:val="16"/>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
    <w:nsid w:val="302B2D9E"/>
    <w:multiLevelType w:val="hybridMultilevel"/>
    <w:tmpl w:val="6CEAD5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30B37B2D"/>
    <w:multiLevelType w:val="hybridMultilevel"/>
    <w:tmpl w:val="90B28CA4"/>
    <w:lvl w:ilvl="0" w:tplc="FEAA57C2">
      <w:start w:val="1"/>
      <w:numFmt w:val="bullet"/>
      <w:lvlText w:val=""/>
      <w:lvlPicBulletId w:val="0"/>
      <w:lvlJc w:val="left"/>
      <w:pPr>
        <w:ind w:left="720" w:hanging="360"/>
      </w:pPr>
      <w:rPr>
        <w:rFonts w:ascii="Symbol" w:hAnsi="Symbol" w:hint="default"/>
        <w:color w:val="auto"/>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32731FE2"/>
    <w:multiLevelType w:val="hybridMultilevel"/>
    <w:tmpl w:val="C4047662"/>
    <w:lvl w:ilvl="0" w:tplc="04150001">
      <w:start w:val="1"/>
      <w:numFmt w:val="bullet"/>
      <w:lvlText w:val=""/>
      <w:lvlJc w:val="left"/>
      <w:pPr>
        <w:ind w:left="884" w:hanging="360"/>
      </w:pPr>
      <w:rPr>
        <w:rFonts w:ascii="Symbol" w:hAnsi="Symbol" w:hint="default"/>
      </w:rPr>
    </w:lvl>
    <w:lvl w:ilvl="1" w:tplc="04150003" w:tentative="1">
      <w:start w:val="1"/>
      <w:numFmt w:val="bullet"/>
      <w:lvlText w:val="o"/>
      <w:lvlJc w:val="left"/>
      <w:pPr>
        <w:ind w:left="1604" w:hanging="360"/>
      </w:pPr>
      <w:rPr>
        <w:rFonts w:ascii="Courier New" w:hAnsi="Courier New" w:cs="Courier New" w:hint="default"/>
      </w:rPr>
    </w:lvl>
    <w:lvl w:ilvl="2" w:tplc="04150005" w:tentative="1">
      <w:start w:val="1"/>
      <w:numFmt w:val="bullet"/>
      <w:lvlText w:val=""/>
      <w:lvlJc w:val="left"/>
      <w:pPr>
        <w:ind w:left="2324" w:hanging="360"/>
      </w:pPr>
      <w:rPr>
        <w:rFonts w:ascii="Wingdings" w:hAnsi="Wingdings" w:hint="default"/>
      </w:rPr>
    </w:lvl>
    <w:lvl w:ilvl="3" w:tplc="04150001" w:tentative="1">
      <w:start w:val="1"/>
      <w:numFmt w:val="bullet"/>
      <w:lvlText w:val=""/>
      <w:lvlJc w:val="left"/>
      <w:pPr>
        <w:ind w:left="3044" w:hanging="360"/>
      </w:pPr>
      <w:rPr>
        <w:rFonts w:ascii="Symbol" w:hAnsi="Symbol" w:hint="default"/>
      </w:rPr>
    </w:lvl>
    <w:lvl w:ilvl="4" w:tplc="04150003" w:tentative="1">
      <w:start w:val="1"/>
      <w:numFmt w:val="bullet"/>
      <w:lvlText w:val="o"/>
      <w:lvlJc w:val="left"/>
      <w:pPr>
        <w:ind w:left="3764" w:hanging="360"/>
      </w:pPr>
      <w:rPr>
        <w:rFonts w:ascii="Courier New" w:hAnsi="Courier New" w:cs="Courier New" w:hint="default"/>
      </w:rPr>
    </w:lvl>
    <w:lvl w:ilvl="5" w:tplc="04150005" w:tentative="1">
      <w:start w:val="1"/>
      <w:numFmt w:val="bullet"/>
      <w:lvlText w:val=""/>
      <w:lvlJc w:val="left"/>
      <w:pPr>
        <w:ind w:left="4484" w:hanging="360"/>
      </w:pPr>
      <w:rPr>
        <w:rFonts w:ascii="Wingdings" w:hAnsi="Wingdings" w:hint="default"/>
      </w:rPr>
    </w:lvl>
    <w:lvl w:ilvl="6" w:tplc="04150001" w:tentative="1">
      <w:start w:val="1"/>
      <w:numFmt w:val="bullet"/>
      <w:lvlText w:val=""/>
      <w:lvlJc w:val="left"/>
      <w:pPr>
        <w:ind w:left="5204" w:hanging="360"/>
      </w:pPr>
      <w:rPr>
        <w:rFonts w:ascii="Symbol" w:hAnsi="Symbol" w:hint="default"/>
      </w:rPr>
    </w:lvl>
    <w:lvl w:ilvl="7" w:tplc="04150003" w:tentative="1">
      <w:start w:val="1"/>
      <w:numFmt w:val="bullet"/>
      <w:lvlText w:val="o"/>
      <w:lvlJc w:val="left"/>
      <w:pPr>
        <w:ind w:left="5924" w:hanging="360"/>
      </w:pPr>
      <w:rPr>
        <w:rFonts w:ascii="Courier New" w:hAnsi="Courier New" w:cs="Courier New" w:hint="default"/>
      </w:rPr>
    </w:lvl>
    <w:lvl w:ilvl="8" w:tplc="04150005" w:tentative="1">
      <w:start w:val="1"/>
      <w:numFmt w:val="bullet"/>
      <w:lvlText w:val=""/>
      <w:lvlJc w:val="left"/>
      <w:pPr>
        <w:ind w:left="6644" w:hanging="360"/>
      </w:pPr>
      <w:rPr>
        <w:rFonts w:ascii="Wingdings" w:hAnsi="Wingdings" w:hint="default"/>
      </w:rPr>
    </w:lvl>
  </w:abstractNum>
  <w:abstractNum w:abstractNumId="38">
    <w:nsid w:val="35220CB8"/>
    <w:multiLevelType w:val="hybridMultilevel"/>
    <w:tmpl w:val="53763A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6324EBF"/>
    <w:multiLevelType w:val="hybridMultilevel"/>
    <w:tmpl w:val="562AF0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8C177F2"/>
    <w:multiLevelType w:val="hybridMultilevel"/>
    <w:tmpl w:val="C42427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3AA5124B"/>
    <w:multiLevelType w:val="hybridMultilevel"/>
    <w:tmpl w:val="14F66C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AE64435"/>
    <w:multiLevelType w:val="hybridMultilevel"/>
    <w:tmpl w:val="47BA15AE"/>
    <w:lvl w:ilvl="0" w:tplc="181A1CC6">
      <w:start w:val="1"/>
      <w:numFmt w:val="bullet"/>
      <w:lvlText w:val=""/>
      <w:lvlPicBulletId w:val="0"/>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3C780F40"/>
    <w:multiLevelType w:val="hybridMultilevel"/>
    <w:tmpl w:val="6A6658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3D2505A1"/>
    <w:multiLevelType w:val="hybridMultilevel"/>
    <w:tmpl w:val="26E2FD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E503328"/>
    <w:multiLevelType w:val="hybridMultilevel"/>
    <w:tmpl w:val="89AA9E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EA75ED6"/>
    <w:multiLevelType w:val="hybridMultilevel"/>
    <w:tmpl w:val="2988B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3EEB0D29"/>
    <w:multiLevelType w:val="hybridMultilevel"/>
    <w:tmpl w:val="E82A233C"/>
    <w:lvl w:ilvl="0" w:tplc="FEAA57C2">
      <w:start w:val="1"/>
      <w:numFmt w:val="bullet"/>
      <w:lvlText w:val=""/>
      <w:lvlPicBulletId w:val="0"/>
      <w:lvlJc w:val="left"/>
      <w:pPr>
        <w:ind w:left="720" w:hanging="360"/>
      </w:pPr>
      <w:rPr>
        <w:rFonts w:ascii="Symbol" w:hAnsi="Symbol" w:hint="default"/>
        <w:color w:val="auto"/>
        <w:sz w:val="16"/>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04B2DED"/>
    <w:multiLevelType w:val="hybridMultilevel"/>
    <w:tmpl w:val="453C8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4063543C"/>
    <w:multiLevelType w:val="hybridMultilevel"/>
    <w:tmpl w:val="36303EF4"/>
    <w:lvl w:ilvl="0" w:tplc="BA945A1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nsid w:val="41255933"/>
    <w:multiLevelType w:val="hybridMultilevel"/>
    <w:tmpl w:val="5F76B76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43902AAE"/>
    <w:multiLevelType w:val="hybridMultilevel"/>
    <w:tmpl w:val="1CEA8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46712988"/>
    <w:multiLevelType w:val="hybridMultilevel"/>
    <w:tmpl w:val="285A687A"/>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48F768AE"/>
    <w:multiLevelType w:val="hybridMultilevel"/>
    <w:tmpl w:val="5A7CC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nsid w:val="4D4D4EF8"/>
    <w:multiLevelType w:val="hybridMultilevel"/>
    <w:tmpl w:val="A0C2AB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51F6055C"/>
    <w:multiLevelType w:val="hybridMultilevel"/>
    <w:tmpl w:val="9A681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52E15BEF"/>
    <w:multiLevelType w:val="hybridMultilevel"/>
    <w:tmpl w:val="585AF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544B1423"/>
    <w:multiLevelType w:val="hybridMultilevel"/>
    <w:tmpl w:val="B47C93A4"/>
    <w:lvl w:ilvl="0" w:tplc="BA945A16">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nsid w:val="548F2865"/>
    <w:multiLevelType w:val="hybridMultilevel"/>
    <w:tmpl w:val="A82AD4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4CF4A3E"/>
    <w:multiLevelType w:val="hybridMultilevel"/>
    <w:tmpl w:val="E93A0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57D26E12"/>
    <w:multiLevelType w:val="hybridMultilevel"/>
    <w:tmpl w:val="43AEE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59FA0A7B"/>
    <w:multiLevelType w:val="hybridMultilevel"/>
    <w:tmpl w:val="62B077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5C2C3B49"/>
    <w:multiLevelType w:val="hybridMultilevel"/>
    <w:tmpl w:val="318C0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5DD74606"/>
    <w:multiLevelType w:val="hybridMultilevel"/>
    <w:tmpl w:val="34CA90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12A6651"/>
    <w:multiLevelType w:val="hybridMultilevel"/>
    <w:tmpl w:val="DEA273FE"/>
    <w:lvl w:ilvl="0" w:tplc="76FE49CC">
      <w:start w:val="1"/>
      <w:numFmt w:val="bullet"/>
      <w:lvlText w:val=""/>
      <w:lvlPicBulletId w:val="0"/>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614E3BF9"/>
    <w:multiLevelType w:val="hybridMultilevel"/>
    <w:tmpl w:val="15AEF9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69176B88"/>
    <w:multiLevelType w:val="hybridMultilevel"/>
    <w:tmpl w:val="1D3AA83A"/>
    <w:lvl w:ilvl="0" w:tplc="8D0C740A">
      <w:start w:val="1"/>
      <w:numFmt w:val="bullet"/>
      <w:lvlText w:val=""/>
      <w:lvlPicBulletId w:val="0"/>
      <w:lvlJc w:val="left"/>
      <w:pPr>
        <w:ind w:left="720" w:hanging="360"/>
      </w:pPr>
      <w:rPr>
        <w:rFonts w:ascii="Symbol" w:hAnsi="Symbol"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6A2313BD"/>
    <w:multiLevelType w:val="hybridMultilevel"/>
    <w:tmpl w:val="B76EA0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6EE771E5"/>
    <w:multiLevelType w:val="hybridMultilevel"/>
    <w:tmpl w:val="3EF21F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0E551E6"/>
    <w:multiLevelType w:val="hybridMultilevel"/>
    <w:tmpl w:val="2B26AB3A"/>
    <w:lvl w:ilvl="0" w:tplc="8D0C740A">
      <w:start w:val="1"/>
      <w:numFmt w:val="bullet"/>
      <w:lvlText w:val=""/>
      <w:lvlPicBulletId w:val="0"/>
      <w:lvlJc w:val="left"/>
      <w:pPr>
        <w:ind w:left="720" w:hanging="360"/>
      </w:pPr>
      <w:rPr>
        <w:rFonts w:ascii="Symbol" w:hAnsi="Symbol"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713E2C14"/>
    <w:multiLevelType w:val="hybridMultilevel"/>
    <w:tmpl w:val="3E36F8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2600DE6"/>
    <w:multiLevelType w:val="hybridMultilevel"/>
    <w:tmpl w:val="C2CEF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73C353DE"/>
    <w:multiLevelType w:val="hybridMultilevel"/>
    <w:tmpl w:val="7F124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7BE67C83"/>
    <w:multiLevelType w:val="hybridMultilevel"/>
    <w:tmpl w:val="E368A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7C936B38"/>
    <w:multiLevelType w:val="hybridMultilevel"/>
    <w:tmpl w:val="A7F8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33"/>
  </w:num>
  <w:num w:numId="4">
    <w:abstractNumId w:val="42"/>
  </w:num>
  <w:num w:numId="5">
    <w:abstractNumId w:val="64"/>
  </w:num>
  <w:num w:numId="6">
    <w:abstractNumId w:val="22"/>
  </w:num>
  <w:num w:numId="7">
    <w:abstractNumId w:val="11"/>
  </w:num>
  <w:num w:numId="8">
    <w:abstractNumId w:val="20"/>
  </w:num>
  <w:num w:numId="9">
    <w:abstractNumId w:val="0"/>
  </w:num>
  <w:num w:numId="10">
    <w:abstractNumId w:val="18"/>
  </w:num>
  <w:num w:numId="11">
    <w:abstractNumId w:val="50"/>
  </w:num>
  <w:num w:numId="12">
    <w:abstractNumId w:val="25"/>
  </w:num>
  <w:num w:numId="13">
    <w:abstractNumId w:val="32"/>
  </w:num>
  <w:num w:numId="14">
    <w:abstractNumId w:val="1"/>
  </w:num>
  <w:num w:numId="15">
    <w:abstractNumId w:val="26"/>
  </w:num>
  <w:num w:numId="16">
    <w:abstractNumId w:val="57"/>
  </w:num>
  <w:num w:numId="17">
    <w:abstractNumId w:val="31"/>
  </w:num>
  <w:num w:numId="18">
    <w:abstractNumId w:val="8"/>
  </w:num>
  <w:num w:numId="19">
    <w:abstractNumId w:val="49"/>
  </w:num>
  <w:num w:numId="20">
    <w:abstractNumId w:val="69"/>
  </w:num>
  <w:num w:numId="21">
    <w:abstractNumId w:val="66"/>
  </w:num>
  <w:num w:numId="22">
    <w:abstractNumId w:val="19"/>
  </w:num>
  <w:num w:numId="23">
    <w:abstractNumId w:val="52"/>
  </w:num>
  <w:num w:numId="24">
    <w:abstractNumId w:val="53"/>
  </w:num>
  <w:num w:numId="25">
    <w:abstractNumId w:val="61"/>
  </w:num>
  <w:num w:numId="26">
    <w:abstractNumId w:val="73"/>
  </w:num>
  <w:num w:numId="27">
    <w:abstractNumId w:val="48"/>
  </w:num>
  <w:num w:numId="28">
    <w:abstractNumId w:val="6"/>
  </w:num>
  <w:num w:numId="29">
    <w:abstractNumId w:val="51"/>
  </w:num>
  <w:num w:numId="30">
    <w:abstractNumId w:val="23"/>
  </w:num>
  <w:num w:numId="31">
    <w:abstractNumId w:val="10"/>
  </w:num>
  <w:num w:numId="32">
    <w:abstractNumId w:val="59"/>
  </w:num>
  <w:num w:numId="33">
    <w:abstractNumId w:val="27"/>
  </w:num>
  <w:num w:numId="34">
    <w:abstractNumId w:val="55"/>
  </w:num>
  <w:num w:numId="35">
    <w:abstractNumId w:val="74"/>
  </w:num>
  <w:num w:numId="36">
    <w:abstractNumId w:val="56"/>
  </w:num>
  <w:num w:numId="37">
    <w:abstractNumId w:val="39"/>
  </w:num>
  <w:num w:numId="38">
    <w:abstractNumId w:val="29"/>
  </w:num>
  <w:num w:numId="39">
    <w:abstractNumId w:val="44"/>
  </w:num>
  <w:num w:numId="40">
    <w:abstractNumId w:val="41"/>
  </w:num>
  <w:num w:numId="41">
    <w:abstractNumId w:val="17"/>
  </w:num>
  <w:num w:numId="42">
    <w:abstractNumId w:val="62"/>
  </w:num>
  <w:num w:numId="43">
    <w:abstractNumId w:val="14"/>
  </w:num>
  <w:num w:numId="44">
    <w:abstractNumId w:val="21"/>
  </w:num>
  <w:num w:numId="45">
    <w:abstractNumId w:val="24"/>
  </w:num>
  <w:num w:numId="46">
    <w:abstractNumId w:val="30"/>
  </w:num>
  <w:num w:numId="47">
    <w:abstractNumId w:val="7"/>
  </w:num>
  <w:num w:numId="48">
    <w:abstractNumId w:val="36"/>
  </w:num>
  <w:num w:numId="49">
    <w:abstractNumId w:val="58"/>
  </w:num>
  <w:num w:numId="50">
    <w:abstractNumId w:val="28"/>
  </w:num>
  <w:num w:numId="51">
    <w:abstractNumId w:val="12"/>
  </w:num>
  <w:num w:numId="52">
    <w:abstractNumId w:val="54"/>
  </w:num>
  <w:num w:numId="53">
    <w:abstractNumId w:val="67"/>
  </w:num>
  <w:num w:numId="54">
    <w:abstractNumId w:val="45"/>
  </w:num>
  <w:num w:numId="55">
    <w:abstractNumId w:val="43"/>
  </w:num>
  <w:num w:numId="56">
    <w:abstractNumId w:val="70"/>
  </w:num>
  <w:num w:numId="57">
    <w:abstractNumId w:val="38"/>
  </w:num>
  <w:num w:numId="58">
    <w:abstractNumId w:val="65"/>
  </w:num>
  <w:num w:numId="59">
    <w:abstractNumId w:val="13"/>
  </w:num>
  <w:num w:numId="60">
    <w:abstractNumId w:val="40"/>
  </w:num>
  <w:num w:numId="61">
    <w:abstractNumId w:val="72"/>
  </w:num>
  <w:num w:numId="62">
    <w:abstractNumId w:val="60"/>
  </w:num>
  <w:num w:numId="63">
    <w:abstractNumId w:val="47"/>
  </w:num>
  <w:num w:numId="64">
    <w:abstractNumId w:val="46"/>
  </w:num>
  <w:num w:numId="65">
    <w:abstractNumId w:val="71"/>
  </w:num>
  <w:num w:numId="66">
    <w:abstractNumId w:val="37"/>
  </w:num>
  <w:num w:numId="67">
    <w:abstractNumId w:val="35"/>
  </w:num>
  <w:num w:numId="68">
    <w:abstractNumId w:val="16"/>
  </w:num>
  <w:num w:numId="69">
    <w:abstractNumId w:val="63"/>
  </w:num>
  <w:num w:numId="70">
    <w:abstractNumId w:val="15"/>
  </w:num>
  <w:num w:numId="71">
    <w:abstractNumId w:val="9"/>
  </w:num>
  <w:num w:numId="72">
    <w:abstractNumId w:val="6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defaultTabStop w:val="709"/>
  <w:hyphenationZone w:val="425"/>
  <w:evenAndOddHeaders/>
  <w:drawingGridHorizontalSpacing w:val="110"/>
  <w:displayHorizontalDrawingGridEvery w:val="2"/>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09A"/>
    <w:rsid w:val="00001A78"/>
    <w:rsid w:val="0000217F"/>
    <w:rsid w:val="0000367F"/>
    <w:rsid w:val="00003C36"/>
    <w:rsid w:val="00004060"/>
    <w:rsid w:val="000043E4"/>
    <w:rsid w:val="000051BA"/>
    <w:rsid w:val="00005A40"/>
    <w:rsid w:val="000060B1"/>
    <w:rsid w:val="0000651F"/>
    <w:rsid w:val="00006AD9"/>
    <w:rsid w:val="00006FC0"/>
    <w:rsid w:val="000105EF"/>
    <w:rsid w:val="00010A15"/>
    <w:rsid w:val="00011D37"/>
    <w:rsid w:val="00011E40"/>
    <w:rsid w:val="00011EAD"/>
    <w:rsid w:val="00012007"/>
    <w:rsid w:val="00012107"/>
    <w:rsid w:val="0001250F"/>
    <w:rsid w:val="00012665"/>
    <w:rsid w:val="0001336E"/>
    <w:rsid w:val="0001375D"/>
    <w:rsid w:val="00014248"/>
    <w:rsid w:val="000144D0"/>
    <w:rsid w:val="000148E6"/>
    <w:rsid w:val="00015175"/>
    <w:rsid w:val="000156AD"/>
    <w:rsid w:val="00015953"/>
    <w:rsid w:val="0001628F"/>
    <w:rsid w:val="000165A1"/>
    <w:rsid w:val="00016841"/>
    <w:rsid w:val="00016FF2"/>
    <w:rsid w:val="00017308"/>
    <w:rsid w:val="000178B1"/>
    <w:rsid w:val="00017AAE"/>
    <w:rsid w:val="00017DFF"/>
    <w:rsid w:val="00017F06"/>
    <w:rsid w:val="000200FE"/>
    <w:rsid w:val="000205A8"/>
    <w:rsid w:val="000215F3"/>
    <w:rsid w:val="0002200C"/>
    <w:rsid w:val="00022619"/>
    <w:rsid w:val="0002282B"/>
    <w:rsid w:val="0002290C"/>
    <w:rsid w:val="00023034"/>
    <w:rsid w:val="000230A0"/>
    <w:rsid w:val="00023388"/>
    <w:rsid w:val="00023762"/>
    <w:rsid w:val="00023A38"/>
    <w:rsid w:val="00023DBF"/>
    <w:rsid w:val="00023F96"/>
    <w:rsid w:val="00024222"/>
    <w:rsid w:val="00024FDB"/>
    <w:rsid w:val="000255C2"/>
    <w:rsid w:val="00026A9B"/>
    <w:rsid w:val="0002708E"/>
    <w:rsid w:val="00027185"/>
    <w:rsid w:val="000276DF"/>
    <w:rsid w:val="000278CB"/>
    <w:rsid w:val="00027AF9"/>
    <w:rsid w:val="00027F10"/>
    <w:rsid w:val="00030662"/>
    <w:rsid w:val="000308D3"/>
    <w:rsid w:val="00030AA8"/>
    <w:rsid w:val="00030AB5"/>
    <w:rsid w:val="00030F19"/>
    <w:rsid w:val="000323D8"/>
    <w:rsid w:val="00032EF6"/>
    <w:rsid w:val="00033238"/>
    <w:rsid w:val="00034193"/>
    <w:rsid w:val="0003463F"/>
    <w:rsid w:val="00035099"/>
    <w:rsid w:val="00035662"/>
    <w:rsid w:val="00035691"/>
    <w:rsid w:val="000357B2"/>
    <w:rsid w:val="00035E4B"/>
    <w:rsid w:val="000366CB"/>
    <w:rsid w:val="00036DAB"/>
    <w:rsid w:val="0003712C"/>
    <w:rsid w:val="0004003B"/>
    <w:rsid w:val="00040682"/>
    <w:rsid w:val="00040AA6"/>
    <w:rsid w:val="000413F1"/>
    <w:rsid w:val="00041883"/>
    <w:rsid w:val="0004236C"/>
    <w:rsid w:val="000426A4"/>
    <w:rsid w:val="00043711"/>
    <w:rsid w:val="00044721"/>
    <w:rsid w:val="00044904"/>
    <w:rsid w:val="00044B7D"/>
    <w:rsid w:val="00045328"/>
    <w:rsid w:val="00045771"/>
    <w:rsid w:val="00045808"/>
    <w:rsid w:val="00045D1C"/>
    <w:rsid w:val="00045DDB"/>
    <w:rsid w:val="00046037"/>
    <w:rsid w:val="00046167"/>
    <w:rsid w:val="0004683C"/>
    <w:rsid w:val="00046D6F"/>
    <w:rsid w:val="000473E9"/>
    <w:rsid w:val="00047F34"/>
    <w:rsid w:val="00047FE4"/>
    <w:rsid w:val="00050410"/>
    <w:rsid w:val="0005063D"/>
    <w:rsid w:val="0005102A"/>
    <w:rsid w:val="000520EC"/>
    <w:rsid w:val="000523E7"/>
    <w:rsid w:val="000530A7"/>
    <w:rsid w:val="0005319B"/>
    <w:rsid w:val="0005332D"/>
    <w:rsid w:val="00053651"/>
    <w:rsid w:val="00053BDF"/>
    <w:rsid w:val="00053E2F"/>
    <w:rsid w:val="00054376"/>
    <w:rsid w:val="00055692"/>
    <w:rsid w:val="000559BF"/>
    <w:rsid w:val="00055A4F"/>
    <w:rsid w:val="00055CED"/>
    <w:rsid w:val="00055D90"/>
    <w:rsid w:val="00055FA6"/>
    <w:rsid w:val="0005614C"/>
    <w:rsid w:val="00056379"/>
    <w:rsid w:val="00060A5E"/>
    <w:rsid w:val="00060F2A"/>
    <w:rsid w:val="00061C3F"/>
    <w:rsid w:val="00062446"/>
    <w:rsid w:val="000626D7"/>
    <w:rsid w:val="00062862"/>
    <w:rsid w:val="00062898"/>
    <w:rsid w:val="00063259"/>
    <w:rsid w:val="000639D2"/>
    <w:rsid w:val="00063A29"/>
    <w:rsid w:val="00063ADE"/>
    <w:rsid w:val="00064082"/>
    <w:rsid w:val="0006468C"/>
    <w:rsid w:val="00065673"/>
    <w:rsid w:val="00065732"/>
    <w:rsid w:val="00065A04"/>
    <w:rsid w:val="00065E06"/>
    <w:rsid w:val="00065ED5"/>
    <w:rsid w:val="000667FA"/>
    <w:rsid w:val="000678FB"/>
    <w:rsid w:val="00070F85"/>
    <w:rsid w:val="00071E31"/>
    <w:rsid w:val="00072451"/>
    <w:rsid w:val="000724D0"/>
    <w:rsid w:val="0007265D"/>
    <w:rsid w:val="00072898"/>
    <w:rsid w:val="00072A9D"/>
    <w:rsid w:val="00072AD4"/>
    <w:rsid w:val="00073099"/>
    <w:rsid w:val="0007323D"/>
    <w:rsid w:val="0007339C"/>
    <w:rsid w:val="000734BD"/>
    <w:rsid w:val="0007525A"/>
    <w:rsid w:val="00076682"/>
    <w:rsid w:val="0007670F"/>
    <w:rsid w:val="000767A0"/>
    <w:rsid w:val="000768DF"/>
    <w:rsid w:val="000774AA"/>
    <w:rsid w:val="00077588"/>
    <w:rsid w:val="00077833"/>
    <w:rsid w:val="000779AD"/>
    <w:rsid w:val="00077BCE"/>
    <w:rsid w:val="00081504"/>
    <w:rsid w:val="00083436"/>
    <w:rsid w:val="00083933"/>
    <w:rsid w:val="0008395F"/>
    <w:rsid w:val="00083BC0"/>
    <w:rsid w:val="00083C29"/>
    <w:rsid w:val="000843CD"/>
    <w:rsid w:val="000848F2"/>
    <w:rsid w:val="00085A60"/>
    <w:rsid w:val="00085D1F"/>
    <w:rsid w:val="0008651E"/>
    <w:rsid w:val="00086701"/>
    <w:rsid w:val="00086860"/>
    <w:rsid w:val="00086CBB"/>
    <w:rsid w:val="000870FD"/>
    <w:rsid w:val="000871CA"/>
    <w:rsid w:val="00087D98"/>
    <w:rsid w:val="000901F3"/>
    <w:rsid w:val="000903C5"/>
    <w:rsid w:val="0009132A"/>
    <w:rsid w:val="000917BB"/>
    <w:rsid w:val="0009188A"/>
    <w:rsid w:val="00091B95"/>
    <w:rsid w:val="000920EE"/>
    <w:rsid w:val="00092315"/>
    <w:rsid w:val="0009234A"/>
    <w:rsid w:val="000924DD"/>
    <w:rsid w:val="0009253F"/>
    <w:rsid w:val="000929BB"/>
    <w:rsid w:val="00093544"/>
    <w:rsid w:val="00093F0A"/>
    <w:rsid w:val="000949C8"/>
    <w:rsid w:val="00094EDE"/>
    <w:rsid w:val="00095113"/>
    <w:rsid w:val="0009535C"/>
    <w:rsid w:val="00095D2E"/>
    <w:rsid w:val="00096854"/>
    <w:rsid w:val="0009697C"/>
    <w:rsid w:val="000971A0"/>
    <w:rsid w:val="000979C9"/>
    <w:rsid w:val="00097FF4"/>
    <w:rsid w:val="000A00D1"/>
    <w:rsid w:val="000A04BD"/>
    <w:rsid w:val="000A0D04"/>
    <w:rsid w:val="000A14F1"/>
    <w:rsid w:val="000A1A9F"/>
    <w:rsid w:val="000A1F78"/>
    <w:rsid w:val="000A2179"/>
    <w:rsid w:val="000A24C1"/>
    <w:rsid w:val="000A296B"/>
    <w:rsid w:val="000A29F0"/>
    <w:rsid w:val="000A2F60"/>
    <w:rsid w:val="000A339A"/>
    <w:rsid w:val="000A38E5"/>
    <w:rsid w:val="000A3A94"/>
    <w:rsid w:val="000A46F9"/>
    <w:rsid w:val="000A47ED"/>
    <w:rsid w:val="000A48FC"/>
    <w:rsid w:val="000A4BDA"/>
    <w:rsid w:val="000A4CDA"/>
    <w:rsid w:val="000A5769"/>
    <w:rsid w:val="000A6689"/>
    <w:rsid w:val="000A693A"/>
    <w:rsid w:val="000A6A46"/>
    <w:rsid w:val="000A7B31"/>
    <w:rsid w:val="000B048E"/>
    <w:rsid w:val="000B04F9"/>
    <w:rsid w:val="000B04FF"/>
    <w:rsid w:val="000B0784"/>
    <w:rsid w:val="000B0A18"/>
    <w:rsid w:val="000B0C12"/>
    <w:rsid w:val="000B1FD0"/>
    <w:rsid w:val="000B1FE3"/>
    <w:rsid w:val="000B22F7"/>
    <w:rsid w:val="000B295C"/>
    <w:rsid w:val="000B35ED"/>
    <w:rsid w:val="000B39A7"/>
    <w:rsid w:val="000B3A37"/>
    <w:rsid w:val="000B3BE8"/>
    <w:rsid w:val="000B44AA"/>
    <w:rsid w:val="000B5347"/>
    <w:rsid w:val="000B56E3"/>
    <w:rsid w:val="000B5E35"/>
    <w:rsid w:val="000B60A3"/>
    <w:rsid w:val="000B60C8"/>
    <w:rsid w:val="000B6858"/>
    <w:rsid w:val="000B6949"/>
    <w:rsid w:val="000B6C7E"/>
    <w:rsid w:val="000B70E3"/>
    <w:rsid w:val="000B77E7"/>
    <w:rsid w:val="000B7B27"/>
    <w:rsid w:val="000C00EB"/>
    <w:rsid w:val="000C025A"/>
    <w:rsid w:val="000C0492"/>
    <w:rsid w:val="000C0646"/>
    <w:rsid w:val="000C067D"/>
    <w:rsid w:val="000C0BC7"/>
    <w:rsid w:val="000C104A"/>
    <w:rsid w:val="000C1236"/>
    <w:rsid w:val="000C1446"/>
    <w:rsid w:val="000C188D"/>
    <w:rsid w:val="000C1C87"/>
    <w:rsid w:val="000C1D65"/>
    <w:rsid w:val="000C20BE"/>
    <w:rsid w:val="000C2A9E"/>
    <w:rsid w:val="000C344B"/>
    <w:rsid w:val="000C3721"/>
    <w:rsid w:val="000C3F18"/>
    <w:rsid w:val="000C4733"/>
    <w:rsid w:val="000C49A5"/>
    <w:rsid w:val="000C4D3F"/>
    <w:rsid w:val="000C5537"/>
    <w:rsid w:val="000C5D23"/>
    <w:rsid w:val="000C6718"/>
    <w:rsid w:val="000C6994"/>
    <w:rsid w:val="000C75E7"/>
    <w:rsid w:val="000D00B2"/>
    <w:rsid w:val="000D074A"/>
    <w:rsid w:val="000D112D"/>
    <w:rsid w:val="000D1F85"/>
    <w:rsid w:val="000D2D60"/>
    <w:rsid w:val="000D43B8"/>
    <w:rsid w:val="000D4643"/>
    <w:rsid w:val="000D47E2"/>
    <w:rsid w:val="000D4B0B"/>
    <w:rsid w:val="000D4F6A"/>
    <w:rsid w:val="000D547F"/>
    <w:rsid w:val="000D54E9"/>
    <w:rsid w:val="000D5F39"/>
    <w:rsid w:val="000D63CE"/>
    <w:rsid w:val="000D6904"/>
    <w:rsid w:val="000D6F7E"/>
    <w:rsid w:val="000D72D5"/>
    <w:rsid w:val="000D744A"/>
    <w:rsid w:val="000D7B82"/>
    <w:rsid w:val="000D7FAA"/>
    <w:rsid w:val="000E1573"/>
    <w:rsid w:val="000E1FE9"/>
    <w:rsid w:val="000E2FDB"/>
    <w:rsid w:val="000E30FD"/>
    <w:rsid w:val="000E42D4"/>
    <w:rsid w:val="000E49CD"/>
    <w:rsid w:val="000E5450"/>
    <w:rsid w:val="000E5ECD"/>
    <w:rsid w:val="000E615E"/>
    <w:rsid w:val="000E6BCB"/>
    <w:rsid w:val="000E6CDE"/>
    <w:rsid w:val="000F0A5A"/>
    <w:rsid w:val="000F1B10"/>
    <w:rsid w:val="000F1DC7"/>
    <w:rsid w:val="000F261C"/>
    <w:rsid w:val="000F261D"/>
    <w:rsid w:val="000F28ED"/>
    <w:rsid w:val="000F2D8C"/>
    <w:rsid w:val="000F308F"/>
    <w:rsid w:val="000F33B0"/>
    <w:rsid w:val="000F38EE"/>
    <w:rsid w:val="000F3B52"/>
    <w:rsid w:val="000F414F"/>
    <w:rsid w:val="000F43F0"/>
    <w:rsid w:val="000F4473"/>
    <w:rsid w:val="000F4722"/>
    <w:rsid w:val="000F4818"/>
    <w:rsid w:val="000F4B75"/>
    <w:rsid w:val="000F5700"/>
    <w:rsid w:val="000F5E7E"/>
    <w:rsid w:val="000F6BAD"/>
    <w:rsid w:val="000F6E6D"/>
    <w:rsid w:val="000F70AE"/>
    <w:rsid w:val="000F7186"/>
    <w:rsid w:val="000F745F"/>
    <w:rsid w:val="000F78E8"/>
    <w:rsid w:val="00100031"/>
    <w:rsid w:val="0010018F"/>
    <w:rsid w:val="00100CE1"/>
    <w:rsid w:val="00100F0C"/>
    <w:rsid w:val="001011F8"/>
    <w:rsid w:val="00101783"/>
    <w:rsid w:val="0010187E"/>
    <w:rsid w:val="0010188D"/>
    <w:rsid w:val="00101A94"/>
    <w:rsid w:val="00101F26"/>
    <w:rsid w:val="00101FC3"/>
    <w:rsid w:val="00102E95"/>
    <w:rsid w:val="00102F2C"/>
    <w:rsid w:val="001038DF"/>
    <w:rsid w:val="00104744"/>
    <w:rsid w:val="00105042"/>
    <w:rsid w:val="00105BA0"/>
    <w:rsid w:val="0010742D"/>
    <w:rsid w:val="0010772C"/>
    <w:rsid w:val="00107758"/>
    <w:rsid w:val="001101E2"/>
    <w:rsid w:val="0011059A"/>
    <w:rsid w:val="001112F8"/>
    <w:rsid w:val="0011159C"/>
    <w:rsid w:val="00111BB0"/>
    <w:rsid w:val="00112E6D"/>
    <w:rsid w:val="00113DFC"/>
    <w:rsid w:val="0011436D"/>
    <w:rsid w:val="001147F1"/>
    <w:rsid w:val="00114D7D"/>
    <w:rsid w:val="00114D8B"/>
    <w:rsid w:val="0011512A"/>
    <w:rsid w:val="00115245"/>
    <w:rsid w:val="00115DE8"/>
    <w:rsid w:val="00115E02"/>
    <w:rsid w:val="00115E39"/>
    <w:rsid w:val="00115FC5"/>
    <w:rsid w:val="00116396"/>
    <w:rsid w:val="00116888"/>
    <w:rsid w:val="00116EB9"/>
    <w:rsid w:val="0011711C"/>
    <w:rsid w:val="0011778A"/>
    <w:rsid w:val="00117990"/>
    <w:rsid w:val="00117E6C"/>
    <w:rsid w:val="00117EAF"/>
    <w:rsid w:val="001202B8"/>
    <w:rsid w:val="00120506"/>
    <w:rsid w:val="001209E1"/>
    <w:rsid w:val="001212A3"/>
    <w:rsid w:val="0012132D"/>
    <w:rsid w:val="00121D0C"/>
    <w:rsid w:val="001224FF"/>
    <w:rsid w:val="00122D04"/>
    <w:rsid w:val="00123123"/>
    <w:rsid w:val="001237E4"/>
    <w:rsid w:val="001242DB"/>
    <w:rsid w:val="001244E0"/>
    <w:rsid w:val="00125274"/>
    <w:rsid w:val="001252FA"/>
    <w:rsid w:val="001254C6"/>
    <w:rsid w:val="001259E5"/>
    <w:rsid w:val="00125B73"/>
    <w:rsid w:val="00125D06"/>
    <w:rsid w:val="00125E0C"/>
    <w:rsid w:val="001271B6"/>
    <w:rsid w:val="0012725C"/>
    <w:rsid w:val="001274E9"/>
    <w:rsid w:val="00127527"/>
    <w:rsid w:val="0012782D"/>
    <w:rsid w:val="001278A5"/>
    <w:rsid w:val="00130671"/>
    <w:rsid w:val="001306AA"/>
    <w:rsid w:val="001307D0"/>
    <w:rsid w:val="00130F31"/>
    <w:rsid w:val="001311D5"/>
    <w:rsid w:val="00132100"/>
    <w:rsid w:val="00132A85"/>
    <w:rsid w:val="00133E31"/>
    <w:rsid w:val="001350C0"/>
    <w:rsid w:val="0013561B"/>
    <w:rsid w:val="001359E0"/>
    <w:rsid w:val="00135F16"/>
    <w:rsid w:val="00136346"/>
    <w:rsid w:val="0014041B"/>
    <w:rsid w:val="00140713"/>
    <w:rsid w:val="00140CE5"/>
    <w:rsid w:val="001423E4"/>
    <w:rsid w:val="0014294C"/>
    <w:rsid w:val="00142A92"/>
    <w:rsid w:val="00142B17"/>
    <w:rsid w:val="00143452"/>
    <w:rsid w:val="001439CD"/>
    <w:rsid w:val="00144270"/>
    <w:rsid w:val="001442BA"/>
    <w:rsid w:val="00144789"/>
    <w:rsid w:val="00144A42"/>
    <w:rsid w:val="00144E0F"/>
    <w:rsid w:val="0014522E"/>
    <w:rsid w:val="0014567A"/>
    <w:rsid w:val="00145E81"/>
    <w:rsid w:val="001461CA"/>
    <w:rsid w:val="001464A2"/>
    <w:rsid w:val="001464AC"/>
    <w:rsid w:val="00146750"/>
    <w:rsid w:val="0014730D"/>
    <w:rsid w:val="001473F1"/>
    <w:rsid w:val="0014759D"/>
    <w:rsid w:val="00147788"/>
    <w:rsid w:val="00150727"/>
    <w:rsid w:val="0015118A"/>
    <w:rsid w:val="00151B91"/>
    <w:rsid w:val="001547FE"/>
    <w:rsid w:val="00154FE5"/>
    <w:rsid w:val="001562BD"/>
    <w:rsid w:val="00156683"/>
    <w:rsid w:val="00156D9C"/>
    <w:rsid w:val="00156FA1"/>
    <w:rsid w:val="001579AC"/>
    <w:rsid w:val="00157CAD"/>
    <w:rsid w:val="00160CDA"/>
    <w:rsid w:val="00161032"/>
    <w:rsid w:val="001611AF"/>
    <w:rsid w:val="001618B6"/>
    <w:rsid w:val="00161B2B"/>
    <w:rsid w:val="00162912"/>
    <w:rsid w:val="00162DE7"/>
    <w:rsid w:val="0016327F"/>
    <w:rsid w:val="001632FD"/>
    <w:rsid w:val="001635DB"/>
    <w:rsid w:val="00163BC3"/>
    <w:rsid w:val="00163F75"/>
    <w:rsid w:val="001640F9"/>
    <w:rsid w:val="00165241"/>
    <w:rsid w:val="0016566F"/>
    <w:rsid w:val="00165851"/>
    <w:rsid w:val="0016659E"/>
    <w:rsid w:val="00166C4E"/>
    <w:rsid w:val="00166D18"/>
    <w:rsid w:val="00166D1E"/>
    <w:rsid w:val="00166D3B"/>
    <w:rsid w:val="00167C07"/>
    <w:rsid w:val="00170449"/>
    <w:rsid w:val="00170D63"/>
    <w:rsid w:val="00170EA7"/>
    <w:rsid w:val="00170FEE"/>
    <w:rsid w:val="00171509"/>
    <w:rsid w:val="00171676"/>
    <w:rsid w:val="0017174B"/>
    <w:rsid w:val="00172753"/>
    <w:rsid w:val="00172976"/>
    <w:rsid w:val="00172F74"/>
    <w:rsid w:val="0017354C"/>
    <w:rsid w:val="00173833"/>
    <w:rsid w:val="00173E0D"/>
    <w:rsid w:val="00173FE0"/>
    <w:rsid w:val="00174021"/>
    <w:rsid w:val="00174B78"/>
    <w:rsid w:val="00174BF1"/>
    <w:rsid w:val="00174F10"/>
    <w:rsid w:val="00174FBA"/>
    <w:rsid w:val="0017503E"/>
    <w:rsid w:val="001752C8"/>
    <w:rsid w:val="00175489"/>
    <w:rsid w:val="001756BD"/>
    <w:rsid w:val="00175AEC"/>
    <w:rsid w:val="00176185"/>
    <w:rsid w:val="001761C1"/>
    <w:rsid w:val="001764F3"/>
    <w:rsid w:val="00176C22"/>
    <w:rsid w:val="0017736C"/>
    <w:rsid w:val="0017769B"/>
    <w:rsid w:val="0017792E"/>
    <w:rsid w:val="00177A71"/>
    <w:rsid w:val="00177ACF"/>
    <w:rsid w:val="00180095"/>
    <w:rsid w:val="00180408"/>
    <w:rsid w:val="00180724"/>
    <w:rsid w:val="0018093F"/>
    <w:rsid w:val="001809B5"/>
    <w:rsid w:val="00181157"/>
    <w:rsid w:val="00181B4D"/>
    <w:rsid w:val="00181B9E"/>
    <w:rsid w:val="001820DD"/>
    <w:rsid w:val="001824A6"/>
    <w:rsid w:val="00182AA0"/>
    <w:rsid w:val="00182B0D"/>
    <w:rsid w:val="00183027"/>
    <w:rsid w:val="001833E6"/>
    <w:rsid w:val="001853B3"/>
    <w:rsid w:val="00185428"/>
    <w:rsid w:val="00185782"/>
    <w:rsid w:val="0018604E"/>
    <w:rsid w:val="0018766B"/>
    <w:rsid w:val="0018784C"/>
    <w:rsid w:val="00187AED"/>
    <w:rsid w:val="00190076"/>
    <w:rsid w:val="001900E7"/>
    <w:rsid w:val="00191C31"/>
    <w:rsid w:val="00191E0B"/>
    <w:rsid w:val="00192062"/>
    <w:rsid w:val="00192628"/>
    <w:rsid w:val="00192669"/>
    <w:rsid w:val="00192A10"/>
    <w:rsid w:val="00192AD5"/>
    <w:rsid w:val="00192C98"/>
    <w:rsid w:val="0019310D"/>
    <w:rsid w:val="00193D28"/>
    <w:rsid w:val="00194389"/>
    <w:rsid w:val="00194DED"/>
    <w:rsid w:val="00195179"/>
    <w:rsid w:val="00195ED1"/>
    <w:rsid w:val="00195EF9"/>
    <w:rsid w:val="00196A2A"/>
    <w:rsid w:val="00196CCE"/>
    <w:rsid w:val="00197DD2"/>
    <w:rsid w:val="001A0E97"/>
    <w:rsid w:val="001A0EE3"/>
    <w:rsid w:val="001A0FFF"/>
    <w:rsid w:val="001A1338"/>
    <w:rsid w:val="001A24C1"/>
    <w:rsid w:val="001A2B57"/>
    <w:rsid w:val="001A3307"/>
    <w:rsid w:val="001A39DA"/>
    <w:rsid w:val="001A3AD2"/>
    <w:rsid w:val="001A4610"/>
    <w:rsid w:val="001A5065"/>
    <w:rsid w:val="001A5129"/>
    <w:rsid w:val="001A5D8D"/>
    <w:rsid w:val="001A609B"/>
    <w:rsid w:val="001A612B"/>
    <w:rsid w:val="001A629B"/>
    <w:rsid w:val="001A6486"/>
    <w:rsid w:val="001A6C0A"/>
    <w:rsid w:val="001A6C7E"/>
    <w:rsid w:val="001A7F13"/>
    <w:rsid w:val="001B12EE"/>
    <w:rsid w:val="001B1705"/>
    <w:rsid w:val="001B183E"/>
    <w:rsid w:val="001B1D10"/>
    <w:rsid w:val="001B1F50"/>
    <w:rsid w:val="001B22E2"/>
    <w:rsid w:val="001B2504"/>
    <w:rsid w:val="001B2644"/>
    <w:rsid w:val="001B26D7"/>
    <w:rsid w:val="001B2723"/>
    <w:rsid w:val="001B3897"/>
    <w:rsid w:val="001B479B"/>
    <w:rsid w:val="001B4A09"/>
    <w:rsid w:val="001B4C11"/>
    <w:rsid w:val="001B6013"/>
    <w:rsid w:val="001B620E"/>
    <w:rsid w:val="001B6600"/>
    <w:rsid w:val="001B6A5D"/>
    <w:rsid w:val="001B7522"/>
    <w:rsid w:val="001B761A"/>
    <w:rsid w:val="001B7910"/>
    <w:rsid w:val="001C065D"/>
    <w:rsid w:val="001C0920"/>
    <w:rsid w:val="001C1061"/>
    <w:rsid w:val="001C14F7"/>
    <w:rsid w:val="001C15E6"/>
    <w:rsid w:val="001C2ABE"/>
    <w:rsid w:val="001C2CD0"/>
    <w:rsid w:val="001C2ECC"/>
    <w:rsid w:val="001C334F"/>
    <w:rsid w:val="001C33D2"/>
    <w:rsid w:val="001C35A8"/>
    <w:rsid w:val="001C3D63"/>
    <w:rsid w:val="001C426E"/>
    <w:rsid w:val="001C4BA4"/>
    <w:rsid w:val="001C4D03"/>
    <w:rsid w:val="001C4FDD"/>
    <w:rsid w:val="001C5230"/>
    <w:rsid w:val="001C5B70"/>
    <w:rsid w:val="001C6294"/>
    <w:rsid w:val="001C6425"/>
    <w:rsid w:val="001C696D"/>
    <w:rsid w:val="001C6B96"/>
    <w:rsid w:val="001C6F76"/>
    <w:rsid w:val="001C73A2"/>
    <w:rsid w:val="001C7957"/>
    <w:rsid w:val="001C7DDF"/>
    <w:rsid w:val="001D08C1"/>
    <w:rsid w:val="001D0E91"/>
    <w:rsid w:val="001D1207"/>
    <w:rsid w:val="001D1269"/>
    <w:rsid w:val="001D191E"/>
    <w:rsid w:val="001D1BC0"/>
    <w:rsid w:val="001D23BC"/>
    <w:rsid w:val="001D297C"/>
    <w:rsid w:val="001D32BE"/>
    <w:rsid w:val="001D3B5E"/>
    <w:rsid w:val="001D418E"/>
    <w:rsid w:val="001D41B4"/>
    <w:rsid w:val="001D4AF1"/>
    <w:rsid w:val="001D53E6"/>
    <w:rsid w:val="001D5428"/>
    <w:rsid w:val="001D587F"/>
    <w:rsid w:val="001D6525"/>
    <w:rsid w:val="001D65E5"/>
    <w:rsid w:val="001D70ED"/>
    <w:rsid w:val="001D725F"/>
    <w:rsid w:val="001D761C"/>
    <w:rsid w:val="001D78AD"/>
    <w:rsid w:val="001D7AAC"/>
    <w:rsid w:val="001E0564"/>
    <w:rsid w:val="001E06C2"/>
    <w:rsid w:val="001E0AB5"/>
    <w:rsid w:val="001E0AC1"/>
    <w:rsid w:val="001E2286"/>
    <w:rsid w:val="001E2A23"/>
    <w:rsid w:val="001E2AA5"/>
    <w:rsid w:val="001E324A"/>
    <w:rsid w:val="001E37EF"/>
    <w:rsid w:val="001E49B3"/>
    <w:rsid w:val="001E4ED2"/>
    <w:rsid w:val="001E528C"/>
    <w:rsid w:val="001E5601"/>
    <w:rsid w:val="001E57CD"/>
    <w:rsid w:val="001E5AB5"/>
    <w:rsid w:val="001E5F7D"/>
    <w:rsid w:val="001E6652"/>
    <w:rsid w:val="001E686A"/>
    <w:rsid w:val="001E6CDE"/>
    <w:rsid w:val="001E7027"/>
    <w:rsid w:val="001E7055"/>
    <w:rsid w:val="001E718A"/>
    <w:rsid w:val="001F01BA"/>
    <w:rsid w:val="001F03F8"/>
    <w:rsid w:val="001F0743"/>
    <w:rsid w:val="001F0F00"/>
    <w:rsid w:val="001F115C"/>
    <w:rsid w:val="001F1EC2"/>
    <w:rsid w:val="001F1FBC"/>
    <w:rsid w:val="001F2569"/>
    <w:rsid w:val="001F2709"/>
    <w:rsid w:val="001F2855"/>
    <w:rsid w:val="001F2C0A"/>
    <w:rsid w:val="001F2F14"/>
    <w:rsid w:val="001F39DB"/>
    <w:rsid w:val="001F3B45"/>
    <w:rsid w:val="001F3B4A"/>
    <w:rsid w:val="001F41DF"/>
    <w:rsid w:val="001F43B8"/>
    <w:rsid w:val="001F469E"/>
    <w:rsid w:val="001F4AC5"/>
    <w:rsid w:val="001F5052"/>
    <w:rsid w:val="001F5982"/>
    <w:rsid w:val="001F6169"/>
    <w:rsid w:val="001F6FD8"/>
    <w:rsid w:val="001F7084"/>
    <w:rsid w:val="001F7753"/>
    <w:rsid w:val="001F7A2C"/>
    <w:rsid w:val="001F7ED0"/>
    <w:rsid w:val="00200134"/>
    <w:rsid w:val="002003AF"/>
    <w:rsid w:val="002004B3"/>
    <w:rsid w:val="00201172"/>
    <w:rsid w:val="0020163F"/>
    <w:rsid w:val="002018EC"/>
    <w:rsid w:val="00201A1E"/>
    <w:rsid w:val="00202181"/>
    <w:rsid w:val="00202926"/>
    <w:rsid w:val="00202F2E"/>
    <w:rsid w:val="00202FAC"/>
    <w:rsid w:val="00203447"/>
    <w:rsid w:val="002045CC"/>
    <w:rsid w:val="0020483E"/>
    <w:rsid w:val="00204BFD"/>
    <w:rsid w:val="00204CD5"/>
    <w:rsid w:val="002050B9"/>
    <w:rsid w:val="002057D7"/>
    <w:rsid w:val="002059A3"/>
    <w:rsid w:val="002061DC"/>
    <w:rsid w:val="00206420"/>
    <w:rsid w:val="0020645B"/>
    <w:rsid w:val="00206481"/>
    <w:rsid w:val="00206CEA"/>
    <w:rsid w:val="00207BD5"/>
    <w:rsid w:val="00207BEE"/>
    <w:rsid w:val="00207C9D"/>
    <w:rsid w:val="00210568"/>
    <w:rsid w:val="002106A4"/>
    <w:rsid w:val="00211A7F"/>
    <w:rsid w:val="00211D98"/>
    <w:rsid w:val="002122CD"/>
    <w:rsid w:val="00213D53"/>
    <w:rsid w:val="00213EE6"/>
    <w:rsid w:val="002140B3"/>
    <w:rsid w:val="00214A15"/>
    <w:rsid w:val="00214B05"/>
    <w:rsid w:val="00214B74"/>
    <w:rsid w:val="00215337"/>
    <w:rsid w:val="002153A1"/>
    <w:rsid w:val="00216952"/>
    <w:rsid w:val="00216B5C"/>
    <w:rsid w:val="00216D97"/>
    <w:rsid w:val="00216DBE"/>
    <w:rsid w:val="00216FEA"/>
    <w:rsid w:val="0021745C"/>
    <w:rsid w:val="0021782A"/>
    <w:rsid w:val="00217D69"/>
    <w:rsid w:val="0022038B"/>
    <w:rsid w:val="002204A7"/>
    <w:rsid w:val="00220E66"/>
    <w:rsid w:val="00221EBF"/>
    <w:rsid w:val="0022359E"/>
    <w:rsid w:val="0022372B"/>
    <w:rsid w:val="00223971"/>
    <w:rsid w:val="00223D5C"/>
    <w:rsid w:val="002241EE"/>
    <w:rsid w:val="00225296"/>
    <w:rsid w:val="002252BE"/>
    <w:rsid w:val="00225725"/>
    <w:rsid w:val="00225D3D"/>
    <w:rsid w:val="00225EC9"/>
    <w:rsid w:val="00227A83"/>
    <w:rsid w:val="00227E58"/>
    <w:rsid w:val="00230468"/>
    <w:rsid w:val="0023060D"/>
    <w:rsid w:val="00230880"/>
    <w:rsid w:val="002308BD"/>
    <w:rsid w:val="00230BD6"/>
    <w:rsid w:val="00230F4C"/>
    <w:rsid w:val="00231888"/>
    <w:rsid w:val="00231C3D"/>
    <w:rsid w:val="002321A5"/>
    <w:rsid w:val="002332D4"/>
    <w:rsid w:val="00233B1E"/>
    <w:rsid w:val="00233FBC"/>
    <w:rsid w:val="002347E1"/>
    <w:rsid w:val="00234B57"/>
    <w:rsid w:val="00234B85"/>
    <w:rsid w:val="00235375"/>
    <w:rsid w:val="00235A4A"/>
    <w:rsid w:val="00235FCA"/>
    <w:rsid w:val="00236231"/>
    <w:rsid w:val="00236834"/>
    <w:rsid w:val="00236BD4"/>
    <w:rsid w:val="00236C90"/>
    <w:rsid w:val="0024036B"/>
    <w:rsid w:val="00240383"/>
    <w:rsid w:val="0024043E"/>
    <w:rsid w:val="002407E9"/>
    <w:rsid w:val="00241148"/>
    <w:rsid w:val="002412A1"/>
    <w:rsid w:val="00241A0D"/>
    <w:rsid w:val="00241AEE"/>
    <w:rsid w:val="002425E4"/>
    <w:rsid w:val="00242EBE"/>
    <w:rsid w:val="002446E0"/>
    <w:rsid w:val="00244E20"/>
    <w:rsid w:val="002450E1"/>
    <w:rsid w:val="00245D8B"/>
    <w:rsid w:val="00246474"/>
    <w:rsid w:val="00246827"/>
    <w:rsid w:val="002469C1"/>
    <w:rsid w:val="00247EC4"/>
    <w:rsid w:val="002504EA"/>
    <w:rsid w:val="002504F3"/>
    <w:rsid w:val="0025167A"/>
    <w:rsid w:val="00251B58"/>
    <w:rsid w:val="00251BC2"/>
    <w:rsid w:val="00251C07"/>
    <w:rsid w:val="0025228A"/>
    <w:rsid w:val="00252779"/>
    <w:rsid w:val="00252A6A"/>
    <w:rsid w:val="0025386E"/>
    <w:rsid w:val="0025448D"/>
    <w:rsid w:val="00254F84"/>
    <w:rsid w:val="00256121"/>
    <w:rsid w:val="0025631E"/>
    <w:rsid w:val="00256C30"/>
    <w:rsid w:val="00256E1B"/>
    <w:rsid w:val="00256F61"/>
    <w:rsid w:val="0025738B"/>
    <w:rsid w:val="00257DEC"/>
    <w:rsid w:val="0026001F"/>
    <w:rsid w:val="0026008E"/>
    <w:rsid w:val="00260592"/>
    <w:rsid w:val="00260A22"/>
    <w:rsid w:val="002614C6"/>
    <w:rsid w:val="00261DB4"/>
    <w:rsid w:val="00262045"/>
    <w:rsid w:val="00262201"/>
    <w:rsid w:val="00262258"/>
    <w:rsid w:val="002625D2"/>
    <w:rsid w:val="002625E1"/>
    <w:rsid w:val="0026292B"/>
    <w:rsid w:val="00262F76"/>
    <w:rsid w:val="0026300D"/>
    <w:rsid w:val="0026306F"/>
    <w:rsid w:val="002630BB"/>
    <w:rsid w:val="00263643"/>
    <w:rsid w:val="00263937"/>
    <w:rsid w:val="00263A29"/>
    <w:rsid w:val="00263C8D"/>
    <w:rsid w:val="002643D0"/>
    <w:rsid w:val="00264541"/>
    <w:rsid w:val="00264AAB"/>
    <w:rsid w:val="00264E70"/>
    <w:rsid w:val="00265313"/>
    <w:rsid w:val="00265B82"/>
    <w:rsid w:val="002669CF"/>
    <w:rsid w:val="002670B6"/>
    <w:rsid w:val="00267B8B"/>
    <w:rsid w:val="00270798"/>
    <w:rsid w:val="0027127E"/>
    <w:rsid w:val="0027190E"/>
    <w:rsid w:val="002720D6"/>
    <w:rsid w:val="0027277D"/>
    <w:rsid w:val="00272999"/>
    <w:rsid w:val="00272B84"/>
    <w:rsid w:val="00272FAB"/>
    <w:rsid w:val="0027459A"/>
    <w:rsid w:val="002752B3"/>
    <w:rsid w:val="0027544B"/>
    <w:rsid w:val="002757C5"/>
    <w:rsid w:val="00275A47"/>
    <w:rsid w:val="00276071"/>
    <w:rsid w:val="002764F5"/>
    <w:rsid w:val="00276521"/>
    <w:rsid w:val="0027694C"/>
    <w:rsid w:val="0027761B"/>
    <w:rsid w:val="00277A77"/>
    <w:rsid w:val="00280061"/>
    <w:rsid w:val="002800A9"/>
    <w:rsid w:val="00280A4D"/>
    <w:rsid w:val="00280F70"/>
    <w:rsid w:val="0028138C"/>
    <w:rsid w:val="00281A47"/>
    <w:rsid w:val="00281A63"/>
    <w:rsid w:val="0028223B"/>
    <w:rsid w:val="00282665"/>
    <w:rsid w:val="0028274C"/>
    <w:rsid w:val="002833A1"/>
    <w:rsid w:val="00283B09"/>
    <w:rsid w:val="00283B83"/>
    <w:rsid w:val="00283FD9"/>
    <w:rsid w:val="0028406E"/>
    <w:rsid w:val="002840C1"/>
    <w:rsid w:val="00284461"/>
    <w:rsid w:val="00284D29"/>
    <w:rsid w:val="00285A6A"/>
    <w:rsid w:val="00285A86"/>
    <w:rsid w:val="00285C8A"/>
    <w:rsid w:val="002865F6"/>
    <w:rsid w:val="00286689"/>
    <w:rsid w:val="0028670F"/>
    <w:rsid w:val="002869EA"/>
    <w:rsid w:val="002871E5"/>
    <w:rsid w:val="002878C8"/>
    <w:rsid w:val="00287BC8"/>
    <w:rsid w:val="00290AB4"/>
    <w:rsid w:val="00290B28"/>
    <w:rsid w:val="00290E53"/>
    <w:rsid w:val="00291248"/>
    <w:rsid w:val="00291486"/>
    <w:rsid w:val="002925E5"/>
    <w:rsid w:val="00292BDA"/>
    <w:rsid w:val="00293CE4"/>
    <w:rsid w:val="002940BE"/>
    <w:rsid w:val="00296492"/>
    <w:rsid w:val="002976FE"/>
    <w:rsid w:val="00297F63"/>
    <w:rsid w:val="002A0DA7"/>
    <w:rsid w:val="002A10FD"/>
    <w:rsid w:val="002A152A"/>
    <w:rsid w:val="002A2387"/>
    <w:rsid w:val="002A256F"/>
    <w:rsid w:val="002A2A8A"/>
    <w:rsid w:val="002A34FE"/>
    <w:rsid w:val="002A4316"/>
    <w:rsid w:val="002A4BAD"/>
    <w:rsid w:val="002A5957"/>
    <w:rsid w:val="002A5E4A"/>
    <w:rsid w:val="002A6C80"/>
    <w:rsid w:val="002A6DAA"/>
    <w:rsid w:val="002A7229"/>
    <w:rsid w:val="002A7A7D"/>
    <w:rsid w:val="002A7BF6"/>
    <w:rsid w:val="002A7E05"/>
    <w:rsid w:val="002B06AD"/>
    <w:rsid w:val="002B0B9E"/>
    <w:rsid w:val="002B0FA7"/>
    <w:rsid w:val="002B1065"/>
    <w:rsid w:val="002B148A"/>
    <w:rsid w:val="002B17B4"/>
    <w:rsid w:val="002B2700"/>
    <w:rsid w:val="002B35B5"/>
    <w:rsid w:val="002B3EB3"/>
    <w:rsid w:val="002B3FC6"/>
    <w:rsid w:val="002B413D"/>
    <w:rsid w:val="002B42AC"/>
    <w:rsid w:val="002B4499"/>
    <w:rsid w:val="002B4BDD"/>
    <w:rsid w:val="002B644C"/>
    <w:rsid w:val="002B668B"/>
    <w:rsid w:val="002B6BB1"/>
    <w:rsid w:val="002B6D6A"/>
    <w:rsid w:val="002B70CE"/>
    <w:rsid w:val="002B7580"/>
    <w:rsid w:val="002B7CB4"/>
    <w:rsid w:val="002C0155"/>
    <w:rsid w:val="002C09DB"/>
    <w:rsid w:val="002C12D8"/>
    <w:rsid w:val="002C130B"/>
    <w:rsid w:val="002C1699"/>
    <w:rsid w:val="002C17B7"/>
    <w:rsid w:val="002C21E7"/>
    <w:rsid w:val="002C22D6"/>
    <w:rsid w:val="002C2E30"/>
    <w:rsid w:val="002C2F6C"/>
    <w:rsid w:val="002C369B"/>
    <w:rsid w:val="002C3988"/>
    <w:rsid w:val="002C3C19"/>
    <w:rsid w:val="002C3CBF"/>
    <w:rsid w:val="002C46A6"/>
    <w:rsid w:val="002C495B"/>
    <w:rsid w:val="002C4B61"/>
    <w:rsid w:val="002C4C91"/>
    <w:rsid w:val="002C4CF9"/>
    <w:rsid w:val="002C4E8F"/>
    <w:rsid w:val="002C51AC"/>
    <w:rsid w:val="002C5945"/>
    <w:rsid w:val="002C5E34"/>
    <w:rsid w:val="002C618C"/>
    <w:rsid w:val="002C6A12"/>
    <w:rsid w:val="002C6E4B"/>
    <w:rsid w:val="002C6F2A"/>
    <w:rsid w:val="002C75AE"/>
    <w:rsid w:val="002C79B4"/>
    <w:rsid w:val="002C7C21"/>
    <w:rsid w:val="002C7D03"/>
    <w:rsid w:val="002D041E"/>
    <w:rsid w:val="002D0AA6"/>
    <w:rsid w:val="002D169E"/>
    <w:rsid w:val="002D212D"/>
    <w:rsid w:val="002D259E"/>
    <w:rsid w:val="002D29B1"/>
    <w:rsid w:val="002D2AAA"/>
    <w:rsid w:val="002D2FCB"/>
    <w:rsid w:val="002D356C"/>
    <w:rsid w:val="002D38FE"/>
    <w:rsid w:val="002D4678"/>
    <w:rsid w:val="002D5126"/>
    <w:rsid w:val="002D5231"/>
    <w:rsid w:val="002D56B4"/>
    <w:rsid w:val="002D5B7B"/>
    <w:rsid w:val="002D65A8"/>
    <w:rsid w:val="002D66AD"/>
    <w:rsid w:val="002D6909"/>
    <w:rsid w:val="002D76F9"/>
    <w:rsid w:val="002E0052"/>
    <w:rsid w:val="002E04BC"/>
    <w:rsid w:val="002E181B"/>
    <w:rsid w:val="002E189F"/>
    <w:rsid w:val="002E222F"/>
    <w:rsid w:val="002E2294"/>
    <w:rsid w:val="002E240B"/>
    <w:rsid w:val="002E2508"/>
    <w:rsid w:val="002E2C88"/>
    <w:rsid w:val="002E3461"/>
    <w:rsid w:val="002E3663"/>
    <w:rsid w:val="002E38B7"/>
    <w:rsid w:val="002E3AC4"/>
    <w:rsid w:val="002E4BC6"/>
    <w:rsid w:val="002E51B6"/>
    <w:rsid w:val="002E5CAD"/>
    <w:rsid w:val="002E5EB5"/>
    <w:rsid w:val="002E5F28"/>
    <w:rsid w:val="002E5F91"/>
    <w:rsid w:val="002E617D"/>
    <w:rsid w:val="002E7030"/>
    <w:rsid w:val="002E72D1"/>
    <w:rsid w:val="002E7344"/>
    <w:rsid w:val="002E76D5"/>
    <w:rsid w:val="002E7D5A"/>
    <w:rsid w:val="002F0158"/>
    <w:rsid w:val="002F2D0C"/>
    <w:rsid w:val="002F3AE7"/>
    <w:rsid w:val="002F3FDC"/>
    <w:rsid w:val="002F4687"/>
    <w:rsid w:val="002F5572"/>
    <w:rsid w:val="002F572A"/>
    <w:rsid w:val="002F6446"/>
    <w:rsid w:val="002F7496"/>
    <w:rsid w:val="002F7A04"/>
    <w:rsid w:val="002F7A05"/>
    <w:rsid w:val="002F7E6E"/>
    <w:rsid w:val="002F7F15"/>
    <w:rsid w:val="00300146"/>
    <w:rsid w:val="00300B68"/>
    <w:rsid w:val="00301142"/>
    <w:rsid w:val="003012F2"/>
    <w:rsid w:val="00302462"/>
    <w:rsid w:val="003025DD"/>
    <w:rsid w:val="003030EE"/>
    <w:rsid w:val="00303379"/>
    <w:rsid w:val="003036A7"/>
    <w:rsid w:val="003037AE"/>
    <w:rsid w:val="00303E2E"/>
    <w:rsid w:val="00303E3C"/>
    <w:rsid w:val="00304040"/>
    <w:rsid w:val="00304A02"/>
    <w:rsid w:val="00305218"/>
    <w:rsid w:val="003054F9"/>
    <w:rsid w:val="00305943"/>
    <w:rsid w:val="00305B7B"/>
    <w:rsid w:val="003066B3"/>
    <w:rsid w:val="00306D76"/>
    <w:rsid w:val="00306F6D"/>
    <w:rsid w:val="00307922"/>
    <w:rsid w:val="003101A1"/>
    <w:rsid w:val="003103C3"/>
    <w:rsid w:val="00311034"/>
    <w:rsid w:val="003119D2"/>
    <w:rsid w:val="00312651"/>
    <w:rsid w:val="0031274A"/>
    <w:rsid w:val="003127FE"/>
    <w:rsid w:val="003134B2"/>
    <w:rsid w:val="003137E4"/>
    <w:rsid w:val="00313845"/>
    <w:rsid w:val="003139A4"/>
    <w:rsid w:val="00313DC6"/>
    <w:rsid w:val="003156EF"/>
    <w:rsid w:val="00315D58"/>
    <w:rsid w:val="00316CB1"/>
    <w:rsid w:val="00317141"/>
    <w:rsid w:val="003176D1"/>
    <w:rsid w:val="00317999"/>
    <w:rsid w:val="00317DB6"/>
    <w:rsid w:val="00317FF3"/>
    <w:rsid w:val="003201FB"/>
    <w:rsid w:val="00320796"/>
    <w:rsid w:val="00320A03"/>
    <w:rsid w:val="00320EAD"/>
    <w:rsid w:val="003210BE"/>
    <w:rsid w:val="003217BE"/>
    <w:rsid w:val="00321A08"/>
    <w:rsid w:val="00321C6F"/>
    <w:rsid w:val="00322232"/>
    <w:rsid w:val="0032333B"/>
    <w:rsid w:val="00323881"/>
    <w:rsid w:val="00324016"/>
    <w:rsid w:val="003254EE"/>
    <w:rsid w:val="00325C86"/>
    <w:rsid w:val="00326094"/>
    <w:rsid w:val="00326417"/>
    <w:rsid w:val="00326472"/>
    <w:rsid w:val="0032650A"/>
    <w:rsid w:val="003266EB"/>
    <w:rsid w:val="00326806"/>
    <w:rsid w:val="00327484"/>
    <w:rsid w:val="003275DD"/>
    <w:rsid w:val="00330122"/>
    <w:rsid w:val="003301B3"/>
    <w:rsid w:val="00330E70"/>
    <w:rsid w:val="0033111B"/>
    <w:rsid w:val="003312E0"/>
    <w:rsid w:val="00331AC9"/>
    <w:rsid w:val="00332563"/>
    <w:rsid w:val="00332AFA"/>
    <w:rsid w:val="00332CFC"/>
    <w:rsid w:val="00333924"/>
    <w:rsid w:val="00333A77"/>
    <w:rsid w:val="00334116"/>
    <w:rsid w:val="00334165"/>
    <w:rsid w:val="003346A7"/>
    <w:rsid w:val="00334780"/>
    <w:rsid w:val="003351C3"/>
    <w:rsid w:val="0033558F"/>
    <w:rsid w:val="0033596F"/>
    <w:rsid w:val="00336595"/>
    <w:rsid w:val="0033669A"/>
    <w:rsid w:val="00337060"/>
    <w:rsid w:val="003372CB"/>
    <w:rsid w:val="0033779F"/>
    <w:rsid w:val="00337832"/>
    <w:rsid w:val="00340206"/>
    <w:rsid w:val="003407C6"/>
    <w:rsid w:val="0034088A"/>
    <w:rsid w:val="00340A28"/>
    <w:rsid w:val="00340AA4"/>
    <w:rsid w:val="00340B9F"/>
    <w:rsid w:val="003415A3"/>
    <w:rsid w:val="003419AB"/>
    <w:rsid w:val="003419CC"/>
    <w:rsid w:val="003420EA"/>
    <w:rsid w:val="00342281"/>
    <w:rsid w:val="00342EC8"/>
    <w:rsid w:val="003434BA"/>
    <w:rsid w:val="003439E1"/>
    <w:rsid w:val="003446E8"/>
    <w:rsid w:val="00344A83"/>
    <w:rsid w:val="00344F04"/>
    <w:rsid w:val="00344FE2"/>
    <w:rsid w:val="00345041"/>
    <w:rsid w:val="00345C5C"/>
    <w:rsid w:val="0034659A"/>
    <w:rsid w:val="003465AE"/>
    <w:rsid w:val="00346A60"/>
    <w:rsid w:val="0034744D"/>
    <w:rsid w:val="00350266"/>
    <w:rsid w:val="0035133A"/>
    <w:rsid w:val="00351366"/>
    <w:rsid w:val="00351CAC"/>
    <w:rsid w:val="00352201"/>
    <w:rsid w:val="003525E3"/>
    <w:rsid w:val="00353C5C"/>
    <w:rsid w:val="00353E6D"/>
    <w:rsid w:val="003546B8"/>
    <w:rsid w:val="003547EE"/>
    <w:rsid w:val="003548D4"/>
    <w:rsid w:val="00354BFA"/>
    <w:rsid w:val="00355665"/>
    <w:rsid w:val="00355F6F"/>
    <w:rsid w:val="003562C2"/>
    <w:rsid w:val="00356680"/>
    <w:rsid w:val="0035668E"/>
    <w:rsid w:val="00356D30"/>
    <w:rsid w:val="00356D7C"/>
    <w:rsid w:val="00357815"/>
    <w:rsid w:val="00357E24"/>
    <w:rsid w:val="0036007C"/>
    <w:rsid w:val="00362096"/>
    <w:rsid w:val="003629A3"/>
    <w:rsid w:val="00362C32"/>
    <w:rsid w:val="00362F2F"/>
    <w:rsid w:val="00363206"/>
    <w:rsid w:val="00363244"/>
    <w:rsid w:val="00363B82"/>
    <w:rsid w:val="00363BE7"/>
    <w:rsid w:val="00363D2A"/>
    <w:rsid w:val="00363D76"/>
    <w:rsid w:val="00363F91"/>
    <w:rsid w:val="00364CED"/>
    <w:rsid w:val="00364D77"/>
    <w:rsid w:val="00364E02"/>
    <w:rsid w:val="003659FF"/>
    <w:rsid w:val="00365CD7"/>
    <w:rsid w:val="003664ED"/>
    <w:rsid w:val="0036721D"/>
    <w:rsid w:val="00367409"/>
    <w:rsid w:val="003676EA"/>
    <w:rsid w:val="003709E1"/>
    <w:rsid w:val="00370AE8"/>
    <w:rsid w:val="003716DA"/>
    <w:rsid w:val="0037176E"/>
    <w:rsid w:val="003729C8"/>
    <w:rsid w:val="00372F3D"/>
    <w:rsid w:val="00373C63"/>
    <w:rsid w:val="0037426E"/>
    <w:rsid w:val="00375785"/>
    <w:rsid w:val="00375938"/>
    <w:rsid w:val="003773B6"/>
    <w:rsid w:val="003774E7"/>
    <w:rsid w:val="0037789A"/>
    <w:rsid w:val="00377F0B"/>
    <w:rsid w:val="0038025C"/>
    <w:rsid w:val="003807D9"/>
    <w:rsid w:val="00380BA1"/>
    <w:rsid w:val="0038127F"/>
    <w:rsid w:val="0038144C"/>
    <w:rsid w:val="0038150D"/>
    <w:rsid w:val="00381AF2"/>
    <w:rsid w:val="00381B6F"/>
    <w:rsid w:val="00381F4E"/>
    <w:rsid w:val="0038264C"/>
    <w:rsid w:val="0038270A"/>
    <w:rsid w:val="003828BD"/>
    <w:rsid w:val="00383204"/>
    <w:rsid w:val="0038331A"/>
    <w:rsid w:val="0038435C"/>
    <w:rsid w:val="003848F1"/>
    <w:rsid w:val="0038498B"/>
    <w:rsid w:val="00385332"/>
    <w:rsid w:val="003859D6"/>
    <w:rsid w:val="00386B01"/>
    <w:rsid w:val="00387B74"/>
    <w:rsid w:val="00390161"/>
    <w:rsid w:val="00390FCA"/>
    <w:rsid w:val="00391357"/>
    <w:rsid w:val="0039163B"/>
    <w:rsid w:val="00391E29"/>
    <w:rsid w:val="00392036"/>
    <w:rsid w:val="00392881"/>
    <w:rsid w:val="00392B20"/>
    <w:rsid w:val="00392D05"/>
    <w:rsid w:val="00393421"/>
    <w:rsid w:val="00393631"/>
    <w:rsid w:val="00393966"/>
    <w:rsid w:val="00393FBD"/>
    <w:rsid w:val="003943FB"/>
    <w:rsid w:val="00394A09"/>
    <w:rsid w:val="00394A9C"/>
    <w:rsid w:val="00394C66"/>
    <w:rsid w:val="003954D7"/>
    <w:rsid w:val="003954E1"/>
    <w:rsid w:val="00395A50"/>
    <w:rsid w:val="00395AFD"/>
    <w:rsid w:val="00396A43"/>
    <w:rsid w:val="003971A3"/>
    <w:rsid w:val="00397295"/>
    <w:rsid w:val="0039734D"/>
    <w:rsid w:val="00397589"/>
    <w:rsid w:val="003A0276"/>
    <w:rsid w:val="003A0777"/>
    <w:rsid w:val="003A0D03"/>
    <w:rsid w:val="003A2392"/>
    <w:rsid w:val="003A2460"/>
    <w:rsid w:val="003A25B8"/>
    <w:rsid w:val="003A2DCC"/>
    <w:rsid w:val="003A379C"/>
    <w:rsid w:val="003A38C6"/>
    <w:rsid w:val="003A39B2"/>
    <w:rsid w:val="003A3C50"/>
    <w:rsid w:val="003A48AF"/>
    <w:rsid w:val="003A4EAF"/>
    <w:rsid w:val="003A4FA3"/>
    <w:rsid w:val="003A5018"/>
    <w:rsid w:val="003A5131"/>
    <w:rsid w:val="003A6136"/>
    <w:rsid w:val="003A647F"/>
    <w:rsid w:val="003A6D78"/>
    <w:rsid w:val="003A73F5"/>
    <w:rsid w:val="003A7471"/>
    <w:rsid w:val="003A76D9"/>
    <w:rsid w:val="003A78B8"/>
    <w:rsid w:val="003A7E0E"/>
    <w:rsid w:val="003B0A45"/>
    <w:rsid w:val="003B13FA"/>
    <w:rsid w:val="003B3082"/>
    <w:rsid w:val="003B321A"/>
    <w:rsid w:val="003B350E"/>
    <w:rsid w:val="003B3928"/>
    <w:rsid w:val="003B3B67"/>
    <w:rsid w:val="003B3DA0"/>
    <w:rsid w:val="003B4B2D"/>
    <w:rsid w:val="003B5177"/>
    <w:rsid w:val="003B5193"/>
    <w:rsid w:val="003B5240"/>
    <w:rsid w:val="003B540D"/>
    <w:rsid w:val="003B579C"/>
    <w:rsid w:val="003B7217"/>
    <w:rsid w:val="003B724C"/>
    <w:rsid w:val="003B7362"/>
    <w:rsid w:val="003B7926"/>
    <w:rsid w:val="003C0068"/>
    <w:rsid w:val="003C011E"/>
    <w:rsid w:val="003C0288"/>
    <w:rsid w:val="003C05B2"/>
    <w:rsid w:val="003C14E1"/>
    <w:rsid w:val="003C1781"/>
    <w:rsid w:val="003C187F"/>
    <w:rsid w:val="003C1922"/>
    <w:rsid w:val="003C1DFE"/>
    <w:rsid w:val="003C25D4"/>
    <w:rsid w:val="003C41CA"/>
    <w:rsid w:val="003C44D3"/>
    <w:rsid w:val="003C4C74"/>
    <w:rsid w:val="003C4EB3"/>
    <w:rsid w:val="003C4F62"/>
    <w:rsid w:val="003C5379"/>
    <w:rsid w:val="003C5B31"/>
    <w:rsid w:val="003C7275"/>
    <w:rsid w:val="003D078B"/>
    <w:rsid w:val="003D08A6"/>
    <w:rsid w:val="003D0B9E"/>
    <w:rsid w:val="003D0DAD"/>
    <w:rsid w:val="003D0E70"/>
    <w:rsid w:val="003D1358"/>
    <w:rsid w:val="003D1765"/>
    <w:rsid w:val="003D2970"/>
    <w:rsid w:val="003D2CBF"/>
    <w:rsid w:val="003D30E2"/>
    <w:rsid w:val="003D3651"/>
    <w:rsid w:val="003D4284"/>
    <w:rsid w:val="003D4611"/>
    <w:rsid w:val="003D4CF4"/>
    <w:rsid w:val="003D4FA1"/>
    <w:rsid w:val="003D5612"/>
    <w:rsid w:val="003D596F"/>
    <w:rsid w:val="003D5D87"/>
    <w:rsid w:val="003D5F17"/>
    <w:rsid w:val="003D66AC"/>
    <w:rsid w:val="003D7AC4"/>
    <w:rsid w:val="003D7D23"/>
    <w:rsid w:val="003E03AD"/>
    <w:rsid w:val="003E0F90"/>
    <w:rsid w:val="003E16A5"/>
    <w:rsid w:val="003E2983"/>
    <w:rsid w:val="003E3579"/>
    <w:rsid w:val="003E382E"/>
    <w:rsid w:val="003E415F"/>
    <w:rsid w:val="003E4498"/>
    <w:rsid w:val="003E4833"/>
    <w:rsid w:val="003E4D5C"/>
    <w:rsid w:val="003E519D"/>
    <w:rsid w:val="003E56BF"/>
    <w:rsid w:val="003E5878"/>
    <w:rsid w:val="003E59B3"/>
    <w:rsid w:val="003E609A"/>
    <w:rsid w:val="003E6152"/>
    <w:rsid w:val="003E6306"/>
    <w:rsid w:val="003E692A"/>
    <w:rsid w:val="003E7300"/>
    <w:rsid w:val="003E7559"/>
    <w:rsid w:val="003E7CB6"/>
    <w:rsid w:val="003E7E87"/>
    <w:rsid w:val="003F02AA"/>
    <w:rsid w:val="003F04AC"/>
    <w:rsid w:val="003F098B"/>
    <w:rsid w:val="003F0BC5"/>
    <w:rsid w:val="003F1C12"/>
    <w:rsid w:val="003F2BEC"/>
    <w:rsid w:val="003F2FD2"/>
    <w:rsid w:val="003F3CCD"/>
    <w:rsid w:val="003F3FE5"/>
    <w:rsid w:val="003F4AC9"/>
    <w:rsid w:val="003F4C3F"/>
    <w:rsid w:val="003F4EF9"/>
    <w:rsid w:val="003F5BFD"/>
    <w:rsid w:val="003F5CA4"/>
    <w:rsid w:val="003F678C"/>
    <w:rsid w:val="003F7339"/>
    <w:rsid w:val="003F76FB"/>
    <w:rsid w:val="003F78C3"/>
    <w:rsid w:val="004004D0"/>
    <w:rsid w:val="004008DE"/>
    <w:rsid w:val="00400B09"/>
    <w:rsid w:val="00400DEF"/>
    <w:rsid w:val="00401116"/>
    <w:rsid w:val="004012F3"/>
    <w:rsid w:val="00401E2D"/>
    <w:rsid w:val="00402A8E"/>
    <w:rsid w:val="00403658"/>
    <w:rsid w:val="004036C3"/>
    <w:rsid w:val="00403ADF"/>
    <w:rsid w:val="00403F46"/>
    <w:rsid w:val="00404865"/>
    <w:rsid w:val="00404B8A"/>
    <w:rsid w:val="004056B5"/>
    <w:rsid w:val="00405DA1"/>
    <w:rsid w:val="00405F5B"/>
    <w:rsid w:val="00406938"/>
    <w:rsid w:val="004069B4"/>
    <w:rsid w:val="004079FD"/>
    <w:rsid w:val="00407FB0"/>
    <w:rsid w:val="004105B6"/>
    <w:rsid w:val="00410967"/>
    <w:rsid w:val="00411131"/>
    <w:rsid w:val="00411342"/>
    <w:rsid w:val="004122F7"/>
    <w:rsid w:val="00412898"/>
    <w:rsid w:val="00412D2F"/>
    <w:rsid w:val="00413CBA"/>
    <w:rsid w:val="00413EDE"/>
    <w:rsid w:val="00413F79"/>
    <w:rsid w:val="0041468F"/>
    <w:rsid w:val="0041486D"/>
    <w:rsid w:val="00414A42"/>
    <w:rsid w:val="00414B7C"/>
    <w:rsid w:val="00414CBB"/>
    <w:rsid w:val="00414F04"/>
    <w:rsid w:val="00415503"/>
    <w:rsid w:val="00415D66"/>
    <w:rsid w:val="00416768"/>
    <w:rsid w:val="00416C8D"/>
    <w:rsid w:val="00416E76"/>
    <w:rsid w:val="004171B9"/>
    <w:rsid w:val="0041720F"/>
    <w:rsid w:val="004173BC"/>
    <w:rsid w:val="004179ED"/>
    <w:rsid w:val="004201EA"/>
    <w:rsid w:val="00420D4C"/>
    <w:rsid w:val="00420E29"/>
    <w:rsid w:val="004210DC"/>
    <w:rsid w:val="00422BDA"/>
    <w:rsid w:val="00422C2E"/>
    <w:rsid w:val="00423C28"/>
    <w:rsid w:val="00423FDE"/>
    <w:rsid w:val="004243B7"/>
    <w:rsid w:val="00424638"/>
    <w:rsid w:val="0042483B"/>
    <w:rsid w:val="0042530D"/>
    <w:rsid w:val="0042555D"/>
    <w:rsid w:val="004255E1"/>
    <w:rsid w:val="004259C3"/>
    <w:rsid w:val="00425B09"/>
    <w:rsid w:val="00425ED4"/>
    <w:rsid w:val="004263DD"/>
    <w:rsid w:val="00426882"/>
    <w:rsid w:val="00427670"/>
    <w:rsid w:val="00427C2B"/>
    <w:rsid w:val="00427C45"/>
    <w:rsid w:val="0043114A"/>
    <w:rsid w:val="0043130F"/>
    <w:rsid w:val="0043151A"/>
    <w:rsid w:val="00431730"/>
    <w:rsid w:val="00431C7E"/>
    <w:rsid w:val="00432218"/>
    <w:rsid w:val="004327DD"/>
    <w:rsid w:val="00432DB5"/>
    <w:rsid w:val="00433308"/>
    <w:rsid w:val="00433497"/>
    <w:rsid w:val="0043350F"/>
    <w:rsid w:val="004347E4"/>
    <w:rsid w:val="00434CED"/>
    <w:rsid w:val="00436108"/>
    <w:rsid w:val="004365DE"/>
    <w:rsid w:val="0043690B"/>
    <w:rsid w:val="00437116"/>
    <w:rsid w:val="0043722C"/>
    <w:rsid w:val="00437516"/>
    <w:rsid w:val="00437AD2"/>
    <w:rsid w:val="0044013C"/>
    <w:rsid w:val="00440A8F"/>
    <w:rsid w:val="00440EE9"/>
    <w:rsid w:val="00440F89"/>
    <w:rsid w:val="00441285"/>
    <w:rsid w:val="0044132A"/>
    <w:rsid w:val="004415F0"/>
    <w:rsid w:val="0044185D"/>
    <w:rsid w:val="00441A2D"/>
    <w:rsid w:val="00441E7F"/>
    <w:rsid w:val="00441F2A"/>
    <w:rsid w:val="004420D2"/>
    <w:rsid w:val="00442278"/>
    <w:rsid w:val="00442709"/>
    <w:rsid w:val="00442C20"/>
    <w:rsid w:val="00443A9B"/>
    <w:rsid w:val="00443F67"/>
    <w:rsid w:val="0044404A"/>
    <w:rsid w:val="00444113"/>
    <w:rsid w:val="00444574"/>
    <w:rsid w:val="0044461C"/>
    <w:rsid w:val="004449CA"/>
    <w:rsid w:val="004454ED"/>
    <w:rsid w:val="00445B5A"/>
    <w:rsid w:val="00445DE9"/>
    <w:rsid w:val="004462FC"/>
    <w:rsid w:val="004464F4"/>
    <w:rsid w:val="004473DE"/>
    <w:rsid w:val="00447489"/>
    <w:rsid w:val="00447568"/>
    <w:rsid w:val="00447650"/>
    <w:rsid w:val="00451141"/>
    <w:rsid w:val="004527E7"/>
    <w:rsid w:val="004528FD"/>
    <w:rsid w:val="00452C87"/>
    <w:rsid w:val="00453861"/>
    <w:rsid w:val="00453F57"/>
    <w:rsid w:val="00454633"/>
    <w:rsid w:val="00454716"/>
    <w:rsid w:val="0045547C"/>
    <w:rsid w:val="00455DB7"/>
    <w:rsid w:val="00455E44"/>
    <w:rsid w:val="00456C86"/>
    <w:rsid w:val="00457A87"/>
    <w:rsid w:val="0046013E"/>
    <w:rsid w:val="00460219"/>
    <w:rsid w:val="00460371"/>
    <w:rsid w:val="00460884"/>
    <w:rsid w:val="00460958"/>
    <w:rsid w:val="00461A75"/>
    <w:rsid w:val="00461F30"/>
    <w:rsid w:val="00462510"/>
    <w:rsid w:val="00462BA7"/>
    <w:rsid w:val="00463229"/>
    <w:rsid w:val="00463F7B"/>
    <w:rsid w:val="00464593"/>
    <w:rsid w:val="0046467D"/>
    <w:rsid w:val="00464821"/>
    <w:rsid w:val="004659CC"/>
    <w:rsid w:val="00465AEE"/>
    <w:rsid w:val="00465CDD"/>
    <w:rsid w:val="00466155"/>
    <w:rsid w:val="00466917"/>
    <w:rsid w:val="00466B7E"/>
    <w:rsid w:val="00466DC9"/>
    <w:rsid w:val="00467E35"/>
    <w:rsid w:val="00467E51"/>
    <w:rsid w:val="00467F0D"/>
    <w:rsid w:val="00470CEA"/>
    <w:rsid w:val="004711B1"/>
    <w:rsid w:val="00471558"/>
    <w:rsid w:val="004715B5"/>
    <w:rsid w:val="00471920"/>
    <w:rsid w:val="00471B43"/>
    <w:rsid w:val="00472174"/>
    <w:rsid w:val="00472249"/>
    <w:rsid w:val="00472328"/>
    <w:rsid w:val="0047323D"/>
    <w:rsid w:val="00473A54"/>
    <w:rsid w:val="00473DF0"/>
    <w:rsid w:val="00474436"/>
    <w:rsid w:val="00474684"/>
    <w:rsid w:val="00475279"/>
    <w:rsid w:val="0047539A"/>
    <w:rsid w:val="00476726"/>
    <w:rsid w:val="00477C39"/>
    <w:rsid w:val="004809EA"/>
    <w:rsid w:val="00481F00"/>
    <w:rsid w:val="0048209E"/>
    <w:rsid w:val="00482409"/>
    <w:rsid w:val="00482988"/>
    <w:rsid w:val="00482E42"/>
    <w:rsid w:val="00482F0F"/>
    <w:rsid w:val="00483093"/>
    <w:rsid w:val="00483987"/>
    <w:rsid w:val="00483A28"/>
    <w:rsid w:val="00483A78"/>
    <w:rsid w:val="00483B00"/>
    <w:rsid w:val="00483B44"/>
    <w:rsid w:val="004850BA"/>
    <w:rsid w:val="00486123"/>
    <w:rsid w:val="004864A8"/>
    <w:rsid w:val="00486D24"/>
    <w:rsid w:val="00486E1A"/>
    <w:rsid w:val="00487472"/>
    <w:rsid w:val="00490AF2"/>
    <w:rsid w:val="00491287"/>
    <w:rsid w:val="00491C61"/>
    <w:rsid w:val="004924AE"/>
    <w:rsid w:val="0049310E"/>
    <w:rsid w:val="00493139"/>
    <w:rsid w:val="00493E86"/>
    <w:rsid w:val="00494E38"/>
    <w:rsid w:val="00495137"/>
    <w:rsid w:val="004951A7"/>
    <w:rsid w:val="004954E3"/>
    <w:rsid w:val="004955AB"/>
    <w:rsid w:val="00496178"/>
    <w:rsid w:val="00497AD0"/>
    <w:rsid w:val="004A0007"/>
    <w:rsid w:val="004A032E"/>
    <w:rsid w:val="004A0C4A"/>
    <w:rsid w:val="004A0C9D"/>
    <w:rsid w:val="004A19A4"/>
    <w:rsid w:val="004A1B31"/>
    <w:rsid w:val="004A1B63"/>
    <w:rsid w:val="004A2018"/>
    <w:rsid w:val="004A2E6F"/>
    <w:rsid w:val="004A3217"/>
    <w:rsid w:val="004A3588"/>
    <w:rsid w:val="004A35B4"/>
    <w:rsid w:val="004A45EC"/>
    <w:rsid w:val="004A4951"/>
    <w:rsid w:val="004A54EF"/>
    <w:rsid w:val="004A6681"/>
    <w:rsid w:val="004A66FC"/>
    <w:rsid w:val="004A6714"/>
    <w:rsid w:val="004A68F1"/>
    <w:rsid w:val="004A6FF6"/>
    <w:rsid w:val="004A724B"/>
    <w:rsid w:val="004A72CA"/>
    <w:rsid w:val="004A7457"/>
    <w:rsid w:val="004A7D00"/>
    <w:rsid w:val="004B020C"/>
    <w:rsid w:val="004B04EC"/>
    <w:rsid w:val="004B0D50"/>
    <w:rsid w:val="004B0DF4"/>
    <w:rsid w:val="004B0E74"/>
    <w:rsid w:val="004B1D98"/>
    <w:rsid w:val="004B257F"/>
    <w:rsid w:val="004B30C6"/>
    <w:rsid w:val="004B4383"/>
    <w:rsid w:val="004B485F"/>
    <w:rsid w:val="004B4D49"/>
    <w:rsid w:val="004B50C7"/>
    <w:rsid w:val="004B52FD"/>
    <w:rsid w:val="004B55D6"/>
    <w:rsid w:val="004B58E0"/>
    <w:rsid w:val="004B59A2"/>
    <w:rsid w:val="004B5DC6"/>
    <w:rsid w:val="004B6161"/>
    <w:rsid w:val="004B7896"/>
    <w:rsid w:val="004C0161"/>
    <w:rsid w:val="004C0417"/>
    <w:rsid w:val="004C1194"/>
    <w:rsid w:val="004C138F"/>
    <w:rsid w:val="004C1FE5"/>
    <w:rsid w:val="004C27B8"/>
    <w:rsid w:val="004C2CCC"/>
    <w:rsid w:val="004C349B"/>
    <w:rsid w:val="004C3D58"/>
    <w:rsid w:val="004C3EEE"/>
    <w:rsid w:val="004C4023"/>
    <w:rsid w:val="004C4275"/>
    <w:rsid w:val="004C48E0"/>
    <w:rsid w:val="004C4A8C"/>
    <w:rsid w:val="004C4C9E"/>
    <w:rsid w:val="004C52E5"/>
    <w:rsid w:val="004C59B4"/>
    <w:rsid w:val="004C5C27"/>
    <w:rsid w:val="004C5D76"/>
    <w:rsid w:val="004C6291"/>
    <w:rsid w:val="004C65B6"/>
    <w:rsid w:val="004C7894"/>
    <w:rsid w:val="004D03FD"/>
    <w:rsid w:val="004D0733"/>
    <w:rsid w:val="004D0AAD"/>
    <w:rsid w:val="004D0CB0"/>
    <w:rsid w:val="004D0E9F"/>
    <w:rsid w:val="004D15BD"/>
    <w:rsid w:val="004D1D7C"/>
    <w:rsid w:val="004D1FFC"/>
    <w:rsid w:val="004D2191"/>
    <w:rsid w:val="004D2AED"/>
    <w:rsid w:val="004D2BB0"/>
    <w:rsid w:val="004D3594"/>
    <w:rsid w:val="004D38FF"/>
    <w:rsid w:val="004D435C"/>
    <w:rsid w:val="004D48FE"/>
    <w:rsid w:val="004D4F69"/>
    <w:rsid w:val="004D5756"/>
    <w:rsid w:val="004D58AC"/>
    <w:rsid w:val="004D5A00"/>
    <w:rsid w:val="004D744C"/>
    <w:rsid w:val="004D7E57"/>
    <w:rsid w:val="004D7FF5"/>
    <w:rsid w:val="004E0EF5"/>
    <w:rsid w:val="004E12DE"/>
    <w:rsid w:val="004E14C5"/>
    <w:rsid w:val="004E17F0"/>
    <w:rsid w:val="004E18B1"/>
    <w:rsid w:val="004E1FFF"/>
    <w:rsid w:val="004E22E3"/>
    <w:rsid w:val="004E22EF"/>
    <w:rsid w:val="004E2ED1"/>
    <w:rsid w:val="004E3321"/>
    <w:rsid w:val="004E36C3"/>
    <w:rsid w:val="004E435D"/>
    <w:rsid w:val="004E476E"/>
    <w:rsid w:val="004E4E15"/>
    <w:rsid w:val="004E5288"/>
    <w:rsid w:val="004E5455"/>
    <w:rsid w:val="004E5457"/>
    <w:rsid w:val="004E578B"/>
    <w:rsid w:val="004E5A61"/>
    <w:rsid w:val="004E5BCD"/>
    <w:rsid w:val="004E738A"/>
    <w:rsid w:val="004E7538"/>
    <w:rsid w:val="004F0184"/>
    <w:rsid w:val="004F05EE"/>
    <w:rsid w:val="004F07CB"/>
    <w:rsid w:val="004F08FB"/>
    <w:rsid w:val="004F1A90"/>
    <w:rsid w:val="004F1BB0"/>
    <w:rsid w:val="004F1C90"/>
    <w:rsid w:val="004F2289"/>
    <w:rsid w:val="004F2C2A"/>
    <w:rsid w:val="004F30AE"/>
    <w:rsid w:val="004F310F"/>
    <w:rsid w:val="004F3D0A"/>
    <w:rsid w:val="004F50E6"/>
    <w:rsid w:val="004F5535"/>
    <w:rsid w:val="004F58F3"/>
    <w:rsid w:val="004F6876"/>
    <w:rsid w:val="004F6970"/>
    <w:rsid w:val="004F6A00"/>
    <w:rsid w:val="004F7477"/>
    <w:rsid w:val="004F7529"/>
    <w:rsid w:val="005004F7"/>
    <w:rsid w:val="00500738"/>
    <w:rsid w:val="00500953"/>
    <w:rsid w:val="005009B1"/>
    <w:rsid w:val="00500F09"/>
    <w:rsid w:val="0050113E"/>
    <w:rsid w:val="00501233"/>
    <w:rsid w:val="0050137D"/>
    <w:rsid w:val="0050139B"/>
    <w:rsid w:val="005017E3"/>
    <w:rsid w:val="00503341"/>
    <w:rsid w:val="00503395"/>
    <w:rsid w:val="00503AB8"/>
    <w:rsid w:val="00503AD9"/>
    <w:rsid w:val="00503BBA"/>
    <w:rsid w:val="00503F3D"/>
    <w:rsid w:val="0050499F"/>
    <w:rsid w:val="005050CB"/>
    <w:rsid w:val="005057A3"/>
    <w:rsid w:val="005062DD"/>
    <w:rsid w:val="005063EC"/>
    <w:rsid w:val="00506C35"/>
    <w:rsid w:val="00506E64"/>
    <w:rsid w:val="00507ED3"/>
    <w:rsid w:val="0051015A"/>
    <w:rsid w:val="0051034C"/>
    <w:rsid w:val="005104DA"/>
    <w:rsid w:val="00510963"/>
    <w:rsid w:val="00510A15"/>
    <w:rsid w:val="00511500"/>
    <w:rsid w:val="005118E9"/>
    <w:rsid w:val="00512502"/>
    <w:rsid w:val="00513313"/>
    <w:rsid w:val="00513415"/>
    <w:rsid w:val="00513742"/>
    <w:rsid w:val="005137AA"/>
    <w:rsid w:val="0051395F"/>
    <w:rsid w:val="00513E03"/>
    <w:rsid w:val="00514365"/>
    <w:rsid w:val="00514AF9"/>
    <w:rsid w:val="00515B68"/>
    <w:rsid w:val="00516557"/>
    <w:rsid w:val="00517275"/>
    <w:rsid w:val="005177E9"/>
    <w:rsid w:val="0052081A"/>
    <w:rsid w:val="00520FBA"/>
    <w:rsid w:val="00521874"/>
    <w:rsid w:val="00521A1C"/>
    <w:rsid w:val="00521CA3"/>
    <w:rsid w:val="00521FF6"/>
    <w:rsid w:val="00522834"/>
    <w:rsid w:val="00522D0C"/>
    <w:rsid w:val="00523090"/>
    <w:rsid w:val="00523FEB"/>
    <w:rsid w:val="005254F8"/>
    <w:rsid w:val="0052559B"/>
    <w:rsid w:val="005255DE"/>
    <w:rsid w:val="00525640"/>
    <w:rsid w:val="005256E6"/>
    <w:rsid w:val="00525762"/>
    <w:rsid w:val="00525909"/>
    <w:rsid w:val="005259E2"/>
    <w:rsid w:val="00525B79"/>
    <w:rsid w:val="00525BE6"/>
    <w:rsid w:val="00525CAC"/>
    <w:rsid w:val="005262DE"/>
    <w:rsid w:val="0052658B"/>
    <w:rsid w:val="005266F0"/>
    <w:rsid w:val="00526EE9"/>
    <w:rsid w:val="00527411"/>
    <w:rsid w:val="005278C8"/>
    <w:rsid w:val="005309D4"/>
    <w:rsid w:val="00531206"/>
    <w:rsid w:val="00531FEC"/>
    <w:rsid w:val="005331FF"/>
    <w:rsid w:val="00533484"/>
    <w:rsid w:val="00533BCE"/>
    <w:rsid w:val="00533D6D"/>
    <w:rsid w:val="00534D15"/>
    <w:rsid w:val="00534DD7"/>
    <w:rsid w:val="005350F6"/>
    <w:rsid w:val="005358C2"/>
    <w:rsid w:val="00535CBA"/>
    <w:rsid w:val="00535E02"/>
    <w:rsid w:val="00536437"/>
    <w:rsid w:val="0053686B"/>
    <w:rsid w:val="00536D12"/>
    <w:rsid w:val="00536EE8"/>
    <w:rsid w:val="00537178"/>
    <w:rsid w:val="00537558"/>
    <w:rsid w:val="00537749"/>
    <w:rsid w:val="005378E1"/>
    <w:rsid w:val="005405BC"/>
    <w:rsid w:val="00540981"/>
    <w:rsid w:val="00540E4F"/>
    <w:rsid w:val="0054100A"/>
    <w:rsid w:val="00541024"/>
    <w:rsid w:val="00541444"/>
    <w:rsid w:val="0054215D"/>
    <w:rsid w:val="00542315"/>
    <w:rsid w:val="00542487"/>
    <w:rsid w:val="00542EF2"/>
    <w:rsid w:val="00542F40"/>
    <w:rsid w:val="00543F69"/>
    <w:rsid w:val="00543FAE"/>
    <w:rsid w:val="005442DB"/>
    <w:rsid w:val="00544CBA"/>
    <w:rsid w:val="00545195"/>
    <w:rsid w:val="00545B40"/>
    <w:rsid w:val="005467BC"/>
    <w:rsid w:val="00546813"/>
    <w:rsid w:val="005472A9"/>
    <w:rsid w:val="005472D1"/>
    <w:rsid w:val="00547E45"/>
    <w:rsid w:val="00551214"/>
    <w:rsid w:val="00551C61"/>
    <w:rsid w:val="00551E09"/>
    <w:rsid w:val="00553093"/>
    <w:rsid w:val="005531E4"/>
    <w:rsid w:val="0055381C"/>
    <w:rsid w:val="005546A5"/>
    <w:rsid w:val="00554C75"/>
    <w:rsid w:val="00554FE5"/>
    <w:rsid w:val="0055539C"/>
    <w:rsid w:val="005553DA"/>
    <w:rsid w:val="00555489"/>
    <w:rsid w:val="00555E12"/>
    <w:rsid w:val="00557239"/>
    <w:rsid w:val="005576B2"/>
    <w:rsid w:val="00557E0E"/>
    <w:rsid w:val="00560231"/>
    <w:rsid w:val="00560A8A"/>
    <w:rsid w:val="00561197"/>
    <w:rsid w:val="005611EC"/>
    <w:rsid w:val="00562817"/>
    <w:rsid w:val="00562C44"/>
    <w:rsid w:val="00562EEE"/>
    <w:rsid w:val="005637BF"/>
    <w:rsid w:val="0056454D"/>
    <w:rsid w:val="00564A15"/>
    <w:rsid w:val="00565073"/>
    <w:rsid w:val="005659C6"/>
    <w:rsid w:val="00565D70"/>
    <w:rsid w:val="0056612C"/>
    <w:rsid w:val="005662C2"/>
    <w:rsid w:val="00566B34"/>
    <w:rsid w:val="00567376"/>
    <w:rsid w:val="005679A1"/>
    <w:rsid w:val="00567AD9"/>
    <w:rsid w:val="00567B83"/>
    <w:rsid w:val="00567C95"/>
    <w:rsid w:val="00567DFF"/>
    <w:rsid w:val="00567FCB"/>
    <w:rsid w:val="00570C5F"/>
    <w:rsid w:val="00570E8C"/>
    <w:rsid w:val="00571DE5"/>
    <w:rsid w:val="00571FC6"/>
    <w:rsid w:val="00572C12"/>
    <w:rsid w:val="005734F6"/>
    <w:rsid w:val="0057354B"/>
    <w:rsid w:val="005745CF"/>
    <w:rsid w:val="00575211"/>
    <w:rsid w:val="005755CE"/>
    <w:rsid w:val="00575F4C"/>
    <w:rsid w:val="00576020"/>
    <w:rsid w:val="005761B4"/>
    <w:rsid w:val="00576477"/>
    <w:rsid w:val="005764A6"/>
    <w:rsid w:val="00576571"/>
    <w:rsid w:val="005765A5"/>
    <w:rsid w:val="00576865"/>
    <w:rsid w:val="00576965"/>
    <w:rsid w:val="005773E3"/>
    <w:rsid w:val="0057740B"/>
    <w:rsid w:val="0057749D"/>
    <w:rsid w:val="005779F8"/>
    <w:rsid w:val="00580FFF"/>
    <w:rsid w:val="00581FAD"/>
    <w:rsid w:val="00582536"/>
    <w:rsid w:val="005825D3"/>
    <w:rsid w:val="00582AD3"/>
    <w:rsid w:val="00582E63"/>
    <w:rsid w:val="00583483"/>
    <w:rsid w:val="00583637"/>
    <w:rsid w:val="00583F9E"/>
    <w:rsid w:val="00583FC7"/>
    <w:rsid w:val="00583FDF"/>
    <w:rsid w:val="00584280"/>
    <w:rsid w:val="005847E6"/>
    <w:rsid w:val="00584958"/>
    <w:rsid w:val="0058528F"/>
    <w:rsid w:val="00585384"/>
    <w:rsid w:val="00586B14"/>
    <w:rsid w:val="00586EE1"/>
    <w:rsid w:val="00587CFD"/>
    <w:rsid w:val="005901B2"/>
    <w:rsid w:val="005901E4"/>
    <w:rsid w:val="005903A2"/>
    <w:rsid w:val="00591388"/>
    <w:rsid w:val="00591392"/>
    <w:rsid w:val="005918E3"/>
    <w:rsid w:val="00591D83"/>
    <w:rsid w:val="00592258"/>
    <w:rsid w:val="00592C4D"/>
    <w:rsid w:val="00592E7A"/>
    <w:rsid w:val="005934D9"/>
    <w:rsid w:val="00593869"/>
    <w:rsid w:val="00594250"/>
    <w:rsid w:val="0059431C"/>
    <w:rsid w:val="00594E54"/>
    <w:rsid w:val="00594ED8"/>
    <w:rsid w:val="005966AC"/>
    <w:rsid w:val="00596E7B"/>
    <w:rsid w:val="005973A8"/>
    <w:rsid w:val="00597471"/>
    <w:rsid w:val="00597B30"/>
    <w:rsid w:val="00597BC5"/>
    <w:rsid w:val="005A00B1"/>
    <w:rsid w:val="005A0761"/>
    <w:rsid w:val="005A102E"/>
    <w:rsid w:val="005A11FB"/>
    <w:rsid w:val="005A16E2"/>
    <w:rsid w:val="005A1873"/>
    <w:rsid w:val="005A20BB"/>
    <w:rsid w:val="005A2347"/>
    <w:rsid w:val="005A2A51"/>
    <w:rsid w:val="005A3126"/>
    <w:rsid w:val="005A3351"/>
    <w:rsid w:val="005A344E"/>
    <w:rsid w:val="005A3BFB"/>
    <w:rsid w:val="005A45DA"/>
    <w:rsid w:val="005A4B65"/>
    <w:rsid w:val="005A4FBA"/>
    <w:rsid w:val="005A54B3"/>
    <w:rsid w:val="005A5612"/>
    <w:rsid w:val="005A57FA"/>
    <w:rsid w:val="005A5C78"/>
    <w:rsid w:val="005A637B"/>
    <w:rsid w:val="005A69BF"/>
    <w:rsid w:val="005A7729"/>
    <w:rsid w:val="005A7748"/>
    <w:rsid w:val="005A79A3"/>
    <w:rsid w:val="005B11A0"/>
    <w:rsid w:val="005B1EB8"/>
    <w:rsid w:val="005B22AB"/>
    <w:rsid w:val="005B2634"/>
    <w:rsid w:val="005B2896"/>
    <w:rsid w:val="005B2C7E"/>
    <w:rsid w:val="005B3621"/>
    <w:rsid w:val="005B4588"/>
    <w:rsid w:val="005B45BE"/>
    <w:rsid w:val="005B5717"/>
    <w:rsid w:val="005B5EC5"/>
    <w:rsid w:val="005B6730"/>
    <w:rsid w:val="005B6A34"/>
    <w:rsid w:val="005B6E3E"/>
    <w:rsid w:val="005B70B9"/>
    <w:rsid w:val="005C069A"/>
    <w:rsid w:val="005C1285"/>
    <w:rsid w:val="005C19A8"/>
    <w:rsid w:val="005C2518"/>
    <w:rsid w:val="005C2898"/>
    <w:rsid w:val="005C2D96"/>
    <w:rsid w:val="005C3222"/>
    <w:rsid w:val="005C3404"/>
    <w:rsid w:val="005C3667"/>
    <w:rsid w:val="005C3D3F"/>
    <w:rsid w:val="005C432C"/>
    <w:rsid w:val="005C4E9B"/>
    <w:rsid w:val="005C50EB"/>
    <w:rsid w:val="005C6346"/>
    <w:rsid w:val="005C65D8"/>
    <w:rsid w:val="005C70A9"/>
    <w:rsid w:val="005C7344"/>
    <w:rsid w:val="005C7570"/>
    <w:rsid w:val="005C7FA2"/>
    <w:rsid w:val="005D01AE"/>
    <w:rsid w:val="005D0973"/>
    <w:rsid w:val="005D0C2C"/>
    <w:rsid w:val="005D0CC4"/>
    <w:rsid w:val="005D0E62"/>
    <w:rsid w:val="005D10A3"/>
    <w:rsid w:val="005D1204"/>
    <w:rsid w:val="005D1661"/>
    <w:rsid w:val="005D1973"/>
    <w:rsid w:val="005D1A5A"/>
    <w:rsid w:val="005D1DAB"/>
    <w:rsid w:val="005D1F00"/>
    <w:rsid w:val="005D20A5"/>
    <w:rsid w:val="005D2280"/>
    <w:rsid w:val="005D2349"/>
    <w:rsid w:val="005D256B"/>
    <w:rsid w:val="005D257B"/>
    <w:rsid w:val="005D29F8"/>
    <w:rsid w:val="005D2E35"/>
    <w:rsid w:val="005D306D"/>
    <w:rsid w:val="005D335D"/>
    <w:rsid w:val="005D3442"/>
    <w:rsid w:val="005D37F8"/>
    <w:rsid w:val="005D3B80"/>
    <w:rsid w:val="005D3BAF"/>
    <w:rsid w:val="005D3BF1"/>
    <w:rsid w:val="005D3D6E"/>
    <w:rsid w:val="005D46BA"/>
    <w:rsid w:val="005D4795"/>
    <w:rsid w:val="005D48FE"/>
    <w:rsid w:val="005D49CD"/>
    <w:rsid w:val="005D553B"/>
    <w:rsid w:val="005D6032"/>
    <w:rsid w:val="005D6669"/>
    <w:rsid w:val="005D6782"/>
    <w:rsid w:val="005D6789"/>
    <w:rsid w:val="005D76C3"/>
    <w:rsid w:val="005D7D16"/>
    <w:rsid w:val="005E110A"/>
    <w:rsid w:val="005E1818"/>
    <w:rsid w:val="005E2173"/>
    <w:rsid w:val="005E21A0"/>
    <w:rsid w:val="005E22F9"/>
    <w:rsid w:val="005E2FEA"/>
    <w:rsid w:val="005E31DB"/>
    <w:rsid w:val="005E437A"/>
    <w:rsid w:val="005E4539"/>
    <w:rsid w:val="005E506A"/>
    <w:rsid w:val="005E52C1"/>
    <w:rsid w:val="005E54C6"/>
    <w:rsid w:val="005E55B2"/>
    <w:rsid w:val="005E57AC"/>
    <w:rsid w:val="005E59FE"/>
    <w:rsid w:val="005E742F"/>
    <w:rsid w:val="005E77D6"/>
    <w:rsid w:val="005E7A79"/>
    <w:rsid w:val="005E7BC7"/>
    <w:rsid w:val="005F01DB"/>
    <w:rsid w:val="005F0BD4"/>
    <w:rsid w:val="005F1114"/>
    <w:rsid w:val="005F137D"/>
    <w:rsid w:val="005F2122"/>
    <w:rsid w:val="005F33D1"/>
    <w:rsid w:val="005F38AF"/>
    <w:rsid w:val="005F3BE7"/>
    <w:rsid w:val="005F4EFA"/>
    <w:rsid w:val="005F57A6"/>
    <w:rsid w:val="005F5A2C"/>
    <w:rsid w:val="005F64EB"/>
    <w:rsid w:val="005F652E"/>
    <w:rsid w:val="005F674B"/>
    <w:rsid w:val="005F683F"/>
    <w:rsid w:val="005F6E4B"/>
    <w:rsid w:val="005F6EF4"/>
    <w:rsid w:val="005F7651"/>
    <w:rsid w:val="005F7864"/>
    <w:rsid w:val="005F7F28"/>
    <w:rsid w:val="005F7FB3"/>
    <w:rsid w:val="00600324"/>
    <w:rsid w:val="006005BE"/>
    <w:rsid w:val="0060097A"/>
    <w:rsid w:val="00600B64"/>
    <w:rsid w:val="0060147C"/>
    <w:rsid w:val="00601887"/>
    <w:rsid w:val="00601A8D"/>
    <w:rsid w:val="00601FCE"/>
    <w:rsid w:val="006020C0"/>
    <w:rsid w:val="0060242D"/>
    <w:rsid w:val="00602C27"/>
    <w:rsid w:val="00602F6D"/>
    <w:rsid w:val="0060316C"/>
    <w:rsid w:val="00603EE2"/>
    <w:rsid w:val="00604344"/>
    <w:rsid w:val="006043B8"/>
    <w:rsid w:val="006045C6"/>
    <w:rsid w:val="00605268"/>
    <w:rsid w:val="006054E0"/>
    <w:rsid w:val="00606B54"/>
    <w:rsid w:val="00606BF6"/>
    <w:rsid w:val="00607501"/>
    <w:rsid w:val="00607657"/>
    <w:rsid w:val="00607C64"/>
    <w:rsid w:val="00610384"/>
    <w:rsid w:val="006106AA"/>
    <w:rsid w:val="00611265"/>
    <w:rsid w:val="00611E18"/>
    <w:rsid w:val="00612160"/>
    <w:rsid w:val="0061244D"/>
    <w:rsid w:val="00612457"/>
    <w:rsid w:val="006126DF"/>
    <w:rsid w:val="006129BB"/>
    <w:rsid w:val="0061348A"/>
    <w:rsid w:val="00613884"/>
    <w:rsid w:val="00613CF4"/>
    <w:rsid w:val="00614C3A"/>
    <w:rsid w:val="0061501E"/>
    <w:rsid w:val="00615B8A"/>
    <w:rsid w:val="00616661"/>
    <w:rsid w:val="00616DDB"/>
    <w:rsid w:val="006174E4"/>
    <w:rsid w:val="006178BF"/>
    <w:rsid w:val="006178E5"/>
    <w:rsid w:val="00617DBE"/>
    <w:rsid w:val="0062031A"/>
    <w:rsid w:val="00621FAA"/>
    <w:rsid w:val="006220E9"/>
    <w:rsid w:val="00622CEE"/>
    <w:rsid w:val="00622DA3"/>
    <w:rsid w:val="006237C9"/>
    <w:rsid w:val="00623885"/>
    <w:rsid w:val="00623A75"/>
    <w:rsid w:val="00623C29"/>
    <w:rsid w:val="00625DBC"/>
    <w:rsid w:val="006262A9"/>
    <w:rsid w:val="00626455"/>
    <w:rsid w:val="00627A41"/>
    <w:rsid w:val="00627F9F"/>
    <w:rsid w:val="00630735"/>
    <w:rsid w:val="006307DD"/>
    <w:rsid w:val="00630E1F"/>
    <w:rsid w:val="00630FDC"/>
    <w:rsid w:val="0063176E"/>
    <w:rsid w:val="00631DD7"/>
    <w:rsid w:val="00631E97"/>
    <w:rsid w:val="00631ECD"/>
    <w:rsid w:val="00632231"/>
    <w:rsid w:val="0063224A"/>
    <w:rsid w:val="006333BA"/>
    <w:rsid w:val="006334AC"/>
    <w:rsid w:val="00633F12"/>
    <w:rsid w:val="00634283"/>
    <w:rsid w:val="00634423"/>
    <w:rsid w:val="00634E15"/>
    <w:rsid w:val="00636393"/>
    <w:rsid w:val="006367DC"/>
    <w:rsid w:val="00636CAE"/>
    <w:rsid w:val="00637051"/>
    <w:rsid w:val="0063782F"/>
    <w:rsid w:val="00641710"/>
    <w:rsid w:val="00641E49"/>
    <w:rsid w:val="00642550"/>
    <w:rsid w:val="00642775"/>
    <w:rsid w:val="00642EB3"/>
    <w:rsid w:val="00643639"/>
    <w:rsid w:val="00643651"/>
    <w:rsid w:val="00644134"/>
    <w:rsid w:val="0064429F"/>
    <w:rsid w:val="00644478"/>
    <w:rsid w:val="00644950"/>
    <w:rsid w:val="00644989"/>
    <w:rsid w:val="00644A4F"/>
    <w:rsid w:val="006450AD"/>
    <w:rsid w:val="00646025"/>
    <w:rsid w:val="0064642B"/>
    <w:rsid w:val="00646C76"/>
    <w:rsid w:val="0064728B"/>
    <w:rsid w:val="0064750E"/>
    <w:rsid w:val="00647692"/>
    <w:rsid w:val="00647EFA"/>
    <w:rsid w:val="006514E8"/>
    <w:rsid w:val="00651D1E"/>
    <w:rsid w:val="00651EC4"/>
    <w:rsid w:val="00651F4E"/>
    <w:rsid w:val="00652611"/>
    <w:rsid w:val="006528BD"/>
    <w:rsid w:val="00652ACD"/>
    <w:rsid w:val="00652B92"/>
    <w:rsid w:val="00652CCA"/>
    <w:rsid w:val="0065577B"/>
    <w:rsid w:val="00655ACD"/>
    <w:rsid w:val="00655DEC"/>
    <w:rsid w:val="00656429"/>
    <w:rsid w:val="006573C5"/>
    <w:rsid w:val="006575B7"/>
    <w:rsid w:val="00660368"/>
    <w:rsid w:val="006615CD"/>
    <w:rsid w:val="00662B96"/>
    <w:rsid w:val="00662EDE"/>
    <w:rsid w:val="00663D51"/>
    <w:rsid w:val="00664603"/>
    <w:rsid w:val="00664ED5"/>
    <w:rsid w:val="00665436"/>
    <w:rsid w:val="00666076"/>
    <w:rsid w:val="006662FF"/>
    <w:rsid w:val="00666460"/>
    <w:rsid w:val="00666764"/>
    <w:rsid w:val="00666B26"/>
    <w:rsid w:val="00667968"/>
    <w:rsid w:val="00670477"/>
    <w:rsid w:val="00670780"/>
    <w:rsid w:val="0067096E"/>
    <w:rsid w:val="00673046"/>
    <w:rsid w:val="00673AB4"/>
    <w:rsid w:val="00673B96"/>
    <w:rsid w:val="00673DB6"/>
    <w:rsid w:val="00674B5E"/>
    <w:rsid w:val="00674F8C"/>
    <w:rsid w:val="00675005"/>
    <w:rsid w:val="00675058"/>
    <w:rsid w:val="00675744"/>
    <w:rsid w:val="006757DF"/>
    <w:rsid w:val="006758EA"/>
    <w:rsid w:val="00675C9D"/>
    <w:rsid w:val="00675E9E"/>
    <w:rsid w:val="00676F97"/>
    <w:rsid w:val="00677C74"/>
    <w:rsid w:val="00677F75"/>
    <w:rsid w:val="00680162"/>
    <w:rsid w:val="00680239"/>
    <w:rsid w:val="006806F2"/>
    <w:rsid w:val="006808A2"/>
    <w:rsid w:val="00680BD3"/>
    <w:rsid w:val="0068141B"/>
    <w:rsid w:val="0068145D"/>
    <w:rsid w:val="0068266D"/>
    <w:rsid w:val="00682C2B"/>
    <w:rsid w:val="00682FEB"/>
    <w:rsid w:val="00683677"/>
    <w:rsid w:val="00683BAC"/>
    <w:rsid w:val="0068401B"/>
    <w:rsid w:val="00684131"/>
    <w:rsid w:val="00684528"/>
    <w:rsid w:val="00684EC2"/>
    <w:rsid w:val="006850E2"/>
    <w:rsid w:val="006850EB"/>
    <w:rsid w:val="0068648B"/>
    <w:rsid w:val="00686767"/>
    <w:rsid w:val="006868C9"/>
    <w:rsid w:val="00686BAC"/>
    <w:rsid w:val="00687529"/>
    <w:rsid w:val="00687A4D"/>
    <w:rsid w:val="00687B41"/>
    <w:rsid w:val="00690172"/>
    <w:rsid w:val="00690DFB"/>
    <w:rsid w:val="006910AF"/>
    <w:rsid w:val="0069139A"/>
    <w:rsid w:val="0069155B"/>
    <w:rsid w:val="0069176C"/>
    <w:rsid w:val="00691888"/>
    <w:rsid w:val="00691950"/>
    <w:rsid w:val="006919B0"/>
    <w:rsid w:val="00691F8A"/>
    <w:rsid w:val="00691F9A"/>
    <w:rsid w:val="00692A22"/>
    <w:rsid w:val="00693041"/>
    <w:rsid w:val="00693E79"/>
    <w:rsid w:val="0069428B"/>
    <w:rsid w:val="006943B4"/>
    <w:rsid w:val="006944C7"/>
    <w:rsid w:val="006948A9"/>
    <w:rsid w:val="00694B24"/>
    <w:rsid w:val="00694B4D"/>
    <w:rsid w:val="00695462"/>
    <w:rsid w:val="00695527"/>
    <w:rsid w:val="0069572D"/>
    <w:rsid w:val="00697F8D"/>
    <w:rsid w:val="006A0175"/>
    <w:rsid w:val="006A0688"/>
    <w:rsid w:val="006A0C47"/>
    <w:rsid w:val="006A0D7F"/>
    <w:rsid w:val="006A0D89"/>
    <w:rsid w:val="006A0E2F"/>
    <w:rsid w:val="006A1175"/>
    <w:rsid w:val="006A2204"/>
    <w:rsid w:val="006A2B19"/>
    <w:rsid w:val="006A35CA"/>
    <w:rsid w:val="006A36A5"/>
    <w:rsid w:val="006A396E"/>
    <w:rsid w:val="006A3A2E"/>
    <w:rsid w:val="006A3ECC"/>
    <w:rsid w:val="006A46F4"/>
    <w:rsid w:val="006A6626"/>
    <w:rsid w:val="006A6958"/>
    <w:rsid w:val="006A6A50"/>
    <w:rsid w:val="006A72A8"/>
    <w:rsid w:val="006A7D4D"/>
    <w:rsid w:val="006B000E"/>
    <w:rsid w:val="006B00C7"/>
    <w:rsid w:val="006B02A9"/>
    <w:rsid w:val="006B04EF"/>
    <w:rsid w:val="006B0B99"/>
    <w:rsid w:val="006B0F80"/>
    <w:rsid w:val="006B113C"/>
    <w:rsid w:val="006B148F"/>
    <w:rsid w:val="006B1A33"/>
    <w:rsid w:val="006B1DB0"/>
    <w:rsid w:val="006B2B91"/>
    <w:rsid w:val="006B39C5"/>
    <w:rsid w:val="006B3CAE"/>
    <w:rsid w:val="006B46FC"/>
    <w:rsid w:val="006B4BBB"/>
    <w:rsid w:val="006B5745"/>
    <w:rsid w:val="006B585C"/>
    <w:rsid w:val="006B5BE8"/>
    <w:rsid w:val="006B6DEA"/>
    <w:rsid w:val="006B7A11"/>
    <w:rsid w:val="006B7A3C"/>
    <w:rsid w:val="006C0174"/>
    <w:rsid w:val="006C0ECA"/>
    <w:rsid w:val="006C0F6E"/>
    <w:rsid w:val="006C123F"/>
    <w:rsid w:val="006C1C05"/>
    <w:rsid w:val="006C2597"/>
    <w:rsid w:val="006C2F00"/>
    <w:rsid w:val="006C3255"/>
    <w:rsid w:val="006C3715"/>
    <w:rsid w:val="006C3BFA"/>
    <w:rsid w:val="006C3F16"/>
    <w:rsid w:val="006C4CB8"/>
    <w:rsid w:val="006C51E4"/>
    <w:rsid w:val="006C5D7B"/>
    <w:rsid w:val="006C5DB6"/>
    <w:rsid w:val="006C5F39"/>
    <w:rsid w:val="006C686F"/>
    <w:rsid w:val="006C6ABF"/>
    <w:rsid w:val="006C6B0E"/>
    <w:rsid w:val="006C72AF"/>
    <w:rsid w:val="006C7E19"/>
    <w:rsid w:val="006D0286"/>
    <w:rsid w:val="006D0373"/>
    <w:rsid w:val="006D03FB"/>
    <w:rsid w:val="006D07B2"/>
    <w:rsid w:val="006D07BA"/>
    <w:rsid w:val="006D07FC"/>
    <w:rsid w:val="006D1406"/>
    <w:rsid w:val="006D17BE"/>
    <w:rsid w:val="006D1F15"/>
    <w:rsid w:val="006D2144"/>
    <w:rsid w:val="006D2FE6"/>
    <w:rsid w:val="006D3080"/>
    <w:rsid w:val="006D336D"/>
    <w:rsid w:val="006D3597"/>
    <w:rsid w:val="006D370F"/>
    <w:rsid w:val="006D3A32"/>
    <w:rsid w:val="006D3AC9"/>
    <w:rsid w:val="006D3E1A"/>
    <w:rsid w:val="006D44A5"/>
    <w:rsid w:val="006D4BB8"/>
    <w:rsid w:val="006D4BD2"/>
    <w:rsid w:val="006D4EDE"/>
    <w:rsid w:val="006D533E"/>
    <w:rsid w:val="006D588E"/>
    <w:rsid w:val="006D58A0"/>
    <w:rsid w:val="006D61AB"/>
    <w:rsid w:val="006D6AED"/>
    <w:rsid w:val="006D6BD9"/>
    <w:rsid w:val="006D6C6E"/>
    <w:rsid w:val="006D6CD8"/>
    <w:rsid w:val="006D7004"/>
    <w:rsid w:val="006E0717"/>
    <w:rsid w:val="006E120D"/>
    <w:rsid w:val="006E1EE0"/>
    <w:rsid w:val="006E2097"/>
    <w:rsid w:val="006E2317"/>
    <w:rsid w:val="006E2857"/>
    <w:rsid w:val="006E2AE3"/>
    <w:rsid w:val="006E2FA3"/>
    <w:rsid w:val="006E3B74"/>
    <w:rsid w:val="006E4575"/>
    <w:rsid w:val="006E4ACD"/>
    <w:rsid w:val="006E5548"/>
    <w:rsid w:val="006E560C"/>
    <w:rsid w:val="006E5E68"/>
    <w:rsid w:val="006E6838"/>
    <w:rsid w:val="006E776B"/>
    <w:rsid w:val="006F0B5B"/>
    <w:rsid w:val="006F0BEC"/>
    <w:rsid w:val="006F0F9F"/>
    <w:rsid w:val="006F1C44"/>
    <w:rsid w:val="006F1D68"/>
    <w:rsid w:val="006F263F"/>
    <w:rsid w:val="006F27FD"/>
    <w:rsid w:val="006F3009"/>
    <w:rsid w:val="006F4C77"/>
    <w:rsid w:val="006F5086"/>
    <w:rsid w:val="006F54BC"/>
    <w:rsid w:val="006F57AD"/>
    <w:rsid w:val="006F5A33"/>
    <w:rsid w:val="006F5F22"/>
    <w:rsid w:val="006F6246"/>
    <w:rsid w:val="006F63B3"/>
    <w:rsid w:val="006F668A"/>
    <w:rsid w:val="006F761A"/>
    <w:rsid w:val="006F7DA5"/>
    <w:rsid w:val="007013CC"/>
    <w:rsid w:val="00701A2B"/>
    <w:rsid w:val="00702C23"/>
    <w:rsid w:val="00702D7A"/>
    <w:rsid w:val="0070363D"/>
    <w:rsid w:val="00704095"/>
    <w:rsid w:val="00704EEC"/>
    <w:rsid w:val="0070500C"/>
    <w:rsid w:val="0070535C"/>
    <w:rsid w:val="00705FA3"/>
    <w:rsid w:val="007070AE"/>
    <w:rsid w:val="00707387"/>
    <w:rsid w:val="007073CD"/>
    <w:rsid w:val="007078B9"/>
    <w:rsid w:val="007105B6"/>
    <w:rsid w:val="00710792"/>
    <w:rsid w:val="00710A37"/>
    <w:rsid w:val="00711154"/>
    <w:rsid w:val="00711B78"/>
    <w:rsid w:val="007123C1"/>
    <w:rsid w:val="00712AD5"/>
    <w:rsid w:val="0071336E"/>
    <w:rsid w:val="00713483"/>
    <w:rsid w:val="007136C6"/>
    <w:rsid w:val="007146FF"/>
    <w:rsid w:val="0071505F"/>
    <w:rsid w:val="007152FC"/>
    <w:rsid w:val="0071562D"/>
    <w:rsid w:val="00715765"/>
    <w:rsid w:val="0071599C"/>
    <w:rsid w:val="00716C9B"/>
    <w:rsid w:val="00716CBC"/>
    <w:rsid w:val="00720443"/>
    <w:rsid w:val="007208D1"/>
    <w:rsid w:val="00720A02"/>
    <w:rsid w:val="00720C52"/>
    <w:rsid w:val="007211A6"/>
    <w:rsid w:val="007211AB"/>
    <w:rsid w:val="00722304"/>
    <w:rsid w:val="0072279E"/>
    <w:rsid w:val="00722C5C"/>
    <w:rsid w:val="00722CA3"/>
    <w:rsid w:val="00722EC6"/>
    <w:rsid w:val="00723087"/>
    <w:rsid w:val="0072342B"/>
    <w:rsid w:val="0072377C"/>
    <w:rsid w:val="007249E5"/>
    <w:rsid w:val="00725232"/>
    <w:rsid w:val="00725765"/>
    <w:rsid w:val="00725BDB"/>
    <w:rsid w:val="00726378"/>
    <w:rsid w:val="00726CF9"/>
    <w:rsid w:val="007278A4"/>
    <w:rsid w:val="00727C6E"/>
    <w:rsid w:val="00730012"/>
    <w:rsid w:val="007303AC"/>
    <w:rsid w:val="007305D8"/>
    <w:rsid w:val="00730D71"/>
    <w:rsid w:val="00730E41"/>
    <w:rsid w:val="007319AF"/>
    <w:rsid w:val="0073225E"/>
    <w:rsid w:val="0073361B"/>
    <w:rsid w:val="007337B2"/>
    <w:rsid w:val="007338FE"/>
    <w:rsid w:val="0073397D"/>
    <w:rsid w:val="00733A32"/>
    <w:rsid w:val="00733A3B"/>
    <w:rsid w:val="00733AEF"/>
    <w:rsid w:val="00733E2C"/>
    <w:rsid w:val="007341FB"/>
    <w:rsid w:val="00734949"/>
    <w:rsid w:val="007361C9"/>
    <w:rsid w:val="00736947"/>
    <w:rsid w:val="00737023"/>
    <w:rsid w:val="00737179"/>
    <w:rsid w:val="00737774"/>
    <w:rsid w:val="0073789F"/>
    <w:rsid w:val="007379F3"/>
    <w:rsid w:val="00737A2C"/>
    <w:rsid w:val="00737E1B"/>
    <w:rsid w:val="00740532"/>
    <w:rsid w:val="007408B6"/>
    <w:rsid w:val="00740F10"/>
    <w:rsid w:val="007422D7"/>
    <w:rsid w:val="007427F4"/>
    <w:rsid w:val="00742B40"/>
    <w:rsid w:val="007431F8"/>
    <w:rsid w:val="007440CC"/>
    <w:rsid w:val="0074439C"/>
    <w:rsid w:val="00744675"/>
    <w:rsid w:val="007449FF"/>
    <w:rsid w:val="00744BF2"/>
    <w:rsid w:val="00744CB4"/>
    <w:rsid w:val="007456C2"/>
    <w:rsid w:val="00745BCC"/>
    <w:rsid w:val="00746757"/>
    <w:rsid w:val="007469C9"/>
    <w:rsid w:val="00747407"/>
    <w:rsid w:val="00747D8C"/>
    <w:rsid w:val="0075001B"/>
    <w:rsid w:val="00750456"/>
    <w:rsid w:val="007509EB"/>
    <w:rsid w:val="00750A76"/>
    <w:rsid w:val="00751F9D"/>
    <w:rsid w:val="00752127"/>
    <w:rsid w:val="0075288D"/>
    <w:rsid w:val="007529E6"/>
    <w:rsid w:val="00753B7D"/>
    <w:rsid w:val="00753FF6"/>
    <w:rsid w:val="007555B2"/>
    <w:rsid w:val="00755FF1"/>
    <w:rsid w:val="00756A57"/>
    <w:rsid w:val="00756CCF"/>
    <w:rsid w:val="00757D76"/>
    <w:rsid w:val="00757F1E"/>
    <w:rsid w:val="0076000E"/>
    <w:rsid w:val="007601F5"/>
    <w:rsid w:val="007609D0"/>
    <w:rsid w:val="00760A34"/>
    <w:rsid w:val="0076140B"/>
    <w:rsid w:val="00762151"/>
    <w:rsid w:val="007639E9"/>
    <w:rsid w:val="0076401C"/>
    <w:rsid w:val="007641C2"/>
    <w:rsid w:val="00765D9D"/>
    <w:rsid w:val="007660BF"/>
    <w:rsid w:val="00766317"/>
    <w:rsid w:val="00766E05"/>
    <w:rsid w:val="007674BC"/>
    <w:rsid w:val="00767834"/>
    <w:rsid w:val="00767C0F"/>
    <w:rsid w:val="00767D0A"/>
    <w:rsid w:val="00770167"/>
    <w:rsid w:val="0077107E"/>
    <w:rsid w:val="007714E9"/>
    <w:rsid w:val="00771B67"/>
    <w:rsid w:val="0077224A"/>
    <w:rsid w:val="00772442"/>
    <w:rsid w:val="007728E2"/>
    <w:rsid w:val="00772DDF"/>
    <w:rsid w:val="00773034"/>
    <w:rsid w:val="007731C9"/>
    <w:rsid w:val="00773B2E"/>
    <w:rsid w:val="00774276"/>
    <w:rsid w:val="00774367"/>
    <w:rsid w:val="00774536"/>
    <w:rsid w:val="00774EC5"/>
    <w:rsid w:val="007759D3"/>
    <w:rsid w:val="00775B4C"/>
    <w:rsid w:val="007761DD"/>
    <w:rsid w:val="007768C2"/>
    <w:rsid w:val="00780244"/>
    <w:rsid w:val="00780D4F"/>
    <w:rsid w:val="00780DC9"/>
    <w:rsid w:val="00780F0E"/>
    <w:rsid w:val="00782562"/>
    <w:rsid w:val="00783030"/>
    <w:rsid w:val="007838A0"/>
    <w:rsid w:val="00783AE5"/>
    <w:rsid w:val="00783C57"/>
    <w:rsid w:val="007842AF"/>
    <w:rsid w:val="00784777"/>
    <w:rsid w:val="00784FB4"/>
    <w:rsid w:val="00785066"/>
    <w:rsid w:val="007853CF"/>
    <w:rsid w:val="00786196"/>
    <w:rsid w:val="007866CB"/>
    <w:rsid w:val="00786722"/>
    <w:rsid w:val="0078674E"/>
    <w:rsid w:val="00786AF4"/>
    <w:rsid w:val="00786C3E"/>
    <w:rsid w:val="007877C7"/>
    <w:rsid w:val="007879E7"/>
    <w:rsid w:val="00790A7F"/>
    <w:rsid w:val="0079124B"/>
    <w:rsid w:val="007913BC"/>
    <w:rsid w:val="007914D6"/>
    <w:rsid w:val="00791B9D"/>
    <w:rsid w:val="00792ADF"/>
    <w:rsid w:val="007932F7"/>
    <w:rsid w:val="00793B37"/>
    <w:rsid w:val="00793E7D"/>
    <w:rsid w:val="00794B7D"/>
    <w:rsid w:val="007952FB"/>
    <w:rsid w:val="00795555"/>
    <w:rsid w:val="00795C92"/>
    <w:rsid w:val="007965A1"/>
    <w:rsid w:val="007967F9"/>
    <w:rsid w:val="00796D0C"/>
    <w:rsid w:val="00797907"/>
    <w:rsid w:val="00797FB2"/>
    <w:rsid w:val="007A0051"/>
    <w:rsid w:val="007A0AD9"/>
    <w:rsid w:val="007A1ECA"/>
    <w:rsid w:val="007A2062"/>
    <w:rsid w:val="007A2BAA"/>
    <w:rsid w:val="007A3017"/>
    <w:rsid w:val="007A34E4"/>
    <w:rsid w:val="007A3693"/>
    <w:rsid w:val="007A36DE"/>
    <w:rsid w:val="007A3F42"/>
    <w:rsid w:val="007A4A5A"/>
    <w:rsid w:val="007A5943"/>
    <w:rsid w:val="007A5F78"/>
    <w:rsid w:val="007A603B"/>
    <w:rsid w:val="007A6809"/>
    <w:rsid w:val="007A686A"/>
    <w:rsid w:val="007A7651"/>
    <w:rsid w:val="007A7A90"/>
    <w:rsid w:val="007A7A9D"/>
    <w:rsid w:val="007A7AD9"/>
    <w:rsid w:val="007A7E7C"/>
    <w:rsid w:val="007B02B9"/>
    <w:rsid w:val="007B0523"/>
    <w:rsid w:val="007B0621"/>
    <w:rsid w:val="007B0C7E"/>
    <w:rsid w:val="007B15F4"/>
    <w:rsid w:val="007B16A1"/>
    <w:rsid w:val="007B1BF3"/>
    <w:rsid w:val="007B242E"/>
    <w:rsid w:val="007B3594"/>
    <w:rsid w:val="007B3A58"/>
    <w:rsid w:val="007B49A0"/>
    <w:rsid w:val="007B4C8C"/>
    <w:rsid w:val="007B55A5"/>
    <w:rsid w:val="007B5692"/>
    <w:rsid w:val="007B5904"/>
    <w:rsid w:val="007B5A78"/>
    <w:rsid w:val="007B5B6E"/>
    <w:rsid w:val="007B6AB3"/>
    <w:rsid w:val="007B6D6E"/>
    <w:rsid w:val="007B71EC"/>
    <w:rsid w:val="007B782B"/>
    <w:rsid w:val="007C017C"/>
    <w:rsid w:val="007C0CCA"/>
    <w:rsid w:val="007C12CC"/>
    <w:rsid w:val="007C1594"/>
    <w:rsid w:val="007C198E"/>
    <w:rsid w:val="007C19FC"/>
    <w:rsid w:val="007C2A6B"/>
    <w:rsid w:val="007C2D72"/>
    <w:rsid w:val="007C2F06"/>
    <w:rsid w:val="007C3F02"/>
    <w:rsid w:val="007C4047"/>
    <w:rsid w:val="007C47EC"/>
    <w:rsid w:val="007C48A3"/>
    <w:rsid w:val="007C57E2"/>
    <w:rsid w:val="007C6054"/>
    <w:rsid w:val="007C61A4"/>
    <w:rsid w:val="007C749F"/>
    <w:rsid w:val="007C7B42"/>
    <w:rsid w:val="007C7F8C"/>
    <w:rsid w:val="007D0412"/>
    <w:rsid w:val="007D068D"/>
    <w:rsid w:val="007D07F9"/>
    <w:rsid w:val="007D0A48"/>
    <w:rsid w:val="007D1066"/>
    <w:rsid w:val="007D1D5F"/>
    <w:rsid w:val="007D285D"/>
    <w:rsid w:val="007D28E6"/>
    <w:rsid w:val="007D2CF4"/>
    <w:rsid w:val="007D2F33"/>
    <w:rsid w:val="007D3847"/>
    <w:rsid w:val="007D3EF7"/>
    <w:rsid w:val="007D415A"/>
    <w:rsid w:val="007D41B2"/>
    <w:rsid w:val="007D4797"/>
    <w:rsid w:val="007D53EE"/>
    <w:rsid w:val="007D5901"/>
    <w:rsid w:val="007D5977"/>
    <w:rsid w:val="007D60AC"/>
    <w:rsid w:val="007D6426"/>
    <w:rsid w:val="007D65DD"/>
    <w:rsid w:val="007D712C"/>
    <w:rsid w:val="007D719E"/>
    <w:rsid w:val="007D7614"/>
    <w:rsid w:val="007D7A0D"/>
    <w:rsid w:val="007D7F3A"/>
    <w:rsid w:val="007E00C0"/>
    <w:rsid w:val="007E0245"/>
    <w:rsid w:val="007E0948"/>
    <w:rsid w:val="007E0E26"/>
    <w:rsid w:val="007E0FE1"/>
    <w:rsid w:val="007E1039"/>
    <w:rsid w:val="007E12E7"/>
    <w:rsid w:val="007E262A"/>
    <w:rsid w:val="007E2653"/>
    <w:rsid w:val="007E26AE"/>
    <w:rsid w:val="007E2820"/>
    <w:rsid w:val="007E2933"/>
    <w:rsid w:val="007E2B65"/>
    <w:rsid w:val="007E306A"/>
    <w:rsid w:val="007E3516"/>
    <w:rsid w:val="007E35DC"/>
    <w:rsid w:val="007E39FB"/>
    <w:rsid w:val="007E3A16"/>
    <w:rsid w:val="007E3DDE"/>
    <w:rsid w:val="007E501E"/>
    <w:rsid w:val="007E50AC"/>
    <w:rsid w:val="007E5325"/>
    <w:rsid w:val="007E57C0"/>
    <w:rsid w:val="007E7686"/>
    <w:rsid w:val="007E7799"/>
    <w:rsid w:val="007E7F5A"/>
    <w:rsid w:val="007F0B62"/>
    <w:rsid w:val="007F11E6"/>
    <w:rsid w:val="007F1C56"/>
    <w:rsid w:val="007F2C01"/>
    <w:rsid w:val="007F35FE"/>
    <w:rsid w:val="007F3A4A"/>
    <w:rsid w:val="007F3AC3"/>
    <w:rsid w:val="007F4016"/>
    <w:rsid w:val="007F48ED"/>
    <w:rsid w:val="007F4B50"/>
    <w:rsid w:val="007F541A"/>
    <w:rsid w:val="007F582E"/>
    <w:rsid w:val="007F59F1"/>
    <w:rsid w:val="007F5E72"/>
    <w:rsid w:val="007F61D3"/>
    <w:rsid w:val="007F6311"/>
    <w:rsid w:val="007F784C"/>
    <w:rsid w:val="007F7F19"/>
    <w:rsid w:val="007F7F37"/>
    <w:rsid w:val="0080012A"/>
    <w:rsid w:val="00800564"/>
    <w:rsid w:val="00800D30"/>
    <w:rsid w:val="00800FAF"/>
    <w:rsid w:val="0080191B"/>
    <w:rsid w:val="00801B43"/>
    <w:rsid w:val="00801DCA"/>
    <w:rsid w:val="008020B7"/>
    <w:rsid w:val="008026D1"/>
    <w:rsid w:val="008031E2"/>
    <w:rsid w:val="008033A4"/>
    <w:rsid w:val="0080393D"/>
    <w:rsid w:val="00803EBB"/>
    <w:rsid w:val="00803F4D"/>
    <w:rsid w:val="0080452E"/>
    <w:rsid w:val="00804948"/>
    <w:rsid w:val="00804E84"/>
    <w:rsid w:val="0080533F"/>
    <w:rsid w:val="008056FF"/>
    <w:rsid w:val="00805869"/>
    <w:rsid w:val="00805954"/>
    <w:rsid w:val="00805FA6"/>
    <w:rsid w:val="008061C3"/>
    <w:rsid w:val="008067BB"/>
    <w:rsid w:val="00806854"/>
    <w:rsid w:val="00806BFB"/>
    <w:rsid w:val="00806C60"/>
    <w:rsid w:val="00806FE4"/>
    <w:rsid w:val="00807073"/>
    <w:rsid w:val="00807298"/>
    <w:rsid w:val="008072E1"/>
    <w:rsid w:val="0080739A"/>
    <w:rsid w:val="008077B4"/>
    <w:rsid w:val="00807FAD"/>
    <w:rsid w:val="008107D8"/>
    <w:rsid w:val="00812224"/>
    <w:rsid w:val="00812D35"/>
    <w:rsid w:val="00814D2A"/>
    <w:rsid w:val="008156C4"/>
    <w:rsid w:val="00815F81"/>
    <w:rsid w:val="008162D7"/>
    <w:rsid w:val="00816CA9"/>
    <w:rsid w:val="00817890"/>
    <w:rsid w:val="008178C5"/>
    <w:rsid w:val="00817E0B"/>
    <w:rsid w:val="00817ED0"/>
    <w:rsid w:val="00820300"/>
    <w:rsid w:val="008203E6"/>
    <w:rsid w:val="00820B31"/>
    <w:rsid w:val="00820BB8"/>
    <w:rsid w:val="00820DCC"/>
    <w:rsid w:val="00820E59"/>
    <w:rsid w:val="00821A46"/>
    <w:rsid w:val="00823E4C"/>
    <w:rsid w:val="0082573A"/>
    <w:rsid w:val="008257F1"/>
    <w:rsid w:val="00825BC6"/>
    <w:rsid w:val="00825BF1"/>
    <w:rsid w:val="00825E5D"/>
    <w:rsid w:val="00825FEF"/>
    <w:rsid w:val="00826036"/>
    <w:rsid w:val="00827345"/>
    <w:rsid w:val="0082752B"/>
    <w:rsid w:val="00827579"/>
    <w:rsid w:val="00827BE1"/>
    <w:rsid w:val="00827FBE"/>
    <w:rsid w:val="00830D90"/>
    <w:rsid w:val="00831754"/>
    <w:rsid w:val="00832429"/>
    <w:rsid w:val="00832CE9"/>
    <w:rsid w:val="008335B4"/>
    <w:rsid w:val="00833A04"/>
    <w:rsid w:val="00833CAC"/>
    <w:rsid w:val="00833D42"/>
    <w:rsid w:val="00834372"/>
    <w:rsid w:val="00834D3C"/>
    <w:rsid w:val="0083563B"/>
    <w:rsid w:val="00835E75"/>
    <w:rsid w:val="008374B6"/>
    <w:rsid w:val="00837CAE"/>
    <w:rsid w:val="00840250"/>
    <w:rsid w:val="008402BB"/>
    <w:rsid w:val="00841495"/>
    <w:rsid w:val="008416C2"/>
    <w:rsid w:val="00841A99"/>
    <w:rsid w:val="0084225B"/>
    <w:rsid w:val="00842608"/>
    <w:rsid w:val="00842A8D"/>
    <w:rsid w:val="00842E42"/>
    <w:rsid w:val="0084314F"/>
    <w:rsid w:val="008431F3"/>
    <w:rsid w:val="0084367D"/>
    <w:rsid w:val="008437A5"/>
    <w:rsid w:val="00844356"/>
    <w:rsid w:val="0084444B"/>
    <w:rsid w:val="008444C9"/>
    <w:rsid w:val="008448BA"/>
    <w:rsid w:val="00844B3A"/>
    <w:rsid w:val="00845287"/>
    <w:rsid w:val="00845433"/>
    <w:rsid w:val="00845440"/>
    <w:rsid w:val="00845F2D"/>
    <w:rsid w:val="008460B5"/>
    <w:rsid w:val="0084614E"/>
    <w:rsid w:val="0084757A"/>
    <w:rsid w:val="00847693"/>
    <w:rsid w:val="00847782"/>
    <w:rsid w:val="00847868"/>
    <w:rsid w:val="00847CA1"/>
    <w:rsid w:val="00847D1C"/>
    <w:rsid w:val="00847D68"/>
    <w:rsid w:val="00851AFE"/>
    <w:rsid w:val="008524C0"/>
    <w:rsid w:val="00852A20"/>
    <w:rsid w:val="00852EB7"/>
    <w:rsid w:val="00853490"/>
    <w:rsid w:val="0085432B"/>
    <w:rsid w:val="008548C5"/>
    <w:rsid w:val="008558D6"/>
    <w:rsid w:val="00855BB0"/>
    <w:rsid w:val="00855C7E"/>
    <w:rsid w:val="00856165"/>
    <w:rsid w:val="00856B54"/>
    <w:rsid w:val="00857091"/>
    <w:rsid w:val="00857429"/>
    <w:rsid w:val="00857609"/>
    <w:rsid w:val="008577D1"/>
    <w:rsid w:val="00857C21"/>
    <w:rsid w:val="00857D6D"/>
    <w:rsid w:val="00857EE5"/>
    <w:rsid w:val="00857EFE"/>
    <w:rsid w:val="00860122"/>
    <w:rsid w:val="00860635"/>
    <w:rsid w:val="00861603"/>
    <w:rsid w:val="00861A27"/>
    <w:rsid w:val="00861BE3"/>
    <w:rsid w:val="00861D08"/>
    <w:rsid w:val="00861F33"/>
    <w:rsid w:val="00862351"/>
    <w:rsid w:val="0086361F"/>
    <w:rsid w:val="00863BB6"/>
    <w:rsid w:val="00863CCF"/>
    <w:rsid w:val="008648EA"/>
    <w:rsid w:val="00865462"/>
    <w:rsid w:val="008655C5"/>
    <w:rsid w:val="008658FC"/>
    <w:rsid w:val="00865DF7"/>
    <w:rsid w:val="0086613E"/>
    <w:rsid w:val="008667CC"/>
    <w:rsid w:val="00866A0A"/>
    <w:rsid w:val="0087010C"/>
    <w:rsid w:val="008719C4"/>
    <w:rsid w:val="008720CE"/>
    <w:rsid w:val="00872359"/>
    <w:rsid w:val="008728FD"/>
    <w:rsid w:val="00872C27"/>
    <w:rsid w:val="008736A3"/>
    <w:rsid w:val="00873D8E"/>
    <w:rsid w:val="008741AD"/>
    <w:rsid w:val="00874DD8"/>
    <w:rsid w:val="0087513A"/>
    <w:rsid w:val="00876058"/>
    <w:rsid w:val="0087639F"/>
    <w:rsid w:val="00876EBF"/>
    <w:rsid w:val="008773D4"/>
    <w:rsid w:val="00877AD0"/>
    <w:rsid w:val="0088084E"/>
    <w:rsid w:val="008811B6"/>
    <w:rsid w:val="00881C91"/>
    <w:rsid w:val="00882335"/>
    <w:rsid w:val="00882397"/>
    <w:rsid w:val="008830C9"/>
    <w:rsid w:val="0088360B"/>
    <w:rsid w:val="00883844"/>
    <w:rsid w:val="00883975"/>
    <w:rsid w:val="00883CB6"/>
    <w:rsid w:val="00884D7E"/>
    <w:rsid w:val="00885C95"/>
    <w:rsid w:val="00885E08"/>
    <w:rsid w:val="0089002E"/>
    <w:rsid w:val="00890372"/>
    <w:rsid w:val="0089071F"/>
    <w:rsid w:val="008911A6"/>
    <w:rsid w:val="0089147A"/>
    <w:rsid w:val="00891826"/>
    <w:rsid w:val="00891912"/>
    <w:rsid w:val="00892292"/>
    <w:rsid w:val="008923B7"/>
    <w:rsid w:val="00892778"/>
    <w:rsid w:val="00892897"/>
    <w:rsid w:val="008946C3"/>
    <w:rsid w:val="00894ABA"/>
    <w:rsid w:val="00894F15"/>
    <w:rsid w:val="0089659D"/>
    <w:rsid w:val="00896669"/>
    <w:rsid w:val="00896807"/>
    <w:rsid w:val="00896B04"/>
    <w:rsid w:val="00896E3E"/>
    <w:rsid w:val="0089712A"/>
    <w:rsid w:val="008972B0"/>
    <w:rsid w:val="008973E1"/>
    <w:rsid w:val="008977AF"/>
    <w:rsid w:val="00897ED6"/>
    <w:rsid w:val="008A19E9"/>
    <w:rsid w:val="008A1B22"/>
    <w:rsid w:val="008A2F4F"/>
    <w:rsid w:val="008A3740"/>
    <w:rsid w:val="008A3AA4"/>
    <w:rsid w:val="008A44B5"/>
    <w:rsid w:val="008A467A"/>
    <w:rsid w:val="008A4779"/>
    <w:rsid w:val="008A4926"/>
    <w:rsid w:val="008A50B8"/>
    <w:rsid w:val="008A5396"/>
    <w:rsid w:val="008A5814"/>
    <w:rsid w:val="008A59DA"/>
    <w:rsid w:val="008A6509"/>
    <w:rsid w:val="008A67B5"/>
    <w:rsid w:val="008A73AB"/>
    <w:rsid w:val="008A73B8"/>
    <w:rsid w:val="008A7537"/>
    <w:rsid w:val="008A7803"/>
    <w:rsid w:val="008B055B"/>
    <w:rsid w:val="008B085F"/>
    <w:rsid w:val="008B200F"/>
    <w:rsid w:val="008B22D1"/>
    <w:rsid w:val="008B32FD"/>
    <w:rsid w:val="008B3377"/>
    <w:rsid w:val="008B3403"/>
    <w:rsid w:val="008B356B"/>
    <w:rsid w:val="008B37E6"/>
    <w:rsid w:val="008B4552"/>
    <w:rsid w:val="008B4A2E"/>
    <w:rsid w:val="008B5576"/>
    <w:rsid w:val="008B5689"/>
    <w:rsid w:val="008B5B36"/>
    <w:rsid w:val="008B5D2B"/>
    <w:rsid w:val="008B5D32"/>
    <w:rsid w:val="008B6A83"/>
    <w:rsid w:val="008B6DF5"/>
    <w:rsid w:val="008B6E60"/>
    <w:rsid w:val="008B7104"/>
    <w:rsid w:val="008B7C26"/>
    <w:rsid w:val="008C02F6"/>
    <w:rsid w:val="008C0303"/>
    <w:rsid w:val="008C1E0F"/>
    <w:rsid w:val="008C2795"/>
    <w:rsid w:val="008C2DBA"/>
    <w:rsid w:val="008C2FEB"/>
    <w:rsid w:val="008C30D9"/>
    <w:rsid w:val="008C34D0"/>
    <w:rsid w:val="008C40C4"/>
    <w:rsid w:val="008C4314"/>
    <w:rsid w:val="008C4437"/>
    <w:rsid w:val="008C57CA"/>
    <w:rsid w:val="008C5B25"/>
    <w:rsid w:val="008C67EA"/>
    <w:rsid w:val="008C6AB8"/>
    <w:rsid w:val="008C6F33"/>
    <w:rsid w:val="008C7BDF"/>
    <w:rsid w:val="008D0580"/>
    <w:rsid w:val="008D0C4B"/>
    <w:rsid w:val="008D1C28"/>
    <w:rsid w:val="008D206F"/>
    <w:rsid w:val="008D23D1"/>
    <w:rsid w:val="008D2740"/>
    <w:rsid w:val="008D29B1"/>
    <w:rsid w:val="008D2AB6"/>
    <w:rsid w:val="008D2B70"/>
    <w:rsid w:val="008D2ECA"/>
    <w:rsid w:val="008D2FBB"/>
    <w:rsid w:val="008D2FCB"/>
    <w:rsid w:val="008D3032"/>
    <w:rsid w:val="008D33FC"/>
    <w:rsid w:val="008D37D0"/>
    <w:rsid w:val="008D4134"/>
    <w:rsid w:val="008D4B48"/>
    <w:rsid w:val="008D5331"/>
    <w:rsid w:val="008D566B"/>
    <w:rsid w:val="008D6DFB"/>
    <w:rsid w:val="008D73BA"/>
    <w:rsid w:val="008D751E"/>
    <w:rsid w:val="008D76D0"/>
    <w:rsid w:val="008D7AE1"/>
    <w:rsid w:val="008D7DAC"/>
    <w:rsid w:val="008E023A"/>
    <w:rsid w:val="008E02A8"/>
    <w:rsid w:val="008E0897"/>
    <w:rsid w:val="008E28DC"/>
    <w:rsid w:val="008E2A26"/>
    <w:rsid w:val="008E2AAB"/>
    <w:rsid w:val="008E2B18"/>
    <w:rsid w:val="008E329D"/>
    <w:rsid w:val="008E3A93"/>
    <w:rsid w:val="008E3B5A"/>
    <w:rsid w:val="008E4203"/>
    <w:rsid w:val="008E4D13"/>
    <w:rsid w:val="008E4DB7"/>
    <w:rsid w:val="008E59EE"/>
    <w:rsid w:val="008E6D37"/>
    <w:rsid w:val="008E70A9"/>
    <w:rsid w:val="008E747B"/>
    <w:rsid w:val="008E77BD"/>
    <w:rsid w:val="008F0290"/>
    <w:rsid w:val="008F0C90"/>
    <w:rsid w:val="008F116B"/>
    <w:rsid w:val="008F164E"/>
    <w:rsid w:val="008F1764"/>
    <w:rsid w:val="008F1DDB"/>
    <w:rsid w:val="008F1FA3"/>
    <w:rsid w:val="008F264C"/>
    <w:rsid w:val="008F2AF7"/>
    <w:rsid w:val="008F2EAA"/>
    <w:rsid w:val="008F2F63"/>
    <w:rsid w:val="008F31A2"/>
    <w:rsid w:val="008F3C82"/>
    <w:rsid w:val="008F4325"/>
    <w:rsid w:val="008F48E5"/>
    <w:rsid w:val="008F4BB3"/>
    <w:rsid w:val="008F4BF2"/>
    <w:rsid w:val="008F4C89"/>
    <w:rsid w:val="008F4EBC"/>
    <w:rsid w:val="008F5B4F"/>
    <w:rsid w:val="008F6090"/>
    <w:rsid w:val="008F6A75"/>
    <w:rsid w:val="008F70D5"/>
    <w:rsid w:val="008F742B"/>
    <w:rsid w:val="008F7B75"/>
    <w:rsid w:val="008F7BAC"/>
    <w:rsid w:val="008F7BE3"/>
    <w:rsid w:val="0090012D"/>
    <w:rsid w:val="009016AA"/>
    <w:rsid w:val="00901D6A"/>
    <w:rsid w:val="00901F62"/>
    <w:rsid w:val="00901F9E"/>
    <w:rsid w:val="0090460E"/>
    <w:rsid w:val="00905582"/>
    <w:rsid w:val="009061BA"/>
    <w:rsid w:val="0090651F"/>
    <w:rsid w:val="00906E60"/>
    <w:rsid w:val="00907B7D"/>
    <w:rsid w:val="00907C60"/>
    <w:rsid w:val="00910E32"/>
    <w:rsid w:val="00911081"/>
    <w:rsid w:val="009111D1"/>
    <w:rsid w:val="0091181E"/>
    <w:rsid w:val="009120C9"/>
    <w:rsid w:val="00912AD6"/>
    <w:rsid w:val="00913DB8"/>
    <w:rsid w:val="00913FB6"/>
    <w:rsid w:val="009145C7"/>
    <w:rsid w:val="009145D1"/>
    <w:rsid w:val="009147A3"/>
    <w:rsid w:val="00914B6A"/>
    <w:rsid w:val="00915897"/>
    <w:rsid w:val="009161AE"/>
    <w:rsid w:val="0091634E"/>
    <w:rsid w:val="009169A7"/>
    <w:rsid w:val="00916ABE"/>
    <w:rsid w:val="009173C8"/>
    <w:rsid w:val="00917D57"/>
    <w:rsid w:val="0092009B"/>
    <w:rsid w:val="00920D73"/>
    <w:rsid w:val="009216C5"/>
    <w:rsid w:val="00922110"/>
    <w:rsid w:val="009224D9"/>
    <w:rsid w:val="0092294F"/>
    <w:rsid w:val="00922F2D"/>
    <w:rsid w:val="00923793"/>
    <w:rsid w:val="00923A4E"/>
    <w:rsid w:val="00923A61"/>
    <w:rsid w:val="00923C2F"/>
    <w:rsid w:val="00923CB7"/>
    <w:rsid w:val="00924269"/>
    <w:rsid w:val="0092434A"/>
    <w:rsid w:val="00924851"/>
    <w:rsid w:val="0092573F"/>
    <w:rsid w:val="009261F9"/>
    <w:rsid w:val="00926A61"/>
    <w:rsid w:val="0092709A"/>
    <w:rsid w:val="00927160"/>
    <w:rsid w:val="0093009A"/>
    <w:rsid w:val="009304C0"/>
    <w:rsid w:val="00930616"/>
    <w:rsid w:val="00930B6C"/>
    <w:rsid w:val="009323C6"/>
    <w:rsid w:val="00932A46"/>
    <w:rsid w:val="00932F31"/>
    <w:rsid w:val="00933057"/>
    <w:rsid w:val="009335B7"/>
    <w:rsid w:val="00934ED9"/>
    <w:rsid w:val="0093520F"/>
    <w:rsid w:val="0093602F"/>
    <w:rsid w:val="00936F69"/>
    <w:rsid w:val="0094051E"/>
    <w:rsid w:val="00940C3C"/>
    <w:rsid w:val="00941142"/>
    <w:rsid w:val="0094125E"/>
    <w:rsid w:val="009416F7"/>
    <w:rsid w:val="0094195E"/>
    <w:rsid w:val="009419BA"/>
    <w:rsid w:val="00941CC0"/>
    <w:rsid w:val="00941E49"/>
    <w:rsid w:val="009424DC"/>
    <w:rsid w:val="00943465"/>
    <w:rsid w:val="00943E43"/>
    <w:rsid w:val="00944434"/>
    <w:rsid w:val="00944787"/>
    <w:rsid w:val="009447E1"/>
    <w:rsid w:val="0094589E"/>
    <w:rsid w:val="009458E7"/>
    <w:rsid w:val="00945CF9"/>
    <w:rsid w:val="00945EF2"/>
    <w:rsid w:val="0094656E"/>
    <w:rsid w:val="009470A1"/>
    <w:rsid w:val="00950B1E"/>
    <w:rsid w:val="00950EC5"/>
    <w:rsid w:val="009510DE"/>
    <w:rsid w:val="00952140"/>
    <w:rsid w:val="009531D2"/>
    <w:rsid w:val="0095377A"/>
    <w:rsid w:val="00954324"/>
    <w:rsid w:val="009545DB"/>
    <w:rsid w:val="009546B1"/>
    <w:rsid w:val="00954C24"/>
    <w:rsid w:val="00955073"/>
    <w:rsid w:val="0095552C"/>
    <w:rsid w:val="009558F9"/>
    <w:rsid w:val="00956029"/>
    <w:rsid w:val="00956340"/>
    <w:rsid w:val="009564C7"/>
    <w:rsid w:val="0095676A"/>
    <w:rsid w:val="00956C9D"/>
    <w:rsid w:val="00956E12"/>
    <w:rsid w:val="009571A1"/>
    <w:rsid w:val="00957758"/>
    <w:rsid w:val="0095796E"/>
    <w:rsid w:val="00960B4C"/>
    <w:rsid w:val="00960CAE"/>
    <w:rsid w:val="009613EA"/>
    <w:rsid w:val="00961767"/>
    <w:rsid w:val="00961A31"/>
    <w:rsid w:val="00961DE8"/>
    <w:rsid w:val="00962803"/>
    <w:rsid w:val="00962A4E"/>
    <w:rsid w:val="0096359C"/>
    <w:rsid w:val="009637EE"/>
    <w:rsid w:val="0096382D"/>
    <w:rsid w:val="0096382E"/>
    <w:rsid w:val="00963CC9"/>
    <w:rsid w:val="00963ED5"/>
    <w:rsid w:val="009646B7"/>
    <w:rsid w:val="00965BD0"/>
    <w:rsid w:val="00965FE4"/>
    <w:rsid w:val="0096659D"/>
    <w:rsid w:val="00966785"/>
    <w:rsid w:val="00966808"/>
    <w:rsid w:val="009674FD"/>
    <w:rsid w:val="0096752C"/>
    <w:rsid w:val="00967611"/>
    <w:rsid w:val="0096791E"/>
    <w:rsid w:val="00967FB8"/>
    <w:rsid w:val="00970023"/>
    <w:rsid w:val="0097054F"/>
    <w:rsid w:val="00970901"/>
    <w:rsid w:val="009714B2"/>
    <w:rsid w:val="009716FB"/>
    <w:rsid w:val="009719A1"/>
    <w:rsid w:val="00971B16"/>
    <w:rsid w:val="00971CA6"/>
    <w:rsid w:val="00972173"/>
    <w:rsid w:val="009738E1"/>
    <w:rsid w:val="00975139"/>
    <w:rsid w:val="009759A3"/>
    <w:rsid w:val="00975A4B"/>
    <w:rsid w:val="0097660C"/>
    <w:rsid w:val="0097697F"/>
    <w:rsid w:val="00976D47"/>
    <w:rsid w:val="00980DAC"/>
    <w:rsid w:val="00980E6E"/>
    <w:rsid w:val="0098116C"/>
    <w:rsid w:val="00981330"/>
    <w:rsid w:val="00981343"/>
    <w:rsid w:val="009826A2"/>
    <w:rsid w:val="00982AA2"/>
    <w:rsid w:val="009830EA"/>
    <w:rsid w:val="009834CF"/>
    <w:rsid w:val="00983BE1"/>
    <w:rsid w:val="00983F7F"/>
    <w:rsid w:val="00984A80"/>
    <w:rsid w:val="0098588E"/>
    <w:rsid w:val="00985950"/>
    <w:rsid w:val="00985D90"/>
    <w:rsid w:val="0098602C"/>
    <w:rsid w:val="00986247"/>
    <w:rsid w:val="009869D2"/>
    <w:rsid w:val="00986A8D"/>
    <w:rsid w:val="00986B29"/>
    <w:rsid w:val="00986CC2"/>
    <w:rsid w:val="0098750B"/>
    <w:rsid w:val="009878A8"/>
    <w:rsid w:val="00987E33"/>
    <w:rsid w:val="00990BC9"/>
    <w:rsid w:val="009923BB"/>
    <w:rsid w:val="009925BA"/>
    <w:rsid w:val="00992960"/>
    <w:rsid w:val="009937B1"/>
    <w:rsid w:val="0099448D"/>
    <w:rsid w:val="00994B94"/>
    <w:rsid w:val="00994FEC"/>
    <w:rsid w:val="00995E70"/>
    <w:rsid w:val="00996298"/>
    <w:rsid w:val="009969AA"/>
    <w:rsid w:val="00996BA6"/>
    <w:rsid w:val="0099727D"/>
    <w:rsid w:val="00997643"/>
    <w:rsid w:val="00997888"/>
    <w:rsid w:val="00997C00"/>
    <w:rsid w:val="009A0B49"/>
    <w:rsid w:val="009A170E"/>
    <w:rsid w:val="009A18E0"/>
    <w:rsid w:val="009A290D"/>
    <w:rsid w:val="009A2BE8"/>
    <w:rsid w:val="009A31BD"/>
    <w:rsid w:val="009A34FD"/>
    <w:rsid w:val="009A3AFE"/>
    <w:rsid w:val="009A41AA"/>
    <w:rsid w:val="009A478A"/>
    <w:rsid w:val="009A48E5"/>
    <w:rsid w:val="009A495F"/>
    <w:rsid w:val="009A4E33"/>
    <w:rsid w:val="009A53BA"/>
    <w:rsid w:val="009A5CE6"/>
    <w:rsid w:val="009A6F1B"/>
    <w:rsid w:val="009B0000"/>
    <w:rsid w:val="009B01F5"/>
    <w:rsid w:val="009B084C"/>
    <w:rsid w:val="009B0D09"/>
    <w:rsid w:val="009B124A"/>
    <w:rsid w:val="009B23BA"/>
    <w:rsid w:val="009B27A3"/>
    <w:rsid w:val="009B2907"/>
    <w:rsid w:val="009B2940"/>
    <w:rsid w:val="009B2AA8"/>
    <w:rsid w:val="009B31B4"/>
    <w:rsid w:val="009B365F"/>
    <w:rsid w:val="009B3766"/>
    <w:rsid w:val="009B3769"/>
    <w:rsid w:val="009B3C11"/>
    <w:rsid w:val="009B443B"/>
    <w:rsid w:val="009B4D5F"/>
    <w:rsid w:val="009B5180"/>
    <w:rsid w:val="009B5190"/>
    <w:rsid w:val="009B54B1"/>
    <w:rsid w:val="009B5DD6"/>
    <w:rsid w:val="009B5E9E"/>
    <w:rsid w:val="009B6A53"/>
    <w:rsid w:val="009B6FA9"/>
    <w:rsid w:val="009B7313"/>
    <w:rsid w:val="009B77D0"/>
    <w:rsid w:val="009B7BE0"/>
    <w:rsid w:val="009B7D62"/>
    <w:rsid w:val="009B7D9A"/>
    <w:rsid w:val="009C02A4"/>
    <w:rsid w:val="009C055C"/>
    <w:rsid w:val="009C0649"/>
    <w:rsid w:val="009C072B"/>
    <w:rsid w:val="009C147D"/>
    <w:rsid w:val="009C1E9C"/>
    <w:rsid w:val="009C3E93"/>
    <w:rsid w:val="009C54C3"/>
    <w:rsid w:val="009C5C30"/>
    <w:rsid w:val="009C63CB"/>
    <w:rsid w:val="009C6627"/>
    <w:rsid w:val="009C7090"/>
    <w:rsid w:val="009C783A"/>
    <w:rsid w:val="009C7A6F"/>
    <w:rsid w:val="009D0741"/>
    <w:rsid w:val="009D07C2"/>
    <w:rsid w:val="009D0921"/>
    <w:rsid w:val="009D0E56"/>
    <w:rsid w:val="009D17D8"/>
    <w:rsid w:val="009D184B"/>
    <w:rsid w:val="009D1E3C"/>
    <w:rsid w:val="009D2AA5"/>
    <w:rsid w:val="009D2CE9"/>
    <w:rsid w:val="009D2E42"/>
    <w:rsid w:val="009D33A8"/>
    <w:rsid w:val="009D3AAC"/>
    <w:rsid w:val="009D4286"/>
    <w:rsid w:val="009D4E9E"/>
    <w:rsid w:val="009D4FCD"/>
    <w:rsid w:val="009D50E5"/>
    <w:rsid w:val="009D50EC"/>
    <w:rsid w:val="009D51BC"/>
    <w:rsid w:val="009D55F3"/>
    <w:rsid w:val="009D56CA"/>
    <w:rsid w:val="009D6A27"/>
    <w:rsid w:val="009D6F22"/>
    <w:rsid w:val="009D7284"/>
    <w:rsid w:val="009D72EE"/>
    <w:rsid w:val="009D757E"/>
    <w:rsid w:val="009D75EC"/>
    <w:rsid w:val="009D789B"/>
    <w:rsid w:val="009E0097"/>
    <w:rsid w:val="009E06E1"/>
    <w:rsid w:val="009E09E4"/>
    <w:rsid w:val="009E11B9"/>
    <w:rsid w:val="009E1461"/>
    <w:rsid w:val="009E1823"/>
    <w:rsid w:val="009E1CFA"/>
    <w:rsid w:val="009E1D5A"/>
    <w:rsid w:val="009E1DB8"/>
    <w:rsid w:val="009E208E"/>
    <w:rsid w:val="009E20A1"/>
    <w:rsid w:val="009E28CF"/>
    <w:rsid w:val="009E310E"/>
    <w:rsid w:val="009E3989"/>
    <w:rsid w:val="009E47B8"/>
    <w:rsid w:val="009E5DEA"/>
    <w:rsid w:val="009E6B50"/>
    <w:rsid w:val="009E785A"/>
    <w:rsid w:val="009E7B91"/>
    <w:rsid w:val="009E7DDD"/>
    <w:rsid w:val="009E7F9E"/>
    <w:rsid w:val="009F0231"/>
    <w:rsid w:val="009F057C"/>
    <w:rsid w:val="009F1002"/>
    <w:rsid w:val="009F1480"/>
    <w:rsid w:val="009F174F"/>
    <w:rsid w:val="009F19B0"/>
    <w:rsid w:val="009F1D20"/>
    <w:rsid w:val="009F1F38"/>
    <w:rsid w:val="009F25E9"/>
    <w:rsid w:val="009F2662"/>
    <w:rsid w:val="009F2841"/>
    <w:rsid w:val="009F33E2"/>
    <w:rsid w:val="009F3483"/>
    <w:rsid w:val="009F34EC"/>
    <w:rsid w:val="009F35FF"/>
    <w:rsid w:val="009F399E"/>
    <w:rsid w:val="009F3C2C"/>
    <w:rsid w:val="009F3EE6"/>
    <w:rsid w:val="009F4169"/>
    <w:rsid w:val="009F41CC"/>
    <w:rsid w:val="009F45C3"/>
    <w:rsid w:val="009F53D7"/>
    <w:rsid w:val="009F595A"/>
    <w:rsid w:val="009F5E28"/>
    <w:rsid w:val="009F6939"/>
    <w:rsid w:val="009F69AE"/>
    <w:rsid w:val="009F79C1"/>
    <w:rsid w:val="00A0009D"/>
    <w:rsid w:val="00A0017F"/>
    <w:rsid w:val="00A00AA6"/>
    <w:rsid w:val="00A010D1"/>
    <w:rsid w:val="00A019B7"/>
    <w:rsid w:val="00A0221A"/>
    <w:rsid w:val="00A0225B"/>
    <w:rsid w:val="00A02854"/>
    <w:rsid w:val="00A02CEE"/>
    <w:rsid w:val="00A03A2F"/>
    <w:rsid w:val="00A046CD"/>
    <w:rsid w:val="00A0494A"/>
    <w:rsid w:val="00A050DE"/>
    <w:rsid w:val="00A057F3"/>
    <w:rsid w:val="00A059DB"/>
    <w:rsid w:val="00A071F1"/>
    <w:rsid w:val="00A076F2"/>
    <w:rsid w:val="00A07EAA"/>
    <w:rsid w:val="00A1055B"/>
    <w:rsid w:val="00A10B8A"/>
    <w:rsid w:val="00A11C17"/>
    <w:rsid w:val="00A11C8C"/>
    <w:rsid w:val="00A11FE5"/>
    <w:rsid w:val="00A12036"/>
    <w:rsid w:val="00A1246D"/>
    <w:rsid w:val="00A12579"/>
    <w:rsid w:val="00A12A6E"/>
    <w:rsid w:val="00A131D9"/>
    <w:rsid w:val="00A13642"/>
    <w:rsid w:val="00A13682"/>
    <w:rsid w:val="00A1431D"/>
    <w:rsid w:val="00A146C5"/>
    <w:rsid w:val="00A14881"/>
    <w:rsid w:val="00A15718"/>
    <w:rsid w:val="00A15860"/>
    <w:rsid w:val="00A16A40"/>
    <w:rsid w:val="00A16C90"/>
    <w:rsid w:val="00A16EF3"/>
    <w:rsid w:val="00A16F4F"/>
    <w:rsid w:val="00A177C1"/>
    <w:rsid w:val="00A20180"/>
    <w:rsid w:val="00A20D45"/>
    <w:rsid w:val="00A20FEC"/>
    <w:rsid w:val="00A21079"/>
    <w:rsid w:val="00A212B1"/>
    <w:rsid w:val="00A215DF"/>
    <w:rsid w:val="00A21D0D"/>
    <w:rsid w:val="00A2231D"/>
    <w:rsid w:val="00A22797"/>
    <w:rsid w:val="00A23855"/>
    <w:rsid w:val="00A238FF"/>
    <w:rsid w:val="00A23B61"/>
    <w:rsid w:val="00A23F3F"/>
    <w:rsid w:val="00A2401B"/>
    <w:rsid w:val="00A240CB"/>
    <w:rsid w:val="00A25650"/>
    <w:rsid w:val="00A2581F"/>
    <w:rsid w:val="00A258DA"/>
    <w:rsid w:val="00A25A41"/>
    <w:rsid w:val="00A25D84"/>
    <w:rsid w:val="00A260A0"/>
    <w:rsid w:val="00A261E2"/>
    <w:rsid w:val="00A26424"/>
    <w:rsid w:val="00A26EFB"/>
    <w:rsid w:val="00A274EF"/>
    <w:rsid w:val="00A27D7D"/>
    <w:rsid w:val="00A3082F"/>
    <w:rsid w:val="00A309A3"/>
    <w:rsid w:val="00A30CE4"/>
    <w:rsid w:val="00A30FBD"/>
    <w:rsid w:val="00A317E1"/>
    <w:rsid w:val="00A31ECC"/>
    <w:rsid w:val="00A32724"/>
    <w:rsid w:val="00A332FF"/>
    <w:rsid w:val="00A33C7F"/>
    <w:rsid w:val="00A34699"/>
    <w:rsid w:val="00A35D4B"/>
    <w:rsid w:val="00A3612A"/>
    <w:rsid w:val="00A36698"/>
    <w:rsid w:val="00A36A7F"/>
    <w:rsid w:val="00A37FF1"/>
    <w:rsid w:val="00A40E21"/>
    <w:rsid w:val="00A4167D"/>
    <w:rsid w:val="00A41746"/>
    <w:rsid w:val="00A418E5"/>
    <w:rsid w:val="00A41E6C"/>
    <w:rsid w:val="00A421E9"/>
    <w:rsid w:val="00A42344"/>
    <w:rsid w:val="00A430E2"/>
    <w:rsid w:val="00A4319D"/>
    <w:rsid w:val="00A443F9"/>
    <w:rsid w:val="00A45603"/>
    <w:rsid w:val="00A4572F"/>
    <w:rsid w:val="00A45BC5"/>
    <w:rsid w:val="00A463D6"/>
    <w:rsid w:val="00A4669C"/>
    <w:rsid w:val="00A46707"/>
    <w:rsid w:val="00A46741"/>
    <w:rsid w:val="00A46C86"/>
    <w:rsid w:val="00A46DE0"/>
    <w:rsid w:val="00A46E3B"/>
    <w:rsid w:val="00A473B6"/>
    <w:rsid w:val="00A47A14"/>
    <w:rsid w:val="00A47F41"/>
    <w:rsid w:val="00A501D4"/>
    <w:rsid w:val="00A50B78"/>
    <w:rsid w:val="00A50C9A"/>
    <w:rsid w:val="00A51BAD"/>
    <w:rsid w:val="00A51DBB"/>
    <w:rsid w:val="00A51ECC"/>
    <w:rsid w:val="00A52359"/>
    <w:rsid w:val="00A5279C"/>
    <w:rsid w:val="00A52B5B"/>
    <w:rsid w:val="00A533DE"/>
    <w:rsid w:val="00A53BFF"/>
    <w:rsid w:val="00A53E3F"/>
    <w:rsid w:val="00A54031"/>
    <w:rsid w:val="00A549FC"/>
    <w:rsid w:val="00A54C96"/>
    <w:rsid w:val="00A55106"/>
    <w:rsid w:val="00A562C2"/>
    <w:rsid w:val="00A565B2"/>
    <w:rsid w:val="00A566AA"/>
    <w:rsid w:val="00A56874"/>
    <w:rsid w:val="00A5719E"/>
    <w:rsid w:val="00A600B6"/>
    <w:rsid w:val="00A600B7"/>
    <w:rsid w:val="00A607AF"/>
    <w:rsid w:val="00A60910"/>
    <w:rsid w:val="00A60FB6"/>
    <w:rsid w:val="00A61431"/>
    <w:rsid w:val="00A614BF"/>
    <w:rsid w:val="00A61B48"/>
    <w:rsid w:val="00A623C9"/>
    <w:rsid w:val="00A624C4"/>
    <w:rsid w:val="00A625FF"/>
    <w:rsid w:val="00A62D32"/>
    <w:rsid w:val="00A62EFA"/>
    <w:rsid w:val="00A6304D"/>
    <w:rsid w:val="00A634FB"/>
    <w:rsid w:val="00A635CD"/>
    <w:rsid w:val="00A63BD9"/>
    <w:rsid w:val="00A64076"/>
    <w:rsid w:val="00A646B3"/>
    <w:rsid w:val="00A64E01"/>
    <w:rsid w:val="00A65534"/>
    <w:rsid w:val="00A65D83"/>
    <w:rsid w:val="00A663E1"/>
    <w:rsid w:val="00A66750"/>
    <w:rsid w:val="00A66A9B"/>
    <w:rsid w:val="00A67B99"/>
    <w:rsid w:val="00A71460"/>
    <w:rsid w:val="00A71A1F"/>
    <w:rsid w:val="00A71E3D"/>
    <w:rsid w:val="00A72127"/>
    <w:rsid w:val="00A722AA"/>
    <w:rsid w:val="00A730CD"/>
    <w:rsid w:val="00A7314B"/>
    <w:rsid w:val="00A739B6"/>
    <w:rsid w:val="00A739E3"/>
    <w:rsid w:val="00A73C9F"/>
    <w:rsid w:val="00A74296"/>
    <w:rsid w:val="00A74852"/>
    <w:rsid w:val="00A74C67"/>
    <w:rsid w:val="00A75537"/>
    <w:rsid w:val="00A75E6D"/>
    <w:rsid w:val="00A76DDB"/>
    <w:rsid w:val="00A7785B"/>
    <w:rsid w:val="00A804BE"/>
    <w:rsid w:val="00A8067F"/>
    <w:rsid w:val="00A80C29"/>
    <w:rsid w:val="00A813D5"/>
    <w:rsid w:val="00A81C18"/>
    <w:rsid w:val="00A820C7"/>
    <w:rsid w:val="00A823C7"/>
    <w:rsid w:val="00A828DB"/>
    <w:rsid w:val="00A82963"/>
    <w:rsid w:val="00A82C8D"/>
    <w:rsid w:val="00A83232"/>
    <w:rsid w:val="00A83BE7"/>
    <w:rsid w:val="00A83FC8"/>
    <w:rsid w:val="00A84005"/>
    <w:rsid w:val="00A8452E"/>
    <w:rsid w:val="00A84B91"/>
    <w:rsid w:val="00A85862"/>
    <w:rsid w:val="00A85A47"/>
    <w:rsid w:val="00A85BC0"/>
    <w:rsid w:val="00A85BF1"/>
    <w:rsid w:val="00A86386"/>
    <w:rsid w:val="00A87674"/>
    <w:rsid w:val="00A876B9"/>
    <w:rsid w:val="00A90DEB"/>
    <w:rsid w:val="00A92042"/>
    <w:rsid w:val="00A926E8"/>
    <w:rsid w:val="00A9297C"/>
    <w:rsid w:val="00A92BDF"/>
    <w:rsid w:val="00A93071"/>
    <w:rsid w:val="00A93408"/>
    <w:rsid w:val="00A94220"/>
    <w:rsid w:val="00A94478"/>
    <w:rsid w:val="00A946CE"/>
    <w:rsid w:val="00A9550D"/>
    <w:rsid w:val="00A95AB1"/>
    <w:rsid w:val="00A95B8E"/>
    <w:rsid w:val="00A96BBA"/>
    <w:rsid w:val="00A96F38"/>
    <w:rsid w:val="00A9752E"/>
    <w:rsid w:val="00A978DD"/>
    <w:rsid w:val="00A97F91"/>
    <w:rsid w:val="00AA06B1"/>
    <w:rsid w:val="00AA13DC"/>
    <w:rsid w:val="00AA1F26"/>
    <w:rsid w:val="00AA24BA"/>
    <w:rsid w:val="00AA2689"/>
    <w:rsid w:val="00AA2FD2"/>
    <w:rsid w:val="00AA3552"/>
    <w:rsid w:val="00AA36ED"/>
    <w:rsid w:val="00AA395D"/>
    <w:rsid w:val="00AA416D"/>
    <w:rsid w:val="00AA4661"/>
    <w:rsid w:val="00AA473F"/>
    <w:rsid w:val="00AA4945"/>
    <w:rsid w:val="00AA49E6"/>
    <w:rsid w:val="00AA4B23"/>
    <w:rsid w:val="00AA4C7A"/>
    <w:rsid w:val="00AA5010"/>
    <w:rsid w:val="00AA52BC"/>
    <w:rsid w:val="00AA553E"/>
    <w:rsid w:val="00AA637C"/>
    <w:rsid w:val="00AA6CB7"/>
    <w:rsid w:val="00AA6FB3"/>
    <w:rsid w:val="00AA739D"/>
    <w:rsid w:val="00AB0020"/>
    <w:rsid w:val="00AB01FC"/>
    <w:rsid w:val="00AB0D6B"/>
    <w:rsid w:val="00AB1A2B"/>
    <w:rsid w:val="00AB1D30"/>
    <w:rsid w:val="00AB1F7F"/>
    <w:rsid w:val="00AB2D7E"/>
    <w:rsid w:val="00AB2E66"/>
    <w:rsid w:val="00AB3CC2"/>
    <w:rsid w:val="00AB45C0"/>
    <w:rsid w:val="00AB4F6A"/>
    <w:rsid w:val="00AB54CB"/>
    <w:rsid w:val="00AB55B3"/>
    <w:rsid w:val="00AB577C"/>
    <w:rsid w:val="00AB57FE"/>
    <w:rsid w:val="00AB5A0C"/>
    <w:rsid w:val="00AB711F"/>
    <w:rsid w:val="00AB77CA"/>
    <w:rsid w:val="00AC0116"/>
    <w:rsid w:val="00AC03E7"/>
    <w:rsid w:val="00AC0773"/>
    <w:rsid w:val="00AC1280"/>
    <w:rsid w:val="00AC1E43"/>
    <w:rsid w:val="00AC20D8"/>
    <w:rsid w:val="00AC2308"/>
    <w:rsid w:val="00AC250D"/>
    <w:rsid w:val="00AC30CF"/>
    <w:rsid w:val="00AC37BD"/>
    <w:rsid w:val="00AC407C"/>
    <w:rsid w:val="00AC4749"/>
    <w:rsid w:val="00AC4CA3"/>
    <w:rsid w:val="00AC52E2"/>
    <w:rsid w:val="00AC5CA0"/>
    <w:rsid w:val="00AC6BED"/>
    <w:rsid w:val="00AC6FCF"/>
    <w:rsid w:val="00AC7054"/>
    <w:rsid w:val="00AC7190"/>
    <w:rsid w:val="00AC732A"/>
    <w:rsid w:val="00AC759B"/>
    <w:rsid w:val="00AD027A"/>
    <w:rsid w:val="00AD0CB0"/>
    <w:rsid w:val="00AD16F1"/>
    <w:rsid w:val="00AD1C60"/>
    <w:rsid w:val="00AD217E"/>
    <w:rsid w:val="00AD2849"/>
    <w:rsid w:val="00AD3553"/>
    <w:rsid w:val="00AD3E1B"/>
    <w:rsid w:val="00AD449B"/>
    <w:rsid w:val="00AD4543"/>
    <w:rsid w:val="00AD45E8"/>
    <w:rsid w:val="00AD4D9D"/>
    <w:rsid w:val="00AD5686"/>
    <w:rsid w:val="00AD5833"/>
    <w:rsid w:val="00AD59BB"/>
    <w:rsid w:val="00AD63C1"/>
    <w:rsid w:val="00AD6B23"/>
    <w:rsid w:val="00AD6B84"/>
    <w:rsid w:val="00AD6C0B"/>
    <w:rsid w:val="00AD71AF"/>
    <w:rsid w:val="00AD79AE"/>
    <w:rsid w:val="00AE0854"/>
    <w:rsid w:val="00AE103D"/>
    <w:rsid w:val="00AE1317"/>
    <w:rsid w:val="00AE1747"/>
    <w:rsid w:val="00AE18B8"/>
    <w:rsid w:val="00AE19A9"/>
    <w:rsid w:val="00AE1C51"/>
    <w:rsid w:val="00AE1E83"/>
    <w:rsid w:val="00AE1ECB"/>
    <w:rsid w:val="00AE1F5F"/>
    <w:rsid w:val="00AE2943"/>
    <w:rsid w:val="00AE3066"/>
    <w:rsid w:val="00AE317B"/>
    <w:rsid w:val="00AE3806"/>
    <w:rsid w:val="00AE3882"/>
    <w:rsid w:val="00AE433E"/>
    <w:rsid w:val="00AE4787"/>
    <w:rsid w:val="00AE4A5B"/>
    <w:rsid w:val="00AE6AE5"/>
    <w:rsid w:val="00AE6B45"/>
    <w:rsid w:val="00AE6D19"/>
    <w:rsid w:val="00AE6E91"/>
    <w:rsid w:val="00AE6FFE"/>
    <w:rsid w:val="00AE793D"/>
    <w:rsid w:val="00AF0C19"/>
    <w:rsid w:val="00AF0D4E"/>
    <w:rsid w:val="00AF0F7C"/>
    <w:rsid w:val="00AF13AD"/>
    <w:rsid w:val="00AF1749"/>
    <w:rsid w:val="00AF1CA2"/>
    <w:rsid w:val="00AF27A2"/>
    <w:rsid w:val="00AF28BF"/>
    <w:rsid w:val="00AF3217"/>
    <w:rsid w:val="00AF3C48"/>
    <w:rsid w:val="00AF4416"/>
    <w:rsid w:val="00AF4E12"/>
    <w:rsid w:val="00AF51BD"/>
    <w:rsid w:val="00AF5305"/>
    <w:rsid w:val="00AF551B"/>
    <w:rsid w:val="00AF6438"/>
    <w:rsid w:val="00AF758E"/>
    <w:rsid w:val="00AF7637"/>
    <w:rsid w:val="00B01BAD"/>
    <w:rsid w:val="00B02829"/>
    <w:rsid w:val="00B02843"/>
    <w:rsid w:val="00B03815"/>
    <w:rsid w:val="00B03E33"/>
    <w:rsid w:val="00B04566"/>
    <w:rsid w:val="00B0573F"/>
    <w:rsid w:val="00B05B38"/>
    <w:rsid w:val="00B05BDD"/>
    <w:rsid w:val="00B0624D"/>
    <w:rsid w:val="00B06C6A"/>
    <w:rsid w:val="00B06CA3"/>
    <w:rsid w:val="00B07902"/>
    <w:rsid w:val="00B100B5"/>
    <w:rsid w:val="00B103A3"/>
    <w:rsid w:val="00B103B8"/>
    <w:rsid w:val="00B10AE6"/>
    <w:rsid w:val="00B10C2A"/>
    <w:rsid w:val="00B117E8"/>
    <w:rsid w:val="00B11FC1"/>
    <w:rsid w:val="00B12E78"/>
    <w:rsid w:val="00B12E84"/>
    <w:rsid w:val="00B1317A"/>
    <w:rsid w:val="00B140B6"/>
    <w:rsid w:val="00B14450"/>
    <w:rsid w:val="00B152FD"/>
    <w:rsid w:val="00B1553E"/>
    <w:rsid w:val="00B166A4"/>
    <w:rsid w:val="00B16B96"/>
    <w:rsid w:val="00B16DF1"/>
    <w:rsid w:val="00B16F1A"/>
    <w:rsid w:val="00B175EF"/>
    <w:rsid w:val="00B204E1"/>
    <w:rsid w:val="00B20A8A"/>
    <w:rsid w:val="00B2111B"/>
    <w:rsid w:val="00B214F2"/>
    <w:rsid w:val="00B21D1B"/>
    <w:rsid w:val="00B21E01"/>
    <w:rsid w:val="00B22263"/>
    <w:rsid w:val="00B22277"/>
    <w:rsid w:val="00B22C11"/>
    <w:rsid w:val="00B232CF"/>
    <w:rsid w:val="00B2333E"/>
    <w:rsid w:val="00B23976"/>
    <w:rsid w:val="00B23B87"/>
    <w:rsid w:val="00B2576D"/>
    <w:rsid w:val="00B25F8A"/>
    <w:rsid w:val="00B2629C"/>
    <w:rsid w:val="00B263C2"/>
    <w:rsid w:val="00B26499"/>
    <w:rsid w:val="00B27BB9"/>
    <w:rsid w:val="00B27F40"/>
    <w:rsid w:val="00B3144A"/>
    <w:rsid w:val="00B31736"/>
    <w:rsid w:val="00B327E6"/>
    <w:rsid w:val="00B3282D"/>
    <w:rsid w:val="00B32855"/>
    <w:rsid w:val="00B3428A"/>
    <w:rsid w:val="00B34573"/>
    <w:rsid w:val="00B3486A"/>
    <w:rsid w:val="00B34B71"/>
    <w:rsid w:val="00B34D0B"/>
    <w:rsid w:val="00B34D14"/>
    <w:rsid w:val="00B35164"/>
    <w:rsid w:val="00B35314"/>
    <w:rsid w:val="00B35795"/>
    <w:rsid w:val="00B35A57"/>
    <w:rsid w:val="00B35BB2"/>
    <w:rsid w:val="00B3633D"/>
    <w:rsid w:val="00B364CF"/>
    <w:rsid w:val="00B367DC"/>
    <w:rsid w:val="00B369A5"/>
    <w:rsid w:val="00B36BFF"/>
    <w:rsid w:val="00B37216"/>
    <w:rsid w:val="00B37751"/>
    <w:rsid w:val="00B41C8C"/>
    <w:rsid w:val="00B42019"/>
    <w:rsid w:val="00B42243"/>
    <w:rsid w:val="00B425F5"/>
    <w:rsid w:val="00B42755"/>
    <w:rsid w:val="00B428A1"/>
    <w:rsid w:val="00B42C64"/>
    <w:rsid w:val="00B438C8"/>
    <w:rsid w:val="00B44C2A"/>
    <w:rsid w:val="00B44CAA"/>
    <w:rsid w:val="00B4595B"/>
    <w:rsid w:val="00B460F8"/>
    <w:rsid w:val="00B4632B"/>
    <w:rsid w:val="00B46591"/>
    <w:rsid w:val="00B46720"/>
    <w:rsid w:val="00B46F34"/>
    <w:rsid w:val="00B4748C"/>
    <w:rsid w:val="00B4752B"/>
    <w:rsid w:val="00B4777E"/>
    <w:rsid w:val="00B5036C"/>
    <w:rsid w:val="00B508DA"/>
    <w:rsid w:val="00B50DBC"/>
    <w:rsid w:val="00B51048"/>
    <w:rsid w:val="00B51299"/>
    <w:rsid w:val="00B516F7"/>
    <w:rsid w:val="00B51CD0"/>
    <w:rsid w:val="00B5322B"/>
    <w:rsid w:val="00B533CB"/>
    <w:rsid w:val="00B54066"/>
    <w:rsid w:val="00B5466F"/>
    <w:rsid w:val="00B548D4"/>
    <w:rsid w:val="00B54919"/>
    <w:rsid w:val="00B54AB7"/>
    <w:rsid w:val="00B55D2E"/>
    <w:rsid w:val="00B55F6F"/>
    <w:rsid w:val="00B56B37"/>
    <w:rsid w:val="00B572FA"/>
    <w:rsid w:val="00B579F2"/>
    <w:rsid w:val="00B60F2B"/>
    <w:rsid w:val="00B61BA4"/>
    <w:rsid w:val="00B626F1"/>
    <w:rsid w:val="00B62D84"/>
    <w:rsid w:val="00B63739"/>
    <w:rsid w:val="00B64A41"/>
    <w:rsid w:val="00B6512C"/>
    <w:rsid w:val="00B6525B"/>
    <w:rsid w:val="00B653DA"/>
    <w:rsid w:val="00B67379"/>
    <w:rsid w:val="00B67A57"/>
    <w:rsid w:val="00B67A8A"/>
    <w:rsid w:val="00B67AC7"/>
    <w:rsid w:val="00B70995"/>
    <w:rsid w:val="00B71036"/>
    <w:rsid w:val="00B713E9"/>
    <w:rsid w:val="00B717DD"/>
    <w:rsid w:val="00B719AF"/>
    <w:rsid w:val="00B72619"/>
    <w:rsid w:val="00B72766"/>
    <w:rsid w:val="00B73B26"/>
    <w:rsid w:val="00B74002"/>
    <w:rsid w:val="00B741DB"/>
    <w:rsid w:val="00B746A0"/>
    <w:rsid w:val="00B7473B"/>
    <w:rsid w:val="00B75065"/>
    <w:rsid w:val="00B75473"/>
    <w:rsid w:val="00B76491"/>
    <w:rsid w:val="00B76684"/>
    <w:rsid w:val="00B769FA"/>
    <w:rsid w:val="00B77257"/>
    <w:rsid w:val="00B77626"/>
    <w:rsid w:val="00B80393"/>
    <w:rsid w:val="00B8051D"/>
    <w:rsid w:val="00B81224"/>
    <w:rsid w:val="00B813AE"/>
    <w:rsid w:val="00B81BEC"/>
    <w:rsid w:val="00B8218D"/>
    <w:rsid w:val="00B83DA6"/>
    <w:rsid w:val="00B840F6"/>
    <w:rsid w:val="00B8419D"/>
    <w:rsid w:val="00B8420C"/>
    <w:rsid w:val="00B846B9"/>
    <w:rsid w:val="00B84E42"/>
    <w:rsid w:val="00B859E0"/>
    <w:rsid w:val="00B85D46"/>
    <w:rsid w:val="00B85E1B"/>
    <w:rsid w:val="00B85E3F"/>
    <w:rsid w:val="00B8774B"/>
    <w:rsid w:val="00B87FA0"/>
    <w:rsid w:val="00B902DC"/>
    <w:rsid w:val="00B903C5"/>
    <w:rsid w:val="00B906D4"/>
    <w:rsid w:val="00B90982"/>
    <w:rsid w:val="00B9124A"/>
    <w:rsid w:val="00B91754"/>
    <w:rsid w:val="00B9187F"/>
    <w:rsid w:val="00B91A10"/>
    <w:rsid w:val="00B92B0D"/>
    <w:rsid w:val="00B92FBC"/>
    <w:rsid w:val="00B94C32"/>
    <w:rsid w:val="00B957FD"/>
    <w:rsid w:val="00B95857"/>
    <w:rsid w:val="00B960D2"/>
    <w:rsid w:val="00B96178"/>
    <w:rsid w:val="00B96950"/>
    <w:rsid w:val="00B97546"/>
    <w:rsid w:val="00B97598"/>
    <w:rsid w:val="00B97D56"/>
    <w:rsid w:val="00BA01F5"/>
    <w:rsid w:val="00BA0248"/>
    <w:rsid w:val="00BA04F7"/>
    <w:rsid w:val="00BA18A2"/>
    <w:rsid w:val="00BA1DD6"/>
    <w:rsid w:val="00BA2985"/>
    <w:rsid w:val="00BA2AEA"/>
    <w:rsid w:val="00BA340D"/>
    <w:rsid w:val="00BA3582"/>
    <w:rsid w:val="00BA377A"/>
    <w:rsid w:val="00BA3906"/>
    <w:rsid w:val="00BA4062"/>
    <w:rsid w:val="00BA412B"/>
    <w:rsid w:val="00BA41DC"/>
    <w:rsid w:val="00BA43EF"/>
    <w:rsid w:val="00BA4871"/>
    <w:rsid w:val="00BA49EE"/>
    <w:rsid w:val="00BA4A56"/>
    <w:rsid w:val="00BA4C10"/>
    <w:rsid w:val="00BA562C"/>
    <w:rsid w:val="00BA5849"/>
    <w:rsid w:val="00BA690F"/>
    <w:rsid w:val="00BA7227"/>
    <w:rsid w:val="00BA75B1"/>
    <w:rsid w:val="00BA76C0"/>
    <w:rsid w:val="00BA7793"/>
    <w:rsid w:val="00BA7CF9"/>
    <w:rsid w:val="00BB11E6"/>
    <w:rsid w:val="00BB1C81"/>
    <w:rsid w:val="00BB1E72"/>
    <w:rsid w:val="00BB1F61"/>
    <w:rsid w:val="00BB222D"/>
    <w:rsid w:val="00BB2688"/>
    <w:rsid w:val="00BB2AE1"/>
    <w:rsid w:val="00BB36CC"/>
    <w:rsid w:val="00BB3C47"/>
    <w:rsid w:val="00BB4359"/>
    <w:rsid w:val="00BB4875"/>
    <w:rsid w:val="00BB4973"/>
    <w:rsid w:val="00BB4D3E"/>
    <w:rsid w:val="00BB525E"/>
    <w:rsid w:val="00BB561F"/>
    <w:rsid w:val="00BB5B27"/>
    <w:rsid w:val="00BB66FE"/>
    <w:rsid w:val="00BB6C8C"/>
    <w:rsid w:val="00BB6EE8"/>
    <w:rsid w:val="00BB7460"/>
    <w:rsid w:val="00BB7D87"/>
    <w:rsid w:val="00BC08D4"/>
    <w:rsid w:val="00BC0FB7"/>
    <w:rsid w:val="00BC1326"/>
    <w:rsid w:val="00BC143C"/>
    <w:rsid w:val="00BC1AD7"/>
    <w:rsid w:val="00BC2099"/>
    <w:rsid w:val="00BC2854"/>
    <w:rsid w:val="00BC33E9"/>
    <w:rsid w:val="00BC3424"/>
    <w:rsid w:val="00BC3A67"/>
    <w:rsid w:val="00BC3AE1"/>
    <w:rsid w:val="00BC3C3C"/>
    <w:rsid w:val="00BC3E37"/>
    <w:rsid w:val="00BC45D9"/>
    <w:rsid w:val="00BC586C"/>
    <w:rsid w:val="00BC5CFF"/>
    <w:rsid w:val="00BC5EED"/>
    <w:rsid w:val="00BC60C2"/>
    <w:rsid w:val="00BC6399"/>
    <w:rsid w:val="00BC7DFF"/>
    <w:rsid w:val="00BD01C8"/>
    <w:rsid w:val="00BD0A08"/>
    <w:rsid w:val="00BD0A71"/>
    <w:rsid w:val="00BD0B54"/>
    <w:rsid w:val="00BD0B82"/>
    <w:rsid w:val="00BD0E16"/>
    <w:rsid w:val="00BD1062"/>
    <w:rsid w:val="00BD1892"/>
    <w:rsid w:val="00BD1C3D"/>
    <w:rsid w:val="00BD22EF"/>
    <w:rsid w:val="00BD2839"/>
    <w:rsid w:val="00BD29A0"/>
    <w:rsid w:val="00BD3109"/>
    <w:rsid w:val="00BD31C3"/>
    <w:rsid w:val="00BD38A9"/>
    <w:rsid w:val="00BD3ACB"/>
    <w:rsid w:val="00BD447D"/>
    <w:rsid w:val="00BD45DF"/>
    <w:rsid w:val="00BD4BEC"/>
    <w:rsid w:val="00BD4EEE"/>
    <w:rsid w:val="00BD5541"/>
    <w:rsid w:val="00BD5ECB"/>
    <w:rsid w:val="00BD5F97"/>
    <w:rsid w:val="00BD6230"/>
    <w:rsid w:val="00BD6325"/>
    <w:rsid w:val="00BD6BEC"/>
    <w:rsid w:val="00BD6BF5"/>
    <w:rsid w:val="00BD6E3D"/>
    <w:rsid w:val="00BD79BF"/>
    <w:rsid w:val="00BE0535"/>
    <w:rsid w:val="00BE071C"/>
    <w:rsid w:val="00BE140C"/>
    <w:rsid w:val="00BE1CF7"/>
    <w:rsid w:val="00BE2101"/>
    <w:rsid w:val="00BE2724"/>
    <w:rsid w:val="00BE2CAC"/>
    <w:rsid w:val="00BE2D32"/>
    <w:rsid w:val="00BE3193"/>
    <w:rsid w:val="00BE36B1"/>
    <w:rsid w:val="00BE43F5"/>
    <w:rsid w:val="00BE451F"/>
    <w:rsid w:val="00BE46A0"/>
    <w:rsid w:val="00BE476B"/>
    <w:rsid w:val="00BE4771"/>
    <w:rsid w:val="00BE47CB"/>
    <w:rsid w:val="00BE4A7B"/>
    <w:rsid w:val="00BE4D75"/>
    <w:rsid w:val="00BE50EF"/>
    <w:rsid w:val="00BE51EE"/>
    <w:rsid w:val="00BE5693"/>
    <w:rsid w:val="00BE5D1B"/>
    <w:rsid w:val="00BE5F3C"/>
    <w:rsid w:val="00BE6C79"/>
    <w:rsid w:val="00BE6F51"/>
    <w:rsid w:val="00BE7623"/>
    <w:rsid w:val="00BE7D8E"/>
    <w:rsid w:val="00BF0327"/>
    <w:rsid w:val="00BF05B6"/>
    <w:rsid w:val="00BF083E"/>
    <w:rsid w:val="00BF0B92"/>
    <w:rsid w:val="00BF0DA8"/>
    <w:rsid w:val="00BF177D"/>
    <w:rsid w:val="00BF186E"/>
    <w:rsid w:val="00BF1FF4"/>
    <w:rsid w:val="00BF20AB"/>
    <w:rsid w:val="00BF2235"/>
    <w:rsid w:val="00BF23F1"/>
    <w:rsid w:val="00BF24A5"/>
    <w:rsid w:val="00BF35BA"/>
    <w:rsid w:val="00BF3FE5"/>
    <w:rsid w:val="00BF419A"/>
    <w:rsid w:val="00BF4732"/>
    <w:rsid w:val="00BF4ADA"/>
    <w:rsid w:val="00BF53FB"/>
    <w:rsid w:val="00BF5718"/>
    <w:rsid w:val="00BF5FFD"/>
    <w:rsid w:val="00BF7EA3"/>
    <w:rsid w:val="00C00A54"/>
    <w:rsid w:val="00C00AB6"/>
    <w:rsid w:val="00C00DB8"/>
    <w:rsid w:val="00C0256E"/>
    <w:rsid w:val="00C02BD2"/>
    <w:rsid w:val="00C0332F"/>
    <w:rsid w:val="00C03A66"/>
    <w:rsid w:val="00C043D9"/>
    <w:rsid w:val="00C04406"/>
    <w:rsid w:val="00C04603"/>
    <w:rsid w:val="00C047A9"/>
    <w:rsid w:val="00C0496E"/>
    <w:rsid w:val="00C04F69"/>
    <w:rsid w:val="00C05CF1"/>
    <w:rsid w:val="00C05D83"/>
    <w:rsid w:val="00C05EF7"/>
    <w:rsid w:val="00C06FDF"/>
    <w:rsid w:val="00C07061"/>
    <w:rsid w:val="00C07757"/>
    <w:rsid w:val="00C07981"/>
    <w:rsid w:val="00C07BF5"/>
    <w:rsid w:val="00C10F81"/>
    <w:rsid w:val="00C11927"/>
    <w:rsid w:val="00C12167"/>
    <w:rsid w:val="00C131C6"/>
    <w:rsid w:val="00C13570"/>
    <w:rsid w:val="00C13BA7"/>
    <w:rsid w:val="00C13EDF"/>
    <w:rsid w:val="00C1415F"/>
    <w:rsid w:val="00C14E89"/>
    <w:rsid w:val="00C16BD5"/>
    <w:rsid w:val="00C17F87"/>
    <w:rsid w:val="00C224BB"/>
    <w:rsid w:val="00C2277A"/>
    <w:rsid w:val="00C22A3C"/>
    <w:rsid w:val="00C244C1"/>
    <w:rsid w:val="00C24566"/>
    <w:rsid w:val="00C247A3"/>
    <w:rsid w:val="00C2527D"/>
    <w:rsid w:val="00C25621"/>
    <w:rsid w:val="00C25801"/>
    <w:rsid w:val="00C26CEE"/>
    <w:rsid w:val="00C272E8"/>
    <w:rsid w:val="00C273DA"/>
    <w:rsid w:val="00C27622"/>
    <w:rsid w:val="00C27A5F"/>
    <w:rsid w:val="00C27A6A"/>
    <w:rsid w:val="00C27A6F"/>
    <w:rsid w:val="00C27B98"/>
    <w:rsid w:val="00C27D17"/>
    <w:rsid w:val="00C301C4"/>
    <w:rsid w:val="00C301F7"/>
    <w:rsid w:val="00C30AB0"/>
    <w:rsid w:val="00C310DB"/>
    <w:rsid w:val="00C316C3"/>
    <w:rsid w:val="00C31992"/>
    <w:rsid w:val="00C3395A"/>
    <w:rsid w:val="00C33D9A"/>
    <w:rsid w:val="00C342B2"/>
    <w:rsid w:val="00C346D7"/>
    <w:rsid w:val="00C3552B"/>
    <w:rsid w:val="00C36109"/>
    <w:rsid w:val="00C3762A"/>
    <w:rsid w:val="00C40322"/>
    <w:rsid w:val="00C40901"/>
    <w:rsid w:val="00C40965"/>
    <w:rsid w:val="00C41688"/>
    <w:rsid w:val="00C41F2E"/>
    <w:rsid w:val="00C424E0"/>
    <w:rsid w:val="00C42F35"/>
    <w:rsid w:val="00C438A4"/>
    <w:rsid w:val="00C43E35"/>
    <w:rsid w:val="00C43E75"/>
    <w:rsid w:val="00C4411F"/>
    <w:rsid w:val="00C4413D"/>
    <w:rsid w:val="00C44548"/>
    <w:rsid w:val="00C447A3"/>
    <w:rsid w:val="00C44E1B"/>
    <w:rsid w:val="00C44FD3"/>
    <w:rsid w:val="00C45269"/>
    <w:rsid w:val="00C454A5"/>
    <w:rsid w:val="00C4555B"/>
    <w:rsid w:val="00C45750"/>
    <w:rsid w:val="00C46D28"/>
    <w:rsid w:val="00C46E4D"/>
    <w:rsid w:val="00C47CA8"/>
    <w:rsid w:val="00C507DF"/>
    <w:rsid w:val="00C52A45"/>
    <w:rsid w:val="00C52AB6"/>
    <w:rsid w:val="00C53522"/>
    <w:rsid w:val="00C5387A"/>
    <w:rsid w:val="00C53B6A"/>
    <w:rsid w:val="00C540C6"/>
    <w:rsid w:val="00C542DB"/>
    <w:rsid w:val="00C547D2"/>
    <w:rsid w:val="00C559D3"/>
    <w:rsid w:val="00C55A8D"/>
    <w:rsid w:val="00C57180"/>
    <w:rsid w:val="00C574B3"/>
    <w:rsid w:val="00C577E6"/>
    <w:rsid w:val="00C60FDA"/>
    <w:rsid w:val="00C62CE6"/>
    <w:rsid w:val="00C63D6E"/>
    <w:rsid w:val="00C63D87"/>
    <w:rsid w:val="00C65FB7"/>
    <w:rsid w:val="00C66B5B"/>
    <w:rsid w:val="00C670DD"/>
    <w:rsid w:val="00C6755A"/>
    <w:rsid w:val="00C67CE1"/>
    <w:rsid w:val="00C67D1B"/>
    <w:rsid w:val="00C67E32"/>
    <w:rsid w:val="00C7023F"/>
    <w:rsid w:val="00C702F5"/>
    <w:rsid w:val="00C70729"/>
    <w:rsid w:val="00C70E88"/>
    <w:rsid w:val="00C711CD"/>
    <w:rsid w:val="00C716DE"/>
    <w:rsid w:val="00C71F6E"/>
    <w:rsid w:val="00C71F76"/>
    <w:rsid w:val="00C72065"/>
    <w:rsid w:val="00C724DE"/>
    <w:rsid w:val="00C7273D"/>
    <w:rsid w:val="00C735C7"/>
    <w:rsid w:val="00C73793"/>
    <w:rsid w:val="00C73CEA"/>
    <w:rsid w:val="00C74048"/>
    <w:rsid w:val="00C74275"/>
    <w:rsid w:val="00C74B4D"/>
    <w:rsid w:val="00C74BD3"/>
    <w:rsid w:val="00C74C79"/>
    <w:rsid w:val="00C74F49"/>
    <w:rsid w:val="00C75295"/>
    <w:rsid w:val="00C76240"/>
    <w:rsid w:val="00C7624A"/>
    <w:rsid w:val="00C763E7"/>
    <w:rsid w:val="00C76401"/>
    <w:rsid w:val="00C77EF3"/>
    <w:rsid w:val="00C80D63"/>
    <w:rsid w:val="00C812F7"/>
    <w:rsid w:val="00C818F4"/>
    <w:rsid w:val="00C825B8"/>
    <w:rsid w:val="00C8268A"/>
    <w:rsid w:val="00C82C70"/>
    <w:rsid w:val="00C82E8F"/>
    <w:rsid w:val="00C83633"/>
    <w:rsid w:val="00C83930"/>
    <w:rsid w:val="00C83A94"/>
    <w:rsid w:val="00C849C3"/>
    <w:rsid w:val="00C84DF4"/>
    <w:rsid w:val="00C85FA0"/>
    <w:rsid w:val="00C8601D"/>
    <w:rsid w:val="00C86749"/>
    <w:rsid w:val="00C867D5"/>
    <w:rsid w:val="00C86EB3"/>
    <w:rsid w:val="00C8761F"/>
    <w:rsid w:val="00C87890"/>
    <w:rsid w:val="00C8798E"/>
    <w:rsid w:val="00C8799F"/>
    <w:rsid w:val="00C87B48"/>
    <w:rsid w:val="00C87E1E"/>
    <w:rsid w:val="00C9095E"/>
    <w:rsid w:val="00C90A7F"/>
    <w:rsid w:val="00C90D2B"/>
    <w:rsid w:val="00C90D6B"/>
    <w:rsid w:val="00C90E7F"/>
    <w:rsid w:val="00C919BB"/>
    <w:rsid w:val="00C91F27"/>
    <w:rsid w:val="00C924B7"/>
    <w:rsid w:val="00C92C63"/>
    <w:rsid w:val="00C92EDB"/>
    <w:rsid w:val="00C92F42"/>
    <w:rsid w:val="00C9317E"/>
    <w:rsid w:val="00C94914"/>
    <w:rsid w:val="00C95A22"/>
    <w:rsid w:val="00C96A96"/>
    <w:rsid w:val="00CA00FC"/>
    <w:rsid w:val="00CA1235"/>
    <w:rsid w:val="00CA15D4"/>
    <w:rsid w:val="00CA1F0F"/>
    <w:rsid w:val="00CA21F6"/>
    <w:rsid w:val="00CA28AD"/>
    <w:rsid w:val="00CA2B5C"/>
    <w:rsid w:val="00CA41AA"/>
    <w:rsid w:val="00CA499A"/>
    <w:rsid w:val="00CA55E5"/>
    <w:rsid w:val="00CA57D6"/>
    <w:rsid w:val="00CA5A28"/>
    <w:rsid w:val="00CA5AEB"/>
    <w:rsid w:val="00CA5B97"/>
    <w:rsid w:val="00CA5E04"/>
    <w:rsid w:val="00CA619C"/>
    <w:rsid w:val="00CA65C3"/>
    <w:rsid w:val="00CA6604"/>
    <w:rsid w:val="00CA6A21"/>
    <w:rsid w:val="00CA6BB3"/>
    <w:rsid w:val="00CA6E31"/>
    <w:rsid w:val="00CA74E5"/>
    <w:rsid w:val="00CA78DF"/>
    <w:rsid w:val="00CA7D02"/>
    <w:rsid w:val="00CB03E0"/>
    <w:rsid w:val="00CB06F8"/>
    <w:rsid w:val="00CB1167"/>
    <w:rsid w:val="00CB18BE"/>
    <w:rsid w:val="00CB1926"/>
    <w:rsid w:val="00CB2624"/>
    <w:rsid w:val="00CB2BF3"/>
    <w:rsid w:val="00CB2C3C"/>
    <w:rsid w:val="00CB2E7C"/>
    <w:rsid w:val="00CB2FFC"/>
    <w:rsid w:val="00CB33E2"/>
    <w:rsid w:val="00CB370F"/>
    <w:rsid w:val="00CB3836"/>
    <w:rsid w:val="00CB3AE4"/>
    <w:rsid w:val="00CB4D58"/>
    <w:rsid w:val="00CB4DDE"/>
    <w:rsid w:val="00CB5BE6"/>
    <w:rsid w:val="00CB61A3"/>
    <w:rsid w:val="00CB6281"/>
    <w:rsid w:val="00CB68F9"/>
    <w:rsid w:val="00CB6D03"/>
    <w:rsid w:val="00CB6D41"/>
    <w:rsid w:val="00CB7588"/>
    <w:rsid w:val="00CB7F5C"/>
    <w:rsid w:val="00CC02AF"/>
    <w:rsid w:val="00CC0412"/>
    <w:rsid w:val="00CC0B16"/>
    <w:rsid w:val="00CC132F"/>
    <w:rsid w:val="00CC1758"/>
    <w:rsid w:val="00CC1A7C"/>
    <w:rsid w:val="00CC2080"/>
    <w:rsid w:val="00CC276C"/>
    <w:rsid w:val="00CC37BA"/>
    <w:rsid w:val="00CC3AD2"/>
    <w:rsid w:val="00CC3F4D"/>
    <w:rsid w:val="00CC4257"/>
    <w:rsid w:val="00CC42F7"/>
    <w:rsid w:val="00CC4BDA"/>
    <w:rsid w:val="00CC4C8B"/>
    <w:rsid w:val="00CC5106"/>
    <w:rsid w:val="00CC51A0"/>
    <w:rsid w:val="00CC6D72"/>
    <w:rsid w:val="00CC7002"/>
    <w:rsid w:val="00CC7E75"/>
    <w:rsid w:val="00CD0676"/>
    <w:rsid w:val="00CD07F2"/>
    <w:rsid w:val="00CD0B61"/>
    <w:rsid w:val="00CD0FDE"/>
    <w:rsid w:val="00CD1080"/>
    <w:rsid w:val="00CD1628"/>
    <w:rsid w:val="00CD1F7B"/>
    <w:rsid w:val="00CD2279"/>
    <w:rsid w:val="00CD25A8"/>
    <w:rsid w:val="00CD2763"/>
    <w:rsid w:val="00CD2781"/>
    <w:rsid w:val="00CD35A7"/>
    <w:rsid w:val="00CD3CB8"/>
    <w:rsid w:val="00CD3E25"/>
    <w:rsid w:val="00CD4886"/>
    <w:rsid w:val="00CD5523"/>
    <w:rsid w:val="00CD6A66"/>
    <w:rsid w:val="00CD6C40"/>
    <w:rsid w:val="00CD6C9F"/>
    <w:rsid w:val="00CD7B44"/>
    <w:rsid w:val="00CD7EC6"/>
    <w:rsid w:val="00CD7F3A"/>
    <w:rsid w:val="00CE211E"/>
    <w:rsid w:val="00CE213F"/>
    <w:rsid w:val="00CE242B"/>
    <w:rsid w:val="00CE29D1"/>
    <w:rsid w:val="00CE2C95"/>
    <w:rsid w:val="00CE3345"/>
    <w:rsid w:val="00CE3539"/>
    <w:rsid w:val="00CE426E"/>
    <w:rsid w:val="00CE5E1D"/>
    <w:rsid w:val="00CE6362"/>
    <w:rsid w:val="00CE6880"/>
    <w:rsid w:val="00CE69ED"/>
    <w:rsid w:val="00CE710F"/>
    <w:rsid w:val="00CE7571"/>
    <w:rsid w:val="00CE763E"/>
    <w:rsid w:val="00CE78C6"/>
    <w:rsid w:val="00CE7A20"/>
    <w:rsid w:val="00CF007D"/>
    <w:rsid w:val="00CF043F"/>
    <w:rsid w:val="00CF05EE"/>
    <w:rsid w:val="00CF0663"/>
    <w:rsid w:val="00CF1563"/>
    <w:rsid w:val="00CF17FF"/>
    <w:rsid w:val="00CF1B43"/>
    <w:rsid w:val="00CF1D18"/>
    <w:rsid w:val="00CF1D60"/>
    <w:rsid w:val="00CF1E2F"/>
    <w:rsid w:val="00CF20D6"/>
    <w:rsid w:val="00CF2FB3"/>
    <w:rsid w:val="00CF3349"/>
    <w:rsid w:val="00CF369F"/>
    <w:rsid w:val="00CF3C5C"/>
    <w:rsid w:val="00CF3E27"/>
    <w:rsid w:val="00CF441C"/>
    <w:rsid w:val="00CF4440"/>
    <w:rsid w:val="00CF5625"/>
    <w:rsid w:val="00CF590A"/>
    <w:rsid w:val="00CF5A94"/>
    <w:rsid w:val="00CF5EA2"/>
    <w:rsid w:val="00CF66EC"/>
    <w:rsid w:val="00CF7489"/>
    <w:rsid w:val="00CF7E78"/>
    <w:rsid w:val="00D002E0"/>
    <w:rsid w:val="00D00359"/>
    <w:rsid w:val="00D015F2"/>
    <w:rsid w:val="00D0165D"/>
    <w:rsid w:val="00D017DE"/>
    <w:rsid w:val="00D01FF2"/>
    <w:rsid w:val="00D02C53"/>
    <w:rsid w:val="00D02E68"/>
    <w:rsid w:val="00D02F04"/>
    <w:rsid w:val="00D0329E"/>
    <w:rsid w:val="00D03769"/>
    <w:rsid w:val="00D037CF"/>
    <w:rsid w:val="00D03C24"/>
    <w:rsid w:val="00D03FBA"/>
    <w:rsid w:val="00D04675"/>
    <w:rsid w:val="00D04B95"/>
    <w:rsid w:val="00D04E59"/>
    <w:rsid w:val="00D05789"/>
    <w:rsid w:val="00D05C3D"/>
    <w:rsid w:val="00D06821"/>
    <w:rsid w:val="00D06951"/>
    <w:rsid w:val="00D06956"/>
    <w:rsid w:val="00D07136"/>
    <w:rsid w:val="00D071E4"/>
    <w:rsid w:val="00D07F51"/>
    <w:rsid w:val="00D10349"/>
    <w:rsid w:val="00D10C8B"/>
    <w:rsid w:val="00D10E66"/>
    <w:rsid w:val="00D11174"/>
    <w:rsid w:val="00D113D6"/>
    <w:rsid w:val="00D11770"/>
    <w:rsid w:val="00D118C6"/>
    <w:rsid w:val="00D12357"/>
    <w:rsid w:val="00D12459"/>
    <w:rsid w:val="00D134F1"/>
    <w:rsid w:val="00D13C2C"/>
    <w:rsid w:val="00D13D82"/>
    <w:rsid w:val="00D13DC5"/>
    <w:rsid w:val="00D140C3"/>
    <w:rsid w:val="00D1413E"/>
    <w:rsid w:val="00D14449"/>
    <w:rsid w:val="00D14B26"/>
    <w:rsid w:val="00D15275"/>
    <w:rsid w:val="00D158BE"/>
    <w:rsid w:val="00D158E9"/>
    <w:rsid w:val="00D15936"/>
    <w:rsid w:val="00D15CEC"/>
    <w:rsid w:val="00D16409"/>
    <w:rsid w:val="00D166B7"/>
    <w:rsid w:val="00D1671A"/>
    <w:rsid w:val="00D1678F"/>
    <w:rsid w:val="00D16CB5"/>
    <w:rsid w:val="00D17A33"/>
    <w:rsid w:val="00D17B13"/>
    <w:rsid w:val="00D17D6F"/>
    <w:rsid w:val="00D20751"/>
    <w:rsid w:val="00D207D0"/>
    <w:rsid w:val="00D22B38"/>
    <w:rsid w:val="00D237B5"/>
    <w:rsid w:val="00D23920"/>
    <w:rsid w:val="00D24052"/>
    <w:rsid w:val="00D240D3"/>
    <w:rsid w:val="00D2426C"/>
    <w:rsid w:val="00D24C0B"/>
    <w:rsid w:val="00D25246"/>
    <w:rsid w:val="00D2617D"/>
    <w:rsid w:val="00D264AC"/>
    <w:rsid w:val="00D26708"/>
    <w:rsid w:val="00D2671D"/>
    <w:rsid w:val="00D26A3B"/>
    <w:rsid w:val="00D26E0C"/>
    <w:rsid w:val="00D30060"/>
    <w:rsid w:val="00D30A90"/>
    <w:rsid w:val="00D3154A"/>
    <w:rsid w:val="00D31CA7"/>
    <w:rsid w:val="00D31F75"/>
    <w:rsid w:val="00D325FB"/>
    <w:rsid w:val="00D32D75"/>
    <w:rsid w:val="00D33978"/>
    <w:rsid w:val="00D341C9"/>
    <w:rsid w:val="00D3424A"/>
    <w:rsid w:val="00D343BB"/>
    <w:rsid w:val="00D34635"/>
    <w:rsid w:val="00D34C32"/>
    <w:rsid w:val="00D3532F"/>
    <w:rsid w:val="00D353A4"/>
    <w:rsid w:val="00D356E7"/>
    <w:rsid w:val="00D35C40"/>
    <w:rsid w:val="00D36FE6"/>
    <w:rsid w:val="00D40250"/>
    <w:rsid w:val="00D403F9"/>
    <w:rsid w:val="00D40426"/>
    <w:rsid w:val="00D4068E"/>
    <w:rsid w:val="00D410E8"/>
    <w:rsid w:val="00D41A57"/>
    <w:rsid w:val="00D41A78"/>
    <w:rsid w:val="00D42015"/>
    <w:rsid w:val="00D422C1"/>
    <w:rsid w:val="00D43B93"/>
    <w:rsid w:val="00D43E03"/>
    <w:rsid w:val="00D440F9"/>
    <w:rsid w:val="00D46BDB"/>
    <w:rsid w:val="00D47B10"/>
    <w:rsid w:val="00D47CB5"/>
    <w:rsid w:val="00D47FA6"/>
    <w:rsid w:val="00D501D6"/>
    <w:rsid w:val="00D50272"/>
    <w:rsid w:val="00D502D1"/>
    <w:rsid w:val="00D5076C"/>
    <w:rsid w:val="00D512EC"/>
    <w:rsid w:val="00D51383"/>
    <w:rsid w:val="00D515F4"/>
    <w:rsid w:val="00D51777"/>
    <w:rsid w:val="00D5289E"/>
    <w:rsid w:val="00D52F33"/>
    <w:rsid w:val="00D53DDE"/>
    <w:rsid w:val="00D5408D"/>
    <w:rsid w:val="00D54FEC"/>
    <w:rsid w:val="00D555AC"/>
    <w:rsid w:val="00D559CD"/>
    <w:rsid w:val="00D55A46"/>
    <w:rsid w:val="00D55A5E"/>
    <w:rsid w:val="00D55BBD"/>
    <w:rsid w:val="00D55D2F"/>
    <w:rsid w:val="00D56163"/>
    <w:rsid w:val="00D566D9"/>
    <w:rsid w:val="00D56A0B"/>
    <w:rsid w:val="00D56AAA"/>
    <w:rsid w:val="00D56CDF"/>
    <w:rsid w:val="00D57A82"/>
    <w:rsid w:val="00D57BC6"/>
    <w:rsid w:val="00D602A2"/>
    <w:rsid w:val="00D603D4"/>
    <w:rsid w:val="00D606E6"/>
    <w:rsid w:val="00D6078C"/>
    <w:rsid w:val="00D608F6"/>
    <w:rsid w:val="00D60B48"/>
    <w:rsid w:val="00D60E40"/>
    <w:rsid w:val="00D60FE1"/>
    <w:rsid w:val="00D61B18"/>
    <w:rsid w:val="00D62183"/>
    <w:rsid w:val="00D62871"/>
    <w:rsid w:val="00D628A0"/>
    <w:rsid w:val="00D62D3C"/>
    <w:rsid w:val="00D63C9B"/>
    <w:rsid w:val="00D63EF4"/>
    <w:rsid w:val="00D6442D"/>
    <w:rsid w:val="00D64BA9"/>
    <w:rsid w:val="00D660EA"/>
    <w:rsid w:val="00D66558"/>
    <w:rsid w:val="00D66A30"/>
    <w:rsid w:val="00D676E8"/>
    <w:rsid w:val="00D67DAB"/>
    <w:rsid w:val="00D71195"/>
    <w:rsid w:val="00D71389"/>
    <w:rsid w:val="00D7165A"/>
    <w:rsid w:val="00D71896"/>
    <w:rsid w:val="00D71A61"/>
    <w:rsid w:val="00D71BA5"/>
    <w:rsid w:val="00D71CAE"/>
    <w:rsid w:val="00D726CE"/>
    <w:rsid w:val="00D72708"/>
    <w:rsid w:val="00D72A54"/>
    <w:rsid w:val="00D72C00"/>
    <w:rsid w:val="00D72D92"/>
    <w:rsid w:val="00D72F74"/>
    <w:rsid w:val="00D73068"/>
    <w:rsid w:val="00D73297"/>
    <w:rsid w:val="00D73379"/>
    <w:rsid w:val="00D73ECD"/>
    <w:rsid w:val="00D74575"/>
    <w:rsid w:val="00D746CE"/>
    <w:rsid w:val="00D749A7"/>
    <w:rsid w:val="00D755F3"/>
    <w:rsid w:val="00D757A6"/>
    <w:rsid w:val="00D758EF"/>
    <w:rsid w:val="00D759AE"/>
    <w:rsid w:val="00D759EF"/>
    <w:rsid w:val="00D75A75"/>
    <w:rsid w:val="00D7629C"/>
    <w:rsid w:val="00D76ED9"/>
    <w:rsid w:val="00D76FDC"/>
    <w:rsid w:val="00D76FF3"/>
    <w:rsid w:val="00D775E9"/>
    <w:rsid w:val="00D8013D"/>
    <w:rsid w:val="00D8041D"/>
    <w:rsid w:val="00D80677"/>
    <w:rsid w:val="00D806C8"/>
    <w:rsid w:val="00D8126E"/>
    <w:rsid w:val="00D82730"/>
    <w:rsid w:val="00D82D7E"/>
    <w:rsid w:val="00D835B9"/>
    <w:rsid w:val="00D848F5"/>
    <w:rsid w:val="00D84A69"/>
    <w:rsid w:val="00D84BE3"/>
    <w:rsid w:val="00D85792"/>
    <w:rsid w:val="00D85F14"/>
    <w:rsid w:val="00D863F5"/>
    <w:rsid w:val="00D864D5"/>
    <w:rsid w:val="00D86E71"/>
    <w:rsid w:val="00D874CB"/>
    <w:rsid w:val="00D87A6E"/>
    <w:rsid w:val="00D87D3E"/>
    <w:rsid w:val="00D87F2A"/>
    <w:rsid w:val="00D90328"/>
    <w:rsid w:val="00D90B1C"/>
    <w:rsid w:val="00D90DFB"/>
    <w:rsid w:val="00D9109A"/>
    <w:rsid w:val="00D9130F"/>
    <w:rsid w:val="00D91DF5"/>
    <w:rsid w:val="00D921A5"/>
    <w:rsid w:val="00D9221A"/>
    <w:rsid w:val="00D9259E"/>
    <w:rsid w:val="00D925FB"/>
    <w:rsid w:val="00D93681"/>
    <w:rsid w:val="00D9388D"/>
    <w:rsid w:val="00D93DCC"/>
    <w:rsid w:val="00D93E64"/>
    <w:rsid w:val="00D94732"/>
    <w:rsid w:val="00D9473C"/>
    <w:rsid w:val="00D94C7A"/>
    <w:rsid w:val="00D94D8B"/>
    <w:rsid w:val="00D950BD"/>
    <w:rsid w:val="00D9618C"/>
    <w:rsid w:val="00D972E7"/>
    <w:rsid w:val="00D973AC"/>
    <w:rsid w:val="00D97A93"/>
    <w:rsid w:val="00D97C09"/>
    <w:rsid w:val="00D97E1B"/>
    <w:rsid w:val="00DA016F"/>
    <w:rsid w:val="00DA0408"/>
    <w:rsid w:val="00DA0BC9"/>
    <w:rsid w:val="00DA194F"/>
    <w:rsid w:val="00DA1D44"/>
    <w:rsid w:val="00DA1F68"/>
    <w:rsid w:val="00DA2443"/>
    <w:rsid w:val="00DA2761"/>
    <w:rsid w:val="00DA27C5"/>
    <w:rsid w:val="00DA3766"/>
    <w:rsid w:val="00DA3862"/>
    <w:rsid w:val="00DA3A3F"/>
    <w:rsid w:val="00DA3F24"/>
    <w:rsid w:val="00DA4AA5"/>
    <w:rsid w:val="00DA5045"/>
    <w:rsid w:val="00DA55A1"/>
    <w:rsid w:val="00DA577D"/>
    <w:rsid w:val="00DA5F13"/>
    <w:rsid w:val="00DA6087"/>
    <w:rsid w:val="00DA61A7"/>
    <w:rsid w:val="00DA6D38"/>
    <w:rsid w:val="00DA6D77"/>
    <w:rsid w:val="00DA7085"/>
    <w:rsid w:val="00DA715D"/>
    <w:rsid w:val="00DA74AC"/>
    <w:rsid w:val="00DA77EF"/>
    <w:rsid w:val="00DA7EA4"/>
    <w:rsid w:val="00DB0157"/>
    <w:rsid w:val="00DB048E"/>
    <w:rsid w:val="00DB0BDF"/>
    <w:rsid w:val="00DB1146"/>
    <w:rsid w:val="00DB1276"/>
    <w:rsid w:val="00DB1E3C"/>
    <w:rsid w:val="00DB23B3"/>
    <w:rsid w:val="00DB29ED"/>
    <w:rsid w:val="00DB3B05"/>
    <w:rsid w:val="00DB3F95"/>
    <w:rsid w:val="00DB405A"/>
    <w:rsid w:val="00DB52CE"/>
    <w:rsid w:val="00DB6D50"/>
    <w:rsid w:val="00DB6E8E"/>
    <w:rsid w:val="00DB6F66"/>
    <w:rsid w:val="00DB7E92"/>
    <w:rsid w:val="00DC0006"/>
    <w:rsid w:val="00DC0352"/>
    <w:rsid w:val="00DC08F4"/>
    <w:rsid w:val="00DC0C2B"/>
    <w:rsid w:val="00DC1136"/>
    <w:rsid w:val="00DC1666"/>
    <w:rsid w:val="00DC19C6"/>
    <w:rsid w:val="00DC21DA"/>
    <w:rsid w:val="00DC4889"/>
    <w:rsid w:val="00DC5138"/>
    <w:rsid w:val="00DC5939"/>
    <w:rsid w:val="00DC6208"/>
    <w:rsid w:val="00DC670D"/>
    <w:rsid w:val="00DC6BCD"/>
    <w:rsid w:val="00DC6E65"/>
    <w:rsid w:val="00DC7635"/>
    <w:rsid w:val="00DC7A4C"/>
    <w:rsid w:val="00DC7C22"/>
    <w:rsid w:val="00DC7D52"/>
    <w:rsid w:val="00DD0283"/>
    <w:rsid w:val="00DD08E8"/>
    <w:rsid w:val="00DD08F1"/>
    <w:rsid w:val="00DD0B29"/>
    <w:rsid w:val="00DD0D6D"/>
    <w:rsid w:val="00DD1796"/>
    <w:rsid w:val="00DD1E2A"/>
    <w:rsid w:val="00DD24DA"/>
    <w:rsid w:val="00DD2543"/>
    <w:rsid w:val="00DD2928"/>
    <w:rsid w:val="00DD2B53"/>
    <w:rsid w:val="00DD2DCC"/>
    <w:rsid w:val="00DD2DE1"/>
    <w:rsid w:val="00DD2E13"/>
    <w:rsid w:val="00DD2EF6"/>
    <w:rsid w:val="00DD3424"/>
    <w:rsid w:val="00DD37AB"/>
    <w:rsid w:val="00DD3928"/>
    <w:rsid w:val="00DD4E39"/>
    <w:rsid w:val="00DD5675"/>
    <w:rsid w:val="00DD604C"/>
    <w:rsid w:val="00DD7784"/>
    <w:rsid w:val="00DE034B"/>
    <w:rsid w:val="00DE0363"/>
    <w:rsid w:val="00DE0A9D"/>
    <w:rsid w:val="00DE2F7B"/>
    <w:rsid w:val="00DE2FBD"/>
    <w:rsid w:val="00DE3391"/>
    <w:rsid w:val="00DE3CF3"/>
    <w:rsid w:val="00DE47C9"/>
    <w:rsid w:val="00DE4927"/>
    <w:rsid w:val="00DE4D2C"/>
    <w:rsid w:val="00DE5251"/>
    <w:rsid w:val="00DE5899"/>
    <w:rsid w:val="00DE5EB8"/>
    <w:rsid w:val="00DE638D"/>
    <w:rsid w:val="00DE672B"/>
    <w:rsid w:val="00DE6B20"/>
    <w:rsid w:val="00DE6BBE"/>
    <w:rsid w:val="00DE731D"/>
    <w:rsid w:val="00DE7355"/>
    <w:rsid w:val="00DE7417"/>
    <w:rsid w:val="00DF01D5"/>
    <w:rsid w:val="00DF0395"/>
    <w:rsid w:val="00DF1CD9"/>
    <w:rsid w:val="00DF2AE2"/>
    <w:rsid w:val="00DF2B66"/>
    <w:rsid w:val="00DF3697"/>
    <w:rsid w:val="00DF38F3"/>
    <w:rsid w:val="00DF39E3"/>
    <w:rsid w:val="00DF3A8E"/>
    <w:rsid w:val="00DF452A"/>
    <w:rsid w:val="00DF5573"/>
    <w:rsid w:val="00DF6516"/>
    <w:rsid w:val="00DF6A75"/>
    <w:rsid w:val="00DF6F0C"/>
    <w:rsid w:val="00DF730F"/>
    <w:rsid w:val="00DF7586"/>
    <w:rsid w:val="00E00D11"/>
    <w:rsid w:val="00E019F9"/>
    <w:rsid w:val="00E01A04"/>
    <w:rsid w:val="00E01A8D"/>
    <w:rsid w:val="00E02858"/>
    <w:rsid w:val="00E0292A"/>
    <w:rsid w:val="00E02B37"/>
    <w:rsid w:val="00E03177"/>
    <w:rsid w:val="00E0399C"/>
    <w:rsid w:val="00E04201"/>
    <w:rsid w:val="00E04558"/>
    <w:rsid w:val="00E052D5"/>
    <w:rsid w:val="00E05B0A"/>
    <w:rsid w:val="00E05E98"/>
    <w:rsid w:val="00E063CA"/>
    <w:rsid w:val="00E06AEC"/>
    <w:rsid w:val="00E06C87"/>
    <w:rsid w:val="00E071FF"/>
    <w:rsid w:val="00E07789"/>
    <w:rsid w:val="00E07911"/>
    <w:rsid w:val="00E07EA0"/>
    <w:rsid w:val="00E10767"/>
    <w:rsid w:val="00E107E6"/>
    <w:rsid w:val="00E10E42"/>
    <w:rsid w:val="00E10E84"/>
    <w:rsid w:val="00E11053"/>
    <w:rsid w:val="00E121A2"/>
    <w:rsid w:val="00E1239F"/>
    <w:rsid w:val="00E124EC"/>
    <w:rsid w:val="00E12AFB"/>
    <w:rsid w:val="00E131BA"/>
    <w:rsid w:val="00E131CD"/>
    <w:rsid w:val="00E13569"/>
    <w:rsid w:val="00E137CD"/>
    <w:rsid w:val="00E141C2"/>
    <w:rsid w:val="00E144EA"/>
    <w:rsid w:val="00E15348"/>
    <w:rsid w:val="00E159EF"/>
    <w:rsid w:val="00E15CD9"/>
    <w:rsid w:val="00E15CEB"/>
    <w:rsid w:val="00E15D80"/>
    <w:rsid w:val="00E165A2"/>
    <w:rsid w:val="00E16A7D"/>
    <w:rsid w:val="00E16D66"/>
    <w:rsid w:val="00E17413"/>
    <w:rsid w:val="00E17528"/>
    <w:rsid w:val="00E17F14"/>
    <w:rsid w:val="00E20509"/>
    <w:rsid w:val="00E20553"/>
    <w:rsid w:val="00E206BF"/>
    <w:rsid w:val="00E2136A"/>
    <w:rsid w:val="00E216E0"/>
    <w:rsid w:val="00E2283F"/>
    <w:rsid w:val="00E22E56"/>
    <w:rsid w:val="00E2306B"/>
    <w:rsid w:val="00E2307C"/>
    <w:rsid w:val="00E23BF7"/>
    <w:rsid w:val="00E240A3"/>
    <w:rsid w:val="00E2421C"/>
    <w:rsid w:val="00E24242"/>
    <w:rsid w:val="00E244C1"/>
    <w:rsid w:val="00E24ACE"/>
    <w:rsid w:val="00E24F96"/>
    <w:rsid w:val="00E25A82"/>
    <w:rsid w:val="00E25B28"/>
    <w:rsid w:val="00E25FFB"/>
    <w:rsid w:val="00E270F9"/>
    <w:rsid w:val="00E30041"/>
    <w:rsid w:val="00E30389"/>
    <w:rsid w:val="00E3099E"/>
    <w:rsid w:val="00E3175E"/>
    <w:rsid w:val="00E3191F"/>
    <w:rsid w:val="00E31EBF"/>
    <w:rsid w:val="00E31FA3"/>
    <w:rsid w:val="00E32A88"/>
    <w:rsid w:val="00E32D82"/>
    <w:rsid w:val="00E33509"/>
    <w:rsid w:val="00E33C66"/>
    <w:rsid w:val="00E33E14"/>
    <w:rsid w:val="00E34504"/>
    <w:rsid w:val="00E34AE9"/>
    <w:rsid w:val="00E34FAE"/>
    <w:rsid w:val="00E3569A"/>
    <w:rsid w:val="00E3580D"/>
    <w:rsid w:val="00E35A1D"/>
    <w:rsid w:val="00E364B7"/>
    <w:rsid w:val="00E36553"/>
    <w:rsid w:val="00E366EA"/>
    <w:rsid w:val="00E3691A"/>
    <w:rsid w:val="00E36CEA"/>
    <w:rsid w:val="00E36EE1"/>
    <w:rsid w:val="00E3719F"/>
    <w:rsid w:val="00E372AE"/>
    <w:rsid w:val="00E37E60"/>
    <w:rsid w:val="00E40F05"/>
    <w:rsid w:val="00E40F6F"/>
    <w:rsid w:val="00E4130E"/>
    <w:rsid w:val="00E4245B"/>
    <w:rsid w:val="00E42DCF"/>
    <w:rsid w:val="00E43033"/>
    <w:rsid w:val="00E43266"/>
    <w:rsid w:val="00E43317"/>
    <w:rsid w:val="00E433E5"/>
    <w:rsid w:val="00E43E9D"/>
    <w:rsid w:val="00E442BC"/>
    <w:rsid w:val="00E44AC4"/>
    <w:rsid w:val="00E4518A"/>
    <w:rsid w:val="00E45779"/>
    <w:rsid w:val="00E463D1"/>
    <w:rsid w:val="00E46495"/>
    <w:rsid w:val="00E47664"/>
    <w:rsid w:val="00E50098"/>
    <w:rsid w:val="00E5016E"/>
    <w:rsid w:val="00E504B1"/>
    <w:rsid w:val="00E50515"/>
    <w:rsid w:val="00E505BE"/>
    <w:rsid w:val="00E50728"/>
    <w:rsid w:val="00E50E82"/>
    <w:rsid w:val="00E51A8E"/>
    <w:rsid w:val="00E52B04"/>
    <w:rsid w:val="00E52BB6"/>
    <w:rsid w:val="00E52C9B"/>
    <w:rsid w:val="00E53262"/>
    <w:rsid w:val="00E535C2"/>
    <w:rsid w:val="00E53CBE"/>
    <w:rsid w:val="00E53E30"/>
    <w:rsid w:val="00E53F8F"/>
    <w:rsid w:val="00E540D8"/>
    <w:rsid w:val="00E5440D"/>
    <w:rsid w:val="00E5463E"/>
    <w:rsid w:val="00E54909"/>
    <w:rsid w:val="00E54C99"/>
    <w:rsid w:val="00E54CE0"/>
    <w:rsid w:val="00E55468"/>
    <w:rsid w:val="00E554C1"/>
    <w:rsid w:val="00E559F7"/>
    <w:rsid w:val="00E55D98"/>
    <w:rsid w:val="00E566A5"/>
    <w:rsid w:val="00E56F28"/>
    <w:rsid w:val="00E573D2"/>
    <w:rsid w:val="00E576E0"/>
    <w:rsid w:val="00E60890"/>
    <w:rsid w:val="00E609E1"/>
    <w:rsid w:val="00E60AE0"/>
    <w:rsid w:val="00E60C99"/>
    <w:rsid w:val="00E61AB0"/>
    <w:rsid w:val="00E61DB8"/>
    <w:rsid w:val="00E620F9"/>
    <w:rsid w:val="00E62372"/>
    <w:rsid w:val="00E63B9D"/>
    <w:rsid w:val="00E63E20"/>
    <w:rsid w:val="00E640C9"/>
    <w:rsid w:val="00E644D6"/>
    <w:rsid w:val="00E64A03"/>
    <w:rsid w:val="00E64D03"/>
    <w:rsid w:val="00E6548D"/>
    <w:rsid w:val="00E659C3"/>
    <w:rsid w:val="00E65B0E"/>
    <w:rsid w:val="00E65FD9"/>
    <w:rsid w:val="00E6689F"/>
    <w:rsid w:val="00E673D6"/>
    <w:rsid w:val="00E67C90"/>
    <w:rsid w:val="00E7052C"/>
    <w:rsid w:val="00E70B60"/>
    <w:rsid w:val="00E70D83"/>
    <w:rsid w:val="00E7118C"/>
    <w:rsid w:val="00E7175D"/>
    <w:rsid w:val="00E71A8E"/>
    <w:rsid w:val="00E71FC8"/>
    <w:rsid w:val="00E73103"/>
    <w:rsid w:val="00E73119"/>
    <w:rsid w:val="00E73B96"/>
    <w:rsid w:val="00E74781"/>
    <w:rsid w:val="00E747B4"/>
    <w:rsid w:val="00E748D7"/>
    <w:rsid w:val="00E748FC"/>
    <w:rsid w:val="00E74F8D"/>
    <w:rsid w:val="00E74F92"/>
    <w:rsid w:val="00E75507"/>
    <w:rsid w:val="00E75F26"/>
    <w:rsid w:val="00E75F6F"/>
    <w:rsid w:val="00E7725E"/>
    <w:rsid w:val="00E779A2"/>
    <w:rsid w:val="00E77C9E"/>
    <w:rsid w:val="00E77CFF"/>
    <w:rsid w:val="00E809F7"/>
    <w:rsid w:val="00E80E09"/>
    <w:rsid w:val="00E81D1D"/>
    <w:rsid w:val="00E82203"/>
    <w:rsid w:val="00E82260"/>
    <w:rsid w:val="00E82759"/>
    <w:rsid w:val="00E828AC"/>
    <w:rsid w:val="00E828E9"/>
    <w:rsid w:val="00E8355B"/>
    <w:rsid w:val="00E83915"/>
    <w:rsid w:val="00E83C14"/>
    <w:rsid w:val="00E83FB8"/>
    <w:rsid w:val="00E84DB5"/>
    <w:rsid w:val="00E84DCB"/>
    <w:rsid w:val="00E85822"/>
    <w:rsid w:val="00E864A2"/>
    <w:rsid w:val="00E8722F"/>
    <w:rsid w:val="00E87249"/>
    <w:rsid w:val="00E87942"/>
    <w:rsid w:val="00E87AB2"/>
    <w:rsid w:val="00E87D41"/>
    <w:rsid w:val="00E87F89"/>
    <w:rsid w:val="00E9023B"/>
    <w:rsid w:val="00E9024C"/>
    <w:rsid w:val="00E908B3"/>
    <w:rsid w:val="00E90CD1"/>
    <w:rsid w:val="00E90F73"/>
    <w:rsid w:val="00E90FFA"/>
    <w:rsid w:val="00E9126B"/>
    <w:rsid w:val="00E91CD9"/>
    <w:rsid w:val="00E91F67"/>
    <w:rsid w:val="00E92493"/>
    <w:rsid w:val="00E928BB"/>
    <w:rsid w:val="00E928DA"/>
    <w:rsid w:val="00E92C48"/>
    <w:rsid w:val="00E93505"/>
    <w:rsid w:val="00E936F7"/>
    <w:rsid w:val="00E93CCC"/>
    <w:rsid w:val="00E940A1"/>
    <w:rsid w:val="00E940EB"/>
    <w:rsid w:val="00E951C7"/>
    <w:rsid w:val="00E95471"/>
    <w:rsid w:val="00E960CE"/>
    <w:rsid w:val="00E96103"/>
    <w:rsid w:val="00E966D5"/>
    <w:rsid w:val="00E96AAA"/>
    <w:rsid w:val="00E970B9"/>
    <w:rsid w:val="00E97295"/>
    <w:rsid w:val="00E97426"/>
    <w:rsid w:val="00E975AF"/>
    <w:rsid w:val="00E97899"/>
    <w:rsid w:val="00E97F5E"/>
    <w:rsid w:val="00EA0B77"/>
    <w:rsid w:val="00EA10AE"/>
    <w:rsid w:val="00EA1AF3"/>
    <w:rsid w:val="00EA29F9"/>
    <w:rsid w:val="00EA2EE0"/>
    <w:rsid w:val="00EA2FC1"/>
    <w:rsid w:val="00EA302A"/>
    <w:rsid w:val="00EA396B"/>
    <w:rsid w:val="00EA4176"/>
    <w:rsid w:val="00EA438E"/>
    <w:rsid w:val="00EA5CF6"/>
    <w:rsid w:val="00EA61C0"/>
    <w:rsid w:val="00EA6270"/>
    <w:rsid w:val="00EA7E6A"/>
    <w:rsid w:val="00EB15B4"/>
    <w:rsid w:val="00EB2DD1"/>
    <w:rsid w:val="00EB3696"/>
    <w:rsid w:val="00EB3B8B"/>
    <w:rsid w:val="00EB3B95"/>
    <w:rsid w:val="00EB3D70"/>
    <w:rsid w:val="00EB4168"/>
    <w:rsid w:val="00EB4766"/>
    <w:rsid w:val="00EB5362"/>
    <w:rsid w:val="00EB5840"/>
    <w:rsid w:val="00EB621D"/>
    <w:rsid w:val="00EB67A9"/>
    <w:rsid w:val="00EB6D98"/>
    <w:rsid w:val="00EB70C3"/>
    <w:rsid w:val="00EB787F"/>
    <w:rsid w:val="00EB7C75"/>
    <w:rsid w:val="00EB7F97"/>
    <w:rsid w:val="00EC0A2B"/>
    <w:rsid w:val="00EC0C34"/>
    <w:rsid w:val="00EC201F"/>
    <w:rsid w:val="00EC2133"/>
    <w:rsid w:val="00EC258C"/>
    <w:rsid w:val="00EC36EF"/>
    <w:rsid w:val="00EC497E"/>
    <w:rsid w:val="00EC4F5F"/>
    <w:rsid w:val="00EC5DDC"/>
    <w:rsid w:val="00EC5FAD"/>
    <w:rsid w:val="00EC73BE"/>
    <w:rsid w:val="00EC785E"/>
    <w:rsid w:val="00EC7C83"/>
    <w:rsid w:val="00EC7E09"/>
    <w:rsid w:val="00ED0B95"/>
    <w:rsid w:val="00ED0CA4"/>
    <w:rsid w:val="00ED1117"/>
    <w:rsid w:val="00ED1504"/>
    <w:rsid w:val="00ED1746"/>
    <w:rsid w:val="00ED1EB8"/>
    <w:rsid w:val="00ED1FF6"/>
    <w:rsid w:val="00ED201B"/>
    <w:rsid w:val="00ED2089"/>
    <w:rsid w:val="00ED2859"/>
    <w:rsid w:val="00ED30DB"/>
    <w:rsid w:val="00ED3180"/>
    <w:rsid w:val="00ED354B"/>
    <w:rsid w:val="00ED400C"/>
    <w:rsid w:val="00ED63D5"/>
    <w:rsid w:val="00ED6405"/>
    <w:rsid w:val="00ED6A3A"/>
    <w:rsid w:val="00ED6CC4"/>
    <w:rsid w:val="00ED6D93"/>
    <w:rsid w:val="00ED6E21"/>
    <w:rsid w:val="00ED7640"/>
    <w:rsid w:val="00ED7E59"/>
    <w:rsid w:val="00EE09DC"/>
    <w:rsid w:val="00EE09EE"/>
    <w:rsid w:val="00EE0B56"/>
    <w:rsid w:val="00EE15C7"/>
    <w:rsid w:val="00EE3199"/>
    <w:rsid w:val="00EE3291"/>
    <w:rsid w:val="00EE354F"/>
    <w:rsid w:val="00EE38D5"/>
    <w:rsid w:val="00EE3C13"/>
    <w:rsid w:val="00EE443D"/>
    <w:rsid w:val="00EE4A71"/>
    <w:rsid w:val="00EE4BCC"/>
    <w:rsid w:val="00EE4C1A"/>
    <w:rsid w:val="00EE4DE1"/>
    <w:rsid w:val="00EE5248"/>
    <w:rsid w:val="00EE5328"/>
    <w:rsid w:val="00EE59FA"/>
    <w:rsid w:val="00EE5B09"/>
    <w:rsid w:val="00EE5D92"/>
    <w:rsid w:val="00EE5EBC"/>
    <w:rsid w:val="00EE6A85"/>
    <w:rsid w:val="00EE6ACF"/>
    <w:rsid w:val="00EE7106"/>
    <w:rsid w:val="00EE7594"/>
    <w:rsid w:val="00EE764D"/>
    <w:rsid w:val="00EF02E5"/>
    <w:rsid w:val="00EF0493"/>
    <w:rsid w:val="00EF0B7E"/>
    <w:rsid w:val="00EF1724"/>
    <w:rsid w:val="00EF1EEA"/>
    <w:rsid w:val="00EF22C7"/>
    <w:rsid w:val="00EF22F6"/>
    <w:rsid w:val="00EF3086"/>
    <w:rsid w:val="00EF3841"/>
    <w:rsid w:val="00EF3E21"/>
    <w:rsid w:val="00EF4932"/>
    <w:rsid w:val="00EF4B3D"/>
    <w:rsid w:val="00EF4CBC"/>
    <w:rsid w:val="00EF4D27"/>
    <w:rsid w:val="00EF575D"/>
    <w:rsid w:val="00EF58E1"/>
    <w:rsid w:val="00EF6026"/>
    <w:rsid w:val="00EF625B"/>
    <w:rsid w:val="00EF719E"/>
    <w:rsid w:val="00EF7E3D"/>
    <w:rsid w:val="00F00BDB"/>
    <w:rsid w:val="00F016BD"/>
    <w:rsid w:val="00F0175B"/>
    <w:rsid w:val="00F0190A"/>
    <w:rsid w:val="00F01C8A"/>
    <w:rsid w:val="00F027D5"/>
    <w:rsid w:val="00F02D4A"/>
    <w:rsid w:val="00F0306E"/>
    <w:rsid w:val="00F03229"/>
    <w:rsid w:val="00F04780"/>
    <w:rsid w:val="00F05319"/>
    <w:rsid w:val="00F05DE2"/>
    <w:rsid w:val="00F05E2E"/>
    <w:rsid w:val="00F06642"/>
    <w:rsid w:val="00F06FA1"/>
    <w:rsid w:val="00F07BDA"/>
    <w:rsid w:val="00F07C70"/>
    <w:rsid w:val="00F10116"/>
    <w:rsid w:val="00F101CD"/>
    <w:rsid w:val="00F103FE"/>
    <w:rsid w:val="00F10467"/>
    <w:rsid w:val="00F11B6A"/>
    <w:rsid w:val="00F1214C"/>
    <w:rsid w:val="00F13C02"/>
    <w:rsid w:val="00F14EAF"/>
    <w:rsid w:val="00F153CC"/>
    <w:rsid w:val="00F15E1F"/>
    <w:rsid w:val="00F15EFB"/>
    <w:rsid w:val="00F16162"/>
    <w:rsid w:val="00F162E5"/>
    <w:rsid w:val="00F168A0"/>
    <w:rsid w:val="00F17439"/>
    <w:rsid w:val="00F202BF"/>
    <w:rsid w:val="00F20697"/>
    <w:rsid w:val="00F20797"/>
    <w:rsid w:val="00F211C5"/>
    <w:rsid w:val="00F2124F"/>
    <w:rsid w:val="00F21BE2"/>
    <w:rsid w:val="00F22AAE"/>
    <w:rsid w:val="00F234B1"/>
    <w:rsid w:val="00F23C47"/>
    <w:rsid w:val="00F23F59"/>
    <w:rsid w:val="00F2417F"/>
    <w:rsid w:val="00F2453C"/>
    <w:rsid w:val="00F24D30"/>
    <w:rsid w:val="00F250A2"/>
    <w:rsid w:val="00F2548C"/>
    <w:rsid w:val="00F2576B"/>
    <w:rsid w:val="00F258DD"/>
    <w:rsid w:val="00F258FA"/>
    <w:rsid w:val="00F25B05"/>
    <w:rsid w:val="00F25CF2"/>
    <w:rsid w:val="00F25E70"/>
    <w:rsid w:val="00F264EB"/>
    <w:rsid w:val="00F26A9A"/>
    <w:rsid w:val="00F26EFD"/>
    <w:rsid w:val="00F2749B"/>
    <w:rsid w:val="00F277C3"/>
    <w:rsid w:val="00F27ECD"/>
    <w:rsid w:val="00F306F7"/>
    <w:rsid w:val="00F30CD7"/>
    <w:rsid w:val="00F3118E"/>
    <w:rsid w:val="00F312E5"/>
    <w:rsid w:val="00F31D25"/>
    <w:rsid w:val="00F31D5A"/>
    <w:rsid w:val="00F3231E"/>
    <w:rsid w:val="00F32542"/>
    <w:rsid w:val="00F3312E"/>
    <w:rsid w:val="00F33CBF"/>
    <w:rsid w:val="00F34270"/>
    <w:rsid w:val="00F34523"/>
    <w:rsid w:val="00F34D3A"/>
    <w:rsid w:val="00F36695"/>
    <w:rsid w:val="00F3680F"/>
    <w:rsid w:val="00F36AE0"/>
    <w:rsid w:val="00F36E0D"/>
    <w:rsid w:val="00F36E8E"/>
    <w:rsid w:val="00F37159"/>
    <w:rsid w:val="00F37B17"/>
    <w:rsid w:val="00F37E01"/>
    <w:rsid w:val="00F37FE4"/>
    <w:rsid w:val="00F40DA6"/>
    <w:rsid w:val="00F414BF"/>
    <w:rsid w:val="00F41611"/>
    <w:rsid w:val="00F41EB3"/>
    <w:rsid w:val="00F41F56"/>
    <w:rsid w:val="00F425C2"/>
    <w:rsid w:val="00F42914"/>
    <w:rsid w:val="00F42A0A"/>
    <w:rsid w:val="00F432F4"/>
    <w:rsid w:val="00F434D0"/>
    <w:rsid w:val="00F4397B"/>
    <w:rsid w:val="00F43C33"/>
    <w:rsid w:val="00F43DDC"/>
    <w:rsid w:val="00F448D6"/>
    <w:rsid w:val="00F449EC"/>
    <w:rsid w:val="00F45588"/>
    <w:rsid w:val="00F45AA7"/>
    <w:rsid w:val="00F45B66"/>
    <w:rsid w:val="00F46018"/>
    <w:rsid w:val="00F476C8"/>
    <w:rsid w:val="00F47BF4"/>
    <w:rsid w:val="00F501C3"/>
    <w:rsid w:val="00F5037D"/>
    <w:rsid w:val="00F505BC"/>
    <w:rsid w:val="00F50E28"/>
    <w:rsid w:val="00F50F23"/>
    <w:rsid w:val="00F517C7"/>
    <w:rsid w:val="00F5279F"/>
    <w:rsid w:val="00F52A42"/>
    <w:rsid w:val="00F52A81"/>
    <w:rsid w:val="00F5324C"/>
    <w:rsid w:val="00F5479C"/>
    <w:rsid w:val="00F54820"/>
    <w:rsid w:val="00F54838"/>
    <w:rsid w:val="00F5614A"/>
    <w:rsid w:val="00F564CD"/>
    <w:rsid w:val="00F56681"/>
    <w:rsid w:val="00F568A7"/>
    <w:rsid w:val="00F56F20"/>
    <w:rsid w:val="00F572F3"/>
    <w:rsid w:val="00F57554"/>
    <w:rsid w:val="00F5763E"/>
    <w:rsid w:val="00F576E1"/>
    <w:rsid w:val="00F57A6D"/>
    <w:rsid w:val="00F610A8"/>
    <w:rsid w:val="00F61B0F"/>
    <w:rsid w:val="00F62AC3"/>
    <w:rsid w:val="00F6377B"/>
    <w:rsid w:val="00F63AD3"/>
    <w:rsid w:val="00F63AE0"/>
    <w:rsid w:val="00F641F8"/>
    <w:rsid w:val="00F64903"/>
    <w:rsid w:val="00F64949"/>
    <w:rsid w:val="00F64B73"/>
    <w:rsid w:val="00F658B1"/>
    <w:rsid w:val="00F65EF9"/>
    <w:rsid w:val="00F660A6"/>
    <w:rsid w:val="00F660EB"/>
    <w:rsid w:val="00F66264"/>
    <w:rsid w:val="00F674FE"/>
    <w:rsid w:val="00F6762F"/>
    <w:rsid w:val="00F679C8"/>
    <w:rsid w:val="00F67BC9"/>
    <w:rsid w:val="00F70B50"/>
    <w:rsid w:val="00F70F41"/>
    <w:rsid w:val="00F71057"/>
    <w:rsid w:val="00F723BD"/>
    <w:rsid w:val="00F72815"/>
    <w:rsid w:val="00F72BB6"/>
    <w:rsid w:val="00F73671"/>
    <w:rsid w:val="00F7492B"/>
    <w:rsid w:val="00F74C68"/>
    <w:rsid w:val="00F74CA4"/>
    <w:rsid w:val="00F75330"/>
    <w:rsid w:val="00F753D6"/>
    <w:rsid w:val="00F75CC3"/>
    <w:rsid w:val="00F75CD9"/>
    <w:rsid w:val="00F76DFD"/>
    <w:rsid w:val="00F77452"/>
    <w:rsid w:val="00F775D1"/>
    <w:rsid w:val="00F77A82"/>
    <w:rsid w:val="00F77B69"/>
    <w:rsid w:val="00F77DBB"/>
    <w:rsid w:val="00F8004A"/>
    <w:rsid w:val="00F80DB0"/>
    <w:rsid w:val="00F81220"/>
    <w:rsid w:val="00F8166F"/>
    <w:rsid w:val="00F820F1"/>
    <w:rsid w:val="00F82CFC"/>
    <w:rsid w:val="00F82F05"/>
    <w:rsid w:val="00F83188"/>
    <w:rsid w:val="00F8460C"/>
    <w:rsid w:val="00F84863"/>
    <w:rsid w:val="00F84919"/>
    <w:rsid w:val="00F849C2"/>
    <w:rsid w:val="00F84E61"/>
    <w:rsid w:val="00F85088"/>
    <w:rsid w:val="00F857FE"/>
    <w:rsid w:val="00F85A16"/>
    <w:rsid w:val="00F85A34"/>
    <w:rsid w:val="00F85C4B"/>
    <w:rsid w:val="00F86109"/>
    <w:rsid w:val="00F86F48"/>
    <w:rsid w:val="00F87154"/>
    <w:rsid w:val="00F901CF"/>
    <w:rsid w:val="00F904E0"/>
    <w:rsid w:val="00F90B1D"/>
    <w:rsid w:val="00F90D2E"/>
    <w:rsid w:val="00F9154D"/>
    <w:rsid w:val="00F91F7B"/>
    <w:rsid w:val="00F928CE"/>
    <w:rsid w:val="00F92CCA"/>
    <w:rsid w:val="00F93220"/>
    <w:rsid w:val="00F93F64"/>
    <w:rsid w:val="00F9411C"/>
    <w:rsid w:val="00F9415A"/>
    <w:rsid w:val="00F94B05"/>
    <w:rsid w:val="00F95228"/>
    <w:rsid w:val="00F95614"/>
    <w:rsid w:val="00F956D2"/>
    <w:rsid w:val="00F95AC3"/>
    <w:rsid w:val="00F95AFD"/>
    <w:rsid w:val="00F965EE"/>
    <w:rsid w:val="00F9674B"/>
    <w:rsid w:val="00F9681F"/>
    <w:rsid w:val="00F96B67"/>
    <w:rsid w:val="00F96BAA"/>
    <w:rsid w:val="00F97049"/>
    <w:rsid w:val="00F97354"/>
    <w:rsid w:val="00F9779D"/>
    <w:rsid w:val="00F97AE4"/>
    <w:rsid w:val="00F97C98"/>
    <w:rsid w:val="00F97DDE"/>
    <w:rsid w:val="00FA04D6"/>
    <w:rsid w:val="00FA077A"/>
    <w:rsid w:val="00FA08E0"/>
    <w:rsid w:val="00FA0ED4"/>
    <w:rsid w:val="00FA0EDE"/>
    <w:rsid w:val="00FA120B"/>
    <w:rsid w:val="00FA149C"/>
    <w:rsid w:val="00FA187C"/>
    <w:rsid w:val="00FA21A3"/>
    <w:rsid w:val="00FA22A1"/>
    <w:rsid w:val="00FA23DB"/>
    <w:rsid w:val="00FA243F"/>
    <w:rsid w:val="00FA2486"/>
    <w:rsid w:val="00FA2528"/>
    <w:rsid w:val="00FA2CCD"/>
    <w:rsid w:val="00FA2FFF"/>
    <w:rsid w:val="00FA3101"/>
    <w:rsid w:val="00FA3BBB"/>
    <w:rsid w:val="00FA403B"/>
    <w:rsid w:val="00FA45E8"/>
    <w:rsid w:val="00FA4D6F"/>
    <w:rsid w:val="00FA58D1"/>
    <w:rsid w:val="00FA6316"/>
    <w:rsid w:val="00FA6B96"/>
    <w:rsid w:val="00FA7540"/>
    <w:rsid w:val="00FA7851"/>
    <w:rsid w:val="00FA7EFC"/>
    <w:rsid w:val="00FB0267"/>
    <w:rsid w:val="00FB03D2"/>
    <w:rsid w:val="00FB0763"/>
    <w:rsid w:val="00FB09BF"/>
    <w:rsid w:val="00FB0BD0"/>
    <w:rsid w:val="00FB2094"/>
    <w:rsid w:val="00FB35EC"/>
    <w:rsid w:val="00FB4A59"/>
    <w:rsid w:val="00FB4D43"/>
    <w:rsid w:val="00FB5130"/>
    <w:rsid w:val="00FB566C"/>
    <w:rsid w:val="00FB5A23"/>
    <w:rsid w:val="00FB64A9"/>
    <w:rsid w:val="00FB6C0F"/>
    <w:rsid w:val="00FB707A"/>
    <w:rsid w:val="00FB73F8"/>
    <w:rsid w:val="00FC0097"/>
    <w:rsid w:val="00FC0501"/>
    <w:rsid w:val="00FC0824"/>
    <w:rsid w:val="00FC165E"/>
    <w:rsid w:val="00FC18C2"/>
    <w:rsid w:val="00FC2305"/>
    <w:rsid w:val="00FC28B4"/>
    <w:rsid w:val="00FC2DB7"/>
    <w:rsid w:val="00FC3489"/>
    <w:rsid w:val="00FC3A27"/>
    <w:rsid w:val="00FC4282"/>
    <w:rsid w:val="00FC4490"/>
    <w:rsid w:val="00FC49B1"/>
    <w:rsid w:val="00FC5314"/>
    <w:rsid w:val="00FC6871"/>
    <w:rsid w:val="00FC7292"/>
    <w:rsid w:val="00FC77C3"/>
    <w:rsid w:val="00FC7E20"/>
    <w:rsid w:val="00FC7F18"/>
    <w:rsid w:val="00FD059A"/>
    <w:rsid w:val="00FD1235"/>
    <w:rsid w:val="00FD128F"/>
    <w:rsid w:val="00FD1573"/>
    <w:rsid w:val="00FD17A8"/>
    <w:rsid w:val="00FD2148"/>
    <w:rsid w:val="00FD2532"/>
    <w:rsid w:val="00FD2CA3"/>
    <w:rsid w:val="00FD4548"/>
    <w:rsid w:val="00FD4BE2"/>
    <w:rsid w:val="00FD4FC0"/>
    <w:rsid w:val="00FD4FFE"/>
    <w:rsid w:val="00FD5223"/>
    <w:rsid w:val="00FD5526"/>
    <w:rsid w:val="00FD5E4C"/>
    <w:rsid w:val="00FD61C3"/>
    <w:rsid w:val="00FD6804"/>
    <w:rsid w:val="00FD68C0"/>
    <w:rsid w:val="00FD6EA3"/>
    <w:rsid w:val="00FD78BE"/>
    <w:rsid w:val="00FD7C2F"/>
    <w:rsid w:val="00FE06E7"/>
    <w:rsid w:val="00FE09FC"/>
    <w:rsid w:val="00FE1AC5"/>
    <w:rsid w:val="00FE1F0C"/>
    <w:rsid w:val="00FE202E"/>
    <w:rsid w:val="00FE266D"/>
    <w:rsid w:val="00FE2955"/>
    <w:rsid w:val="00FE2B4E"/>
    <w:rsid w:val="00FE3100"/>
    <w:rsid w:val="00FE36C1"/>
    <w:rsid w:val="00FE381E"/>
    <w:rsid w:val="00FE572F"/>
    <w:rsid w:val="00FE579E"/>
    <w:rsid w:val="00FE6425"/>
    <w:rsid w:val="00FE6D6B"/>
    <w:rsid w:val="00FE7D81"/>
    <w:rsid w:val="00FE7D8C"/>
    <w:rsid w:val="00FF0035"/>
    <w:rsid w:val="00FF06E9"/>
    <w:rsid w:val="00FF095E"/>
    <w:rsid w:val="00FF1146"/>
    <w:rsid w:val="00FF16A3"/>
    <w:rsid w:val="00FF1A76"/>
    <w:rsid w:val="00FF1BCC"/>
    <w:rsid w:val="00FF1E5B"/>
    <w:rsid w:val="00FF1FBB"/>
    <w:rsid w:val="00FF210F"/>
    <w:rsid w:val="00FF2290"/>
    <w:rsid w:val="00FF3644"/>
    <w:rsid w:val="00FF36B4"/>
    <w:rsid w:val="00FF382D"/>
    <w:rsid w:val="00FF3CCF"/>
    <w:rsid w:val="00FF4C63"/>
    <w:rsid w:val="00FF5CC5"/>
    <w:rsid w:val="00FF5DBE"/>
    <w:rsid w:val="00FF63D4"/>
    <w:rsid w:val="00FF6FF8"/>
    <w:rsid w:val="00FF75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5:docId w15:val="{5F4CF9D3-CE03-4D94-80E0-DC9D9C15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2A6B"/>
    <w:pPr>
      <w:spacing w:line="360" w:lineRule="auto"/>
      <w:jc w:val="both"/>
    </w:pPr>
  </w:style>
  <w:style w:type="paragraph" w:styleId="Nagwek1">
    <w:name w:val="heading 1"/>
    <w:basedOn w:val="Normalny"/>
    <w:next w:val="Normalny"/>
    <w:link w:val="Nagwek1Znak"/>
    <w:uiPriority w:val="9"/>
    <w:qFormat/>
    <w:rsid w:val="001473F1"/>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Nagwek2">
    <w:name w:val="heading 2"/>
    <w:basedOn w:val="Normalny"/>
    <w:next w:val="Normalny"/>
    <w:link w:val="Nagwek2Znak"/>
    <w:uiPriority w:val="9"/>
    <w:unhideWhenUsed/>
    <w:qFormat/>
    <w:rsid w:val="00800D30"/>
    <w:pPr>
      <w:spacing w:before="240" w:after="0"/>
      <w:outlineLvl w:val="1"/>
    </w:pPr>
    <w:rPr>
      <w:rFonts w:asciiTheme="majorHAnsi" w:eastAsiaTheme="majorEastAsia" w:hAnsiTheme="majorHAnsi" w:cstheme="majorBidi"/>
      <w:b/>
      <w:color w:val="000000" w:themeColor="text1"/>
      <w:sz w:val="26"/>
      <w:szCs w:val="26"/>
    </w:rPr>
  </w:style>
  <w:style w:type="paragraph" w:styleId="Nagwek3">
    <w:name w:val="heading 3"/>
    <w:basedOn w:val="Normalny"/>
    <w:next w:val="Normalny"/>
    <w:link w:val="Nagwek3Znak"/>
    <w:uiPriority w:val="9"/>
    <w:unhideWhenUsed/>
    <w:qFormat/>
    <w:rsid w:val="00F162E5"/>
    <w:pPr>
      <w:keepNext/>
      <w:keepLines/>
      <w:spacing w:before="40" w:after="0"/>
      <w:outlineLvl w:val="2"/>
    </w:pPr>
    <w:rPr>
      <w:rFonts w:asciiTheme="majorHAnsi" w:eastAsiaTheme="majorEastAsia" w:hAnsiTheme="majorHAnsi" w:cstheme="majorBidi"/>
      <w:b/>
      <w:color w:val="000000" w:themeColor="text1"/>
      <w:sz w:val="24"/>
      <w:szCs w:val="24"/>
    </w:rPr>
  </w:style>
  <w:style w:type="paragraph" w:styleId="Nagwek4">
    <w:name w:val="heading 4"/>
    <w:basedOn w:val="Normalny"/>
    <w:next w:val="Normalny"/>
    <w:link w:val="Nagwek4Znak"/>
    <w:uiPriority w:val="9"/>
    <w:unhideWhenUsed/>
    <w:qFormat/>
    <w:rsid w:val="00506E64"/>
    <w:pPr>
      <w:keepNext/>
      <w:keepLines/>
      <w:spacing w:before="40" w:after="0"/>
      <w:outlineLvl w:val="3"/>
    </w:pPr>
    <w:rPr>
      <w:rFonts w:asciiTheme="majorHAnsi" w:eastAsiaTheme="majorEastAsia" w:hAnsiTheme="majorHAnsi" w:cstheme="majorBidi"/>
      <w:i/>
      <w:iCs/>
      <w:color w:val="276E8B" w:themeColor="accent1" w:themeShade="BF"/>
    </w:rPr>
  </w:style>
  <w:style w:type="paragraph" w:styleId="Nagwek5">
    <w:name w:val="heading 5"/>
    <w:basedOn w:val="Normalny"/>
    <w:next w:val="Normalny"/>
    <w:link w:val="Nagwek5Znak"/>
    <w:uiPriority w:val="9"/>
    <w:unhideWhenUsed/>
    <w:qFormat/>
    <w:rsid w:val="00D22B38"/>
    <w:pPr>
      <w:keepNext/>
      <w:keepLines/>
      <w:spacing w:before="40" w:after="0"/>
      <w:outlineLvl w:val="4"/>
    </w:pPr>
    <w:rPr>
      <w:rFonts w:asciiTheme="majorHAnsi" w:eastAsiaTheme="majorEastAsia" w:hAnsiTheme="majorHAnsi" w:cstheme="majorBidi"/>
      <w:color w:val="276E8B" w:themeColor="accent1" w:themeShade="BF"/>
    </w:rPr>
  </w:style>
  <w:style w:type="paragraph" w:styleId="Nagwek6">
    <w:name w:val="heading 6"/>
    <w:basedOn w:val="Normalny"/>
    <w:next w:val="Normalny"/>
    <w:link w:val="Nagwek6Znak"/>
    <w:uiPriority w:val="9"/>
    <w:unhideWhenUsed/>
    <w:qFormat/>
    <w:rsid w:val="00340206"/>
    <w:pPr>
      <w:keepNext/>
      <w:keepLines/>
      <w:spacing w:before="40" w:after="0"/>
      <w:outlineLvl w:val="5"/>
    </w:pPr>
    <w:rPr>
      <w:rFonts w:asciiTheme="majorHAnsi" w:eastAsiaTheme="majorEastAsia" w:hAnsiTheme="majorHAnsi" w:cstheme="majorBidi"/>
      <w:color w:val="1A495C" w:themeColor="accent1" w:themeShade="7F"/>
    </w:rPr>
  </w:style>
  <w:style w:type="paragraph" w:styleId="Nagwek7">
    <w:name w:val="heading 7"/>
    <w:basedOn w:val="Normalny"/>
    <w:next w:val="Normalny"/>
    <w:link w:val="Nagwek7Znak"/>
    <w:uiPriority w:val="9"/>
    <w:unhideWhenUsed/>
    <w:qFormat/>
    <w:rsid w:val="00340206"/>
    <w:pPr>
      <w:keepNext/>
      <w:keepLines/>
      <w:spacing w:before="40" w:after="0"/>
      <w:outlineLvl w:val="6"/>
    </w:pPr>
    <w:rPr>
      <w:rFonts w:asciiTheme="majorHAnsi" w:eastAsiaTheme="majorEastAsia" w:hAnsiTheme="majorHAnsi" w:cstheme="majorBidi"/>
      <w:i/>
      <w:iCs/>
      <w:color w:val="1A495C" w:themeColor="accent1" w:themeShade="7F"/>
    </w:rPr>
  </w:style>
  <w:style w:type="paragraph" w:styleId="Nagwek8">
    <w:name w:val="heading 8"/>
    <w:basedOn w:val="Normalny"/>
    <w:next w:val="Normalny"/>
    <w:link w:val="Nagwek8Znak"/>
    <w:uiPriority w:val="9"/>
    <w:unhideWhenUsed/>
    <w:qFormat/>
    <w:rsid w:val="0034020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473F1"/>
    <w:rPr>
      <w:rFonts w:asciiTheme="majorHAnsi" w:eastAsiaTheme="majorEastAsia" w:hAnsiTheme="majorHAnsi" w:cstheme="majorBidi"/>
      <w:b/>
      <w:color w:val="000000" w:themeColor="text1"/>
      <w:sz w:val="32"/>
      <w:szCs w:val="32"/>
    </w:rPr>
  </w:style>
  <w:style w:type="character" w:customStyle="1" w:styleId="Nagwek2Znak">
    <w:name w:val="Nagłówek 2 Znak"/>
    <w:basedOn w:val="Domylnaczcionkaakapitu"/>
    <w:link w:val="Nagwek2"/>
    <w:uiPriority w:val="9"/>
    <w:rsid w:val="00800D30"/>
    <w:rPr>
      <w:rFonts w:asciiTheme="majorHAnsi" w:eastAsiaTheme="majorEastAsia" w:hAnsiTheme="majorHAnsi" w:cstheme="majorBidi"/>
      <w:b/>
      <w:color w:val="000000" w:themeColor="text1"/>
      <w:sz w:val="26"/>
      <w:szCs w:val="26"/>
    </w:rPr>
  </w:style>
  <w:style w:type="character" w:customStyle="1" w:styleId="Nagwek3Znak">
    <w:name w:val="Nagłówek 3 Znak"/>
    <w:basedOn w:val="Domylnaczcionkaakapitu"/>
    <w:link w:val="Nagwek3"/>
    <w:uiPriority w:val="9"/>
    <w:rsid w:val="00F162E5"/>
    <w:rPr>
      <w:rFonts w:asciiTheme="majorHAnsi" w:eastAsiaTheme="majorEastAsia" w:hAnsiTheme="majorHAnsi" w:cstheme="majorBidi"/>
      <w:b/>
      <w:color w:val="000000" w:themeColor="text1"/>
      <w:sz w:val="24"/>
      <w:szCs w:val="24"/>
    </w:rPr>
  </w:style>
  <w:style w:type="paragraph" w:styleId="Nagwekspisutreci">
    <w:name w:val="TOC Heading"/>
    <w:basedOn w:val="Nagwek1"/>
    <w:next w:val="Normalny"/>
    <w:uiPriority w:val="39"/>
    <w:unhideWhenUsed/>
    <w:qFormat/>
    <w:rsid w:val="005A45DA"/>
    <w:pPr>
      <w:spacing w:before="0" w:after="120"/>
      <w:outlineLvl w:val="9"/>
    </w:pPr>
    <w:rPr>
      <w:lang w:eastAsia="pl-PL"/>
    </w:rPr>
  </w:style>
  <w:style w:type="paragraph" w:styleId="Spistreci1">
    <w:name w:val="toc 1"/>
    <w:basedOn w:val="Normalny"/>
    <w:next w:val="Normalny"/>
    <w:autoRedefine/>
    <w:uiPriority w:val="39"/>
    <w:unhideWhenUsed/>
    <w:rsid w:val="001473F1"/>
    <w:pPr>
      <w:spacing w:before="120" w:after="0"/>
    </w:pPr>
    <w:rPr>
      <w:b/>
      <w:color w:val="000000" w:themeColor="text1"/>
      <w:sz w:val="24"/>
    </w:rPr>
  </w:style>
  <w:style w:type="paragraph" w:styleId="Spistreci2">
    <w:name w:val="toc 2"/>
    <w:basedOn w:val="Normalny"/>
    <w:next w:val="Normalny"/>
    <w:autoRedefine/>
    <w:uiPriority w:val="39"/>
    <w:unhideWhenUsed/>
    <w:rsid w:val="001473F1"/>
    <w:pPr>
      <w:tabs>
        <w:tab w:val="right" w:leader="dot" w:pos="9062"/>
      </w:tabs>
      <w:spacing w:after="0"/>
      <w:ind w:left="221"/>
      <w:jc w:val="left"/>
    </w:pPr>
  </w:style>
  <w:style w:type="paragraph" w:styleId="Spistreci3">
    <w:name w:val="toc 3"/>
    <w:basedOn w:val="Normalny"/>
    <w:next w:val="Normalny"/>
    <w:autoRedefine/>
    <w:uiPriority w:val="39"/>
    <w:unhideWhenUsed/>
    <w:rsid w:val="001473F1"/>
    <w:pPr>
      <w:spacing w:after="0"/>
      <w:ind w:left="442"/>
    </w:pPr>
  </w:style>
  <w:style w:type="character" w:styleId="Hipercze">
    <w:name w:val="Hyperlink"/>
    <w:basedOn w:val="Domylnaczcionkaakapitu"/>
    <w:uiPriority w:val="99"/>
    <w:unhideWhenUsed/>
    <w:rsid w:val="003729C8"/>
    <w:rPr>
      <w:color w:val="6B9F25" w:themeColor="hyperlink"/>
      <w:u w:val="single"/>
    </w:rPr>
  </w:style>
  <w:style w:type="character" w:styleId="Odwoaniedokomentarza">
    <w:name w:val="annotation reference"/>
    <w:basedOn w:val="Domylnaczcionkaakapitu"/>
    <w:uiPriority w:val="99"/>
    <w:unhideWhenUsed/>
    <w:rsid w:val="00D749A7"/>
    <w:rPr>
      <w:sz w:val="16"/>
      <w:szCs w:val="16"/>
    </w:rPr>
  </w:style>
  <w:style w:type="paragraph" w:styleId="Tekstkomentarza">
    <w:name w:val="annotation text"/>
    <w:basedOn w:val="Normalny"/>
    <w:link w:val="TekstkomentarzaZnak"/>
    <w:uiPriority w:val="99"/>
    <w:unhideWhenUsed/>
    <w:rsid w:val="00D749A7"/>
    <w:pPr>
      <w:spacing w:line="240" w:lineRule="auto"/>
    </w:pPr>
    <w:rPr>
      <w:sz w:val="20"/>
      <w:szCs w:val="20"/>
    </w:rPr>
  </w:style>
  <w:style w:type="character" w:customStyle="1" w:styleId="TekstkomentarzaZnak">
    <w:name w:val="Tekst komentarza Znak"/>
    <w:basedOn w:val="Domylnaczcionkaakapitu"/>
    <w:link w:val="Tekstkomentarza"/>
    <w:uiPriority w:val="99"/>
    <w:rsid w:val="00D749A7"/>
    <w:rPr>
      <w:sz w:val="20"/>
      <w:szCs w:val="20"/>
    </w:rPr>
  </w:style>
  <w:style w:type="paragraph" w:styleId="Tematkomentarza">
    <w:name w:val="annotation subject"/>
    <w:basedOn w:val="Tekstkomentarza"/>
    <w:next w:val="Tekstkomentarza"/>
    <w:link w:val="TematkomentarzaZnak"/>
    <w:uiPriority w:val="99"/>
    <w:semiHidden/>
    <w:unhideWhenUsed/>
    <w:rsid w:val="00D749A7"/>
    <w:rPr>
      <w:b/>
      <w:bCs/>
    </w:rPr>
  </w:style>
  <w:style w:type="character" w:customStyle="1" w:styleId="TematkomentarzaZnak">
    <w:name w:val="Temat komentarza Znak"/>
    <w:basedOn w:val="TekstkomentarzaZnak"/>
    <w:link w:val="Tematkomentarza"/>
    <w:uiPriority w:val="99"/>
    <w:rsid w:val="00D749A7"/>
    <w:rPr>
      <w:b/>
      <w:bCs/>
      <w:sz w:val="20"/>
      <w:szCs w:val="20"/>
    </w:rPr>
  </w:style>
  <w:style w:type="paragraph" w:styleId="Tekstdymka">
    <w:name w:val="Balloon Text"/>
    <w:basedOn w:val="Normalny"/>
    <w:link w:val="TekstdymkaZnak"/>
    <w:uiPriority w:val="99"/>
    <w:semiHidden/>
    <w:unhideWhenUsed/>
    <w:rsid w:val="00D749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749A7"/>
    <w:rPr>
      <w:rFonts w:ascii="Segoe UI" w:hAnsi="Segoe UI" w:cs="Segoe UI"/>
      <w:sz w:val="18"/>
      <w:szCs w:val="18"/>
    </w:rPr>
  </w:style>
  <w:style w:type="paragraph" w:styleId="Tekstprzypisukocowego">
    <w:name w:val="endnote text"/>
    <w:basedOn w:val="Normalny"/>
    <w:link w:val="TekstprzypisukocowegoZnak"/>
    <w:uiPriority w:val="99"/>
    <w:unhideWhenUsed/>
    <w:rsid w:val="009F266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9F2662"/>
    <w:rPr>
      <w:sz w:val="20"/>
      <w:szCs w:val="20"/>
    </w:rPr>
  </w:style>
  <w:style w:type="character" w:styleId="Odwoanieprzypisukocowego">
    <w:name w:val="endnote reference"/>
    <w:basedOn w:val="Domylnaczcionkaakapitu"/>
    <w:uiPriority w:val="99"/>
    <w:unhideWhenUsed/>
    <w:rsid w:val="009F2662"/>
    <w:rPr>
      <w:vertAlign w:val="superscript"/>
    </w:rPr>
  </w:style>
  <w:style w:type="character" w:styleId="Odwoanieprzypisudolnego">
    <w:name w:val="footnote reference"/>
    <w:aliases w:val="Odwo³anie przypisu,Odwołanie przypisu,Footnote Reference Number,EN Footnote Reference,Times 10 Point,Exposant 3 Point,Footnote symbol,Footnote reference number,note TESI,stylish,SUPERS,Footnote number,Ref,de nota al pie,number"/>
    <w:basedOn w:val="Domylnaczcionkaakapitu"/>
    <w:uiPriority w:val="99"/>
    <w:unhideWhenUsed/>
    <w:qFormat/>
    <w:rsid w:val="00675744"/>
    <w:rPr>
      <w:vertAlign w:val="superscript"/>
    </w:rPr>
  </w:style>
  <w:style w:type="paragraph" w:styleId="Tekstprzypisudolnego">
    <w:name w:val="footnote text"/>
    <w:aliases w:val="Podrozdział,Tekst przypisu,Tekst przypisu dolnego Znak Znak Znak,Tekst przypisu dolnego Znak Znak Znak Znak,Tekst przypisu dolnego1 Znak Znak,Tekst przypisu dolnego11,o,Footnote,Podrozdzia3,Fußnote,-E Fuﬂnotentext,-E Fußnotentext"/>
    <w:basedOn w:val="Normalny"/>
    <w:link w:val="TekstprzypisudolnegoZnak"/>
    <w:unhideWhenUsed/>
    <w:qFormat/>
    <w:rsid w:val="00A94478"/>
    <w:pPr>
      <w:spacing w:after="0" w:line="240" w:lineRule="auto"/>
    </w:pPr>
    <w:rPr>
      <w:sz w:val="20"/>
      <w:szCs w:val="20"/>
    </w:rPr>
  </w:style>
  <w:style w:type="character" w:customStyle="1" w:styleId="TekstprzypisudolnegoZnak">
    <w:name w:val="Tekst przypisu dolnego Znak"/>
    <w:aliases w:val="Podrozdział Znak,Tekst przypisu Znak,Tekst przypisu dolnego Znak Znak Znak Znak1,Tekst przypisu dolnego Znak Znak Znak Znak Znak,Tekst przypisu dolnego1 Znak Znak Znak,Tekst przypisu dolnego11 Znak,o Znak,Footnote Znak1"/>
    <w:basedOn w:val="Domylnaczcionkaakapitu"/>
    <w:link w:val="Tekstprzypisudolnego"/>
    <w:qFormat/>
    <w:rsid w:val="00A94478"/>
    <w:rPr>
      <w:sz w:val="20"/>
      <w:szCs w:val="20"/>
    </w:rPr>
  </w:style>
  <w:style w:type="paragraph" w:styleId="Akapitzlist">
    <w:name w:val="List Paragraph"/>
    <w:aliases w:val="Tytuł rysunków,Sl_Akapit z listą,lubu 1)_wypkt.,K-P_odwolanie,Lublin_odwolanie,opis dzialania,Akapit z listą BS,Chorzów - Akapit z listą,A_wyliczenie,maz_wyliczenie,Akapit z listą 1,BulletC,Paragraf,Table of contents numbered,Normal"/>
    <w:basedOn w:val="Normalny"/>
    <w:link w:val="AkapitzlistZnak"/>
    <w:uiPriority w:val="34"/>
    <w:qFormat/>
    <w:rsid w:val="00A94478"/>
    <w:pPr>
      <w:ind w:left="720"/>
      <w:contextualSpacing/>
    </w:pPr>
  </w:style>
  <w:style w:type="table" w:styleId="Tabela-Siatka">
    <w:name w:val="Table Grid"/>
    <w:basedOn w:val="Standardowy"/>
    <w:uiPriority w:val="39"/>
    <w:rsid w:val="00E110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0F2D8C"/>
    <w:pPr>
      <w:spacing w:after="0" w:line="240" w:lineRule="auto"/>
    </w:pPr>
  </w:style>
  <w:style w:type="character" w:customStyle="1" w:styleId="markedcontent">
    <w:name w:val="markedcontent"/>
    <w:basedOn w:val="Domylnaczcionkaakapitu"/>
    <w:rsid w:val="00521CA3"/>
  </w:style>
  <w:style w:type="character" w:customStyle="1" w:styleId="highlight">
    <w:name w:val="highlight"/>
    <w:basedOn w:val="Domylnaczcionkaakapitu"/>
    <w:rsid w:val="00521CA3"/>
  </w:style>
  <w:style w:type="character" w:customStyle="1" w:styleId="Nagwek4Znak">
    <w:name w:val="Nagłówek 4 Znak"/>
    <w:basedOn w:val="Domylnaczcionkaakapitu"/>
    <w:link w:val="Nagwek4"/>
    <w:uiPriority w:val="9"/>
    <w:rsid w:val="00506E64"/>
    <w:rPr>
      <w:rFonts w:asciiTheme="majorHAnsi" w:eastAsiaTheme="majorEastAsia" w:hAnsiTheme="majorHAnsi" w:cstheme="majorBidi"/>
      <w:i/>
      <w:iCs/>
      <w:color w:val="276E8B" w:themeColor="accent1" w:themeShade="BF"/>
    </w:rPr>
  </w:style>
  <w:style w:type="paragraph" w:styleId="Legenda">
    <w:name w:val="caption"/>
    <w:aliases w:val="podpis rysune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
    <w:uiPriority w:val="35"/>
    <w:unhideWhenUsed/>
    <w:qFormat/>
    <w:rsid w:val="007B71EC"/>
    <w:pPr>
      <w:spacing w:after="200" w:line="240" w:lineRule="auto"/>
    </w:pPr>
    <w:rPr>
      <w:i/>
      <w:iCs/>
      <w:color w:val="373545" w:themeColor="text2"/>
      <w:sz w:val="18"/>
      <w:szCs w:val="18"/>
    </w:rPr>
  </w:style>
  <w:style w:type="paragraph" w:customStyle="1" w:styleId="Default">
    <w:name w:val="Default"/>
    <w:rsid w:val="008B3377"/>
    <w:pPr>
      <w:autoSpaceDE w:val="0"/>
      <w:autoSpaceDN w:val="0"/>
      <w:adjustRightInd w:val="0"/>
      <w:spacing w:after="0" w:line="240" w:lineRule="auto"/>
    </w:pPr>
    <w:rPr>
      <w:rFonts w:ascii="Calibri" w:hAnsi="Calibri" w:cs="Calibri"/>
      <w:color w:val="000000"/>
      <w:sz w:val="24"/>
      <w:szCs w:val="24"/>
    </w:rPr>
  </w:style>
  <w:style w:type="paragraph" w:customStyle="1" w:styleId="Legenda1">
    <w:name w:val="Legenda1"/>
    <w:basedOn w:val="Normalny"/>
    <w:next w:val="Normalny"/>
    <w:link w:val="Legenda1Znak"/>
    <w:rsid w:val="003415A3"/>
    <w:pPr>
      <w:suppressAutoHyphens/>
      <w:spacing w:after="200" w:line="240" w:lineRule="auto"/>
      <w:jc w:val="left"/>
    </w:pPr>
    <w:rPr>
      <w:rFonts w:ascii="Calibri" w:eastAsia="Calibri" w:hAnsi="Calibri" w:cs="font357"/>
      <w:i/>
      <w:iCs/>
      <w:color w:val="44546A"/>
      <w:sz w:val="18"/>
      <w:szCs w:val="18"/>
    </w:rPr>
  </w:style>
  <w:style w:type="character" w:styleId="Uwydatnienie">
    <w:name w:val="Emphasis"/>
    <w:basedOn w:val="Domylnaczcionkaakapitu"/>
    <w:uiPriority w:val="20"/>
    <w:qFormat/>
    <w:rsid w:val="00F679C8"/>
    <w:rPr>
      <w:i/>
      <w:iCs/>
    </w:rPr>
  </w:style>
  <w:style w:type="table" w:customStyle="1" w:styleId="Zwykatabela31">
    <w:name w:val="Zwykła tabela 31"/>
    <w:basedOn w:val="Standardowy"/>
    <w:uiPriority w:val="43"/>
    <w:rsid w:val="00C67CE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i1jasnaakcent41">
    <w:name w:val="Tabela siatki 1 — jasna — akcent 41"/>
    <w:basedOn w:val="Standardowy"/>
    <w:uiPriority w:val="46"/>
    <w:rsid w:val="00C67CE1"/>
    <w:pPr>
      <w:spacing w:after="0" w:line="240" w:lineRule="auto"/>
    </w:pPr>
    <w:tblPr>
      <w:tblStyleRowBandSize w:val="1"/>
      <w:tblStyleColBandSize w:val="1"/>
      <w:tblInd w:w="0" w:type="dxa"/>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CellMar>
        <w:top w:w="0" w:type="dxa"/>
        <w:left w:w="108" w:type="dxa"/>
        <w:bottom w:w="0" w:type="dxa"/>
        <w:right w:w="108" w:type="dxa"/>
      </w:tblCellMar>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C67CE1"/>
    <w:pPr>
      <w:spacing w:after="0" w:line="240" w:lineRule="auto"/>
    </w:pPr>
    <w:tblPr>
      <w:tblStyleRowBandSize w:val="1"/>
      <w:tblStyleColBandSize w:val="1"/>
      <w:tblInd w:w="0" w:type="dxa"/>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CellMar>
        <w:top w:w="0" w:type="dxa"/>
        <w:left w:w="108" w:type="dxa"/>
        <w:bottom w:w="0" w:type="dxa"/>
        <w:right w:w="108" w:type="dxa"/>
      </w:tblCellMar>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customStyle="1" w:styleId="Tabelasiatki7kolorowaakcent51">
    <w:name w:val="Tabela siatki 7 — kolorowa — akcent 51"/>
    <w:basedOn w:val="Standardowy"/>
    <w:uiPriority w:val="52"/>
    <w:rsid w:val="00C67CE1"/>
    <w:pPr>
      <w:spacing w:after="0" w:line="240" w:lineRule="auto"/>
    </w:pPr>
    <w:rPr>
      <w:color w:val="578793" w:themeColor="accent5" w:themeShade="BF"/>
    </w:rPr>
    <w:tblPr>
      <w:tblStyleRowBandSize w:val="1"/>
      <w:tblStyleColBandSize w:val="1"/>
      <w:tblInd w:w="0" w:type="dxa"/>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customStyle="1" w:styleId="Siatkatabelijasna1">
    <w:name w:val="Siatka tabeli — jasna1"/>
    <w:basedOn w:val="Standardowy"/>
    <w:uiPriority w:val="40"/>
    <w:rsid w:val="00C67CE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gkelc">
    <w:name w:val="hgkelc"/>
    <w:basedOn w:val="Domylnaczcionkaakapitu"/>
    <w:rsid w:val="00943E43"/>
  </w:style>
  <w:style w:type="paragraph" w:styleId="Nagwek">
    <w:name w:val="header"/>
    <w:basedOn w:val="Normalny"/>
    <w:link w:val="NagwekZnak"/>
    <w:uiPriority w:val="99"/>
    <w:unhideWhenUsed/>
    <w:rsid w:val="00BA18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18A2"/>
  </w:style>
  <w:style w:type="paragraph" w:styleId="Stopka">
    <w:name w:val="footer"/>
    <w:basedOn w:val="Normalny"/>
    <w:link w:val="StopkaZnak"/>
    <w:uiPriority w:val="99"/>
    <w:unhideWhenUsed/>
    <w:rsid w:val="00BA18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18A2"/>
  </w:style>
  <w:style w:type="character" w:customStyle="1" w:styleId="nadtabelaZnak">
    <w:name w:val="nad tabela Znak"/>
    <w:basedOn w:val="Domylnaczcionkaakapitu"/>
    <w:link w:val="nadtabela"/>
    <w:locked/>
    <w:rsid w:val="00BA18A2"/>
    <w:rPr>
      <w:i/>
      <w:iCs/>
      <w:color w:val="6A91B3"/>
      <w:sz w:val="18"/>
      <w:szCs w:val="18"/>
    </w:rPr>
  </w:style>
  <w:style w:type="paragraph" w:customStyle="1" w:styleId="nadtabela">
    <w:name w:val="nad tabela"/>
    <w:basedOn w:val="Legenda"/>
    <w:link w:val="nadtabelaZnak"/>
    <w:qFormat/>
    <w:rsid w:val="00BA18A2"/>
    <w:pPr>
      <w:keepNext/>
      <w:spacing w:before="240" w:after="0"/>
      <w:jc w:val="left"/>
    </w:pPr>
    <w:rPr>
      <w:color w:val="6A91B3"/>
    </w:rPr>
  </w:style>
  <w:style w:type="table" w:customStyle="1" w:styleId="Tabelasiatki1jasnaakcent21">
    <w:name w:val="Tabela siatki 1 — jasna — akcent 21"/>
    <w:basedOn w:val="Standardowy"/>
    <w:uiPriority w:val="46"/>
    <w:rsid w:val="000B6949"/>
    <w:pPr>
      <w:spacing w:after="0" w:line="240" w:lineRule="auto"/>
    </w:pPr>
    <w:tblPr>
      <w:tblStyleRowBandSize w:val="1"/>
      <w:tblStyleColBandSize w:val="1"/>
      <w:tblInd w:w="0" w:type="dxa"/>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CellMar>
        <w:top w:w="0" w:type="dxa"/>
        <w:left w:w="108" w:type="dxa"/>
        <w:bottom w:w="0" w:type="dxa"/>
        <w:right w:w="108" w:type="dxa"/>
      </w:tblCellMar>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39"/>
    <w:rsid w:val="00D60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iprzypiswdolnych">
    <w:name w:val="Znaki przypisów dolnych"/>
    <w:rsid w:val="00D6078C"/>
  </w:style>
  <w:style w:type="table" w:customStyle="1" w:styleId="Tabela-Siatka2">
    <w:name w:val="Tabela - Siatka2"/>
    <w:basedOn w:val="Standardowy"/>
    <w:next w:val="Tabela-Siatka"/>
    <w:uiPriority w:val="39"/>
    <w:rsid w:val="00BF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Tytuł rysunków Znak,Sl_Akapit z listą Znak,lubu 1)_wypkt. Znak,K-P_odwolanie Znak,Lublin_odwolanie Znak,opis dzialania Znak,Akapit z listą BS Znak,Chorzów - Akapit z listą Znak,A_wyliczenie Znak,maz_wyliczenie Znak,BulletC Znak"/>
    <w:basedOn w:val="Domylnaczcionkaakapitu"/>
    <w:link w:val="Akapitzlist"/>
    <w:qFormat/>
    <w:rsid w:val="000C4733"/>
  </w:style>
  <w:style w:type="character" w:customStyle="1" w:styleId="Nagwek5Znak">
    <w:name w:val="Nagłówek 5 Znak"/>
    <w:basedOn w:val="Domylnaczcionkaakapitu"/>
    <w:link w:val="Nagwek5"/>
    <w:uiPriority w:val="9"/>
    <w:rsid w:val="00D22B38"/>
    <w:rPr>
      <w:rFonts w:asciiTheme="majorHAnsi" w:eastAsiaTheme="majorEastAsia" w:hAnsiTheme="majorHAnsi" w:cstheme="majorBidi"/>
      <w:color w:val="276E8B" w:themeColor="accent1" w:themeShade="BF"/>
    </w:rPr>
  </w:style>
  <w:style w:type="character" w:customStyle="1" w:styleId="Domylnaczcionkaakapitu1">
    <w:name w:val="Domyślna czcionka akapitu1"/>
    <w:rsid w:val="006B148F"/>
  </w:style>
  <w:style w:type="character" w:customStyle="1" w:styleId="FootnoteCharacters">
    <w:name w:val="Footnote Characters"/>
    <w:rsid w:val="006B148F"/>
    <w:rPr>
      <w:vertAlign w:val="superscript"/>
    </w:rPr>
  </w:style>
  <w:style w:type="character" w:customStyle="1" w:styleId="EndnoteCharacters">
    <w:name w:val="Endnote Characters"/>
    <w:rsid w:val="006B148F"/>
    <w:rPr>
      <w:vertAlign w:val="superscript"/>
    </w:rPr>
  </w:style>
  <w:style w:type="character" w:customStyle="1" w:styleId="Odwoaniedokomentarza1">
    <w:name w:val="Odwołanie do komentarza1"/>
    <w:rsid w:val="006B148F"/>
    <w:rPr>
      <w:sz w:val="16"/>
      <w:szCs w:val="16"/>
    </w:rPr>
  </w:style>
  <w:style w:type="character" w:customStyle="1" w:styleId="ListLabel1">
    <w:name w:val="ListLabel 1"/>
    <w:rsid w:val="006B148F"/>
    <w:rPr>
      <w:rFonts w:cs="Courier New"/>
    </w:rPr>
  </w:style>
  <w:style w:type="character" w:customStyle="1" w:styleId="ListLabel2">
    <w:name w:val="ListLabel 2"/>
    <w:rsid w:val="006B148F"/>
    <w:rPr>
      <w:rFonts w:cs="Courier New"/>
    </w:rPr>
  </w:style>
  <w:style w:type="character" w:customStyle="1" w:styleId="ListLabel3">
    <w:name w:val="ListLabel 3"/>
    <w:rsid w:val="006B148F"/>
    <w:rPr>
      <w:rFonts w:cs="Courier New"/>
    </w:rPr>
  </w:style>
  <w:style w:type="character" w:customStyle="1" w:styleId="ListLabel4">
    <w:name w:val="ListLabel 4"/>
    <w:rsid w:val="006B148F"/>
    <w:rPr>
      <w:rFonts w:cs="Courier New"/>
    </w:rPr>
  </w:style>
  <w:style w:type="character" w:customStyle="1" w:styleId="ListLabel5">
    <w:name w:val="ListLabel 5"/>
    <w:rsid w:val="006B148F"/>
    <w:rPr>
      <w:rFonts w:cs="Courier New"/>
    </w:rPr>
  </w:style>
  <w:style w:type="character" w:customStyle="1" w:styleId="ListLabel6">
    <w:name w:val="ListLabel 6"/>
    <w:rsid w:val="006B148F"/>
    <w:rPr>
      <w:rFonts w:cs="Courier New"/>
    </w:rPr>
  </w:style>
  <w:style w:type="character" w:customStyle="1" w:styleId="ListLabel7">
    <w:name w:val="ListLabel 7"/>
    <w:rsid w:val="006B148F"/>
    <w:rPr>
      <w:rFonts w:cs="Courier New"/>
    </w:rPr>
  </w:style>
  <w:style w:type="character" w:customStyle="1" w:styleId="ListLabel8">
    <w:name w:val="ListLabel 8"/>
    <w:rsid w:val="006B148F"/>
    <w:rPr>
      <w:rFonts w:cs="Courier New"/>
    </w:rPr>
  </w:style>
  <w:style w:type="character" w:customStyle="1" w:styleId="ListLabel9">
    <w:name w:val="ListLabel 9"/>
    <w:rsid w:val="006B148F"/>
    <w:rPr>
      <w:rFonts w:cs="Courier New"/>
    </w:rPr>
  </w:style>
  <w:style w:type="character" w:customStyle="1" w:styleId="ListLabel10">
    <w:name w:val="ListLabel 10"/>
    <w:rsid w:val="006B148F"/>
    <w:rPr>
      <w:rFonts w:cs="Courier New"/>
    </w:rPr>
  </w:style>
  <w:style w:type="character" w:customStyle="1" w:styleId="ListLabel11">
    <w:name w:val="ListLabel 11"/>
    <w:rsid w:val="006B148F"/>
    <w:rPr>
      <w:rFonts w:cs="Courier New"/>
    </w:rPr>
  </w:style>
  <w:style w:type="character" w:customStyle="1" w:styleId="ListLabel12">
    <w:name w:val="ListLabel 12"/>
    <w:rsid w:val="006B148F"/>
    <w:rPr>
      <w:rFonts w:cs="Courier New"/>
    </w:rPr>
  </w:style>
  <w:style w:type="character" w:customStyle="1" w:styleId="ListLabel13">
    <w:name w:val="ListLabel 13"/>
    <w:rsid w:val="006B148F"/>
    <w:rPr>
      <w:rFonts w:cs="Courier New"/>
    </w:rPr>
  </w:style>
  <w:style w:type="character" w:customStyle="1" w:styleId="ListLabel14">
    <w:name w:val="ListLabel 14"/>
    <w:rsid w:val="006B148F"/>
    <w:rPr>
      <w:rFonts w:cs="Courier New"/>
    </w:rPr>
  </w:style>
  <w:style w:type="character" w:customStyle="1" w:styleId="ListLabel15">
    <w:name w:val="ListLabel 15"/>
    <w:rsid w:val="006B148F"/>
    <w:rPr>
      <w:rFonts w:cs="Courier New"/>
    </w:rPr>
  </w:style>
  <w:style w:type="character" w:customStyle="1" w:styleId="ListLabel16">
    <w:name w:val="ListLabel 16"/>
    <w:rsid w:val="006B148F"/>
    <w:rPr>
      <w:rFonts w:cs="Courier New"/>
    </w:rPr>
  </w:style>
  <w:style w:type="character" w:customStyle="1" w:styleId="ListLabel17">
    <w:name w:val="ListLabel 17"/>
    <w:rsid w:val="006B148F"/>
    <w:rPr>
      <w:rFonts w:cs="Courier New"/>
    </w:rPr>
  </w:style>
  <w:style w:type="character" w:customStyle="1" w:styleId="ListLabel18">
    <w:name w:val="ListLabel 18"/>
    <w:rsid w:val="006B148F"/>
    <w:rPr>
      <w:rFonts w:cs="Courier New"/>
    </w:rPr>
  </w:style>
  <w:style w:type="character" w:customStyle="1" w:styleId="ListLabel19">
    <w:name w:val="ListLabel 19"/>
    <w:rsid w:val="006B148F"/>
    <w:rPr>
      <w:rFonts w:cs="Courier New"/>
    </w:rPr>
  </w:style>
  <w:style w:type="character" w:customStyle="1" w:styleId="ListLabel20">
    <w:name w:val="ListLabel 20"/>
    <w:rsid w:val="006B148F"/>
    <w:rPr>
      <w:rFonts w:cs="Courier New"/>
    </w:rPr>
  </w:style>
  <w:style w:type="character" w:customStyle="1" w:styleId="ListLabel21">
    <w:name w:val="ListLabel 21"/>
    <w:rsid w:val="006B148F"/>
    <w:rPr>
      <w:rFonts w:cs="Courier New"/>
    </w:rPr>
  </w:style>
  <w:style w:type="character" w:customStyle="1" w:styleId="ListLabel22">
    <w:name w:val="ListLabel 22"/>
    <w:rsid w:val="006B148F"/>
    <w:rPr>
      <w:rFonts w:cs="Courier New"/>
    </w:rPr>
  </w:style>
  <w:style w:type="character" w:customStyle="1" w:styleId="ListLabel23">
    <w:name w:val="ListLabel 23"/>
    <w:rsid w:val="006B148F"/>
    <w:rPr>
      <w:rFonts w:cs="Courier New"/>
    </w:rPr>
  </w:style>
  <w:style w:type="character" w:customStyle="1" w:styleId="ListLabel24">
    <w:name w:val="ListLabel 24"/>
    <w:rsid w:val="006B148F"/>
    <w:rPr>
      <w:rFonts w:cs="Courier New"/>
    </w:rPr>
  </w:style>
  <w:style w:type="character" w:customStyle="1" w:styleId="ListLabel25">
    <w:name w:val="ListLabel 25"/>
    <w:rsid w:val="006B148F"/>
    <w:rPr>
      <w:rFonts w:cs="Courier New"/>
    </w:rPr>
  </w:style>
  <w:style w:type="character" w:customStyle="1" w:styleId="ListLabel26">
    <w:name w:val="ListLabel 26"/>
    <w:rsid w:val="006B148F"/>
    <w:rPr>
      <w:rFonts w:cs="Courier New"/>
    </w:rPr>
  </w:style>
  <w:style w:type="character" w:customStyle="1" w:styleId="ListLabel27">
    <w:name w:val="ListLabel 27"/>
    <w:rsid w:val="006B148F"/>
    <w:rPr>
      <w:rFonts w:cs="Courier New"/>
    </w:rPr>
  </w:style>
  <w:style w:type="character" w:customStyle="1" w:styleId="ListLabel28">
    <w:name w:val="ListLabel 28"/>
    <w:rsid w:val="006B148F"/>
    <w:rPr>
      <w:rFonts w:cs="Courier New"/>
    </w:rPr>
  </w:style>
  <w:style w:type="character" w:customStyle="1" w:styleId="ListLabel29">
    <w:name w:val="ListLabel 29"/>
    <w:rsid w:val="006B148F"/>
    <w:rPr>
      <w:rFonts w:cs="Courier New"/>
    </w:rPr>
  </w:style>
  <w:style w:type="character" w:customStyle="1" w:styleId="ListLabel30">
    <w:name w:val="ListLabel 30"/>
    <w:rsid w:val="006B148F"/>
    <w:rPr>
      <w:rFonts w:cs="Courier New"/>
    </w:rPr>
  </w:style>
  <w:style w:type="character" w:customStyle="1" w:styleId="ListLabel31">
    <w:name w:val="ListLabel 31"/>
    <w:rsid w:val="006B148F"/>
    <w:rPr>
      <w:rFonts w:cs="Courier New"/>
    </w:rPr>
  </w:style>
  <w:style w:type="character" w:customStyle="1" w:styleId="ListLabel32">
    <w:name w:val="ListLabel 32"/>
    <w:rsid w:val="006B148F"/>
    <w:rPr>
      <w:rFonts w:cs="Courier New"/>
    </w:rPr>
  </w:style>
  <w:style w:type="character" w:customStyle="1" w:styleId="ListLabel33">
    <w:name w:val="ListLabel 33"/>
    <w:rsid w:val="006B148F"/>
    <w:rPr>
      <w:rFonts w:cs="Courier New"/>
    </w:rPr>
  </w:style>
  <w:style w:type="character" w:customStyle="1" w:styleId="ListLabel34">
    <w:name w:val="ListLabel 34"/>
    <w:rsid w:val="006B148F"/>
    <w:rPr>
      <w:rFonts w:cs="Courier New"/>
    </w:rPr>
  </w:style>
  <w:style w:type="character" w:customStyle="1" w:styleId="ListLabel35">
    <w:name w:val="ListLabel 35"/>
    <w:rsid w:val="006B148F"/>
    <w:rPr>
      <w:rFonts w:cs="Courier New"/>
    </w:rPr>
  </w:style>
  <w:style w:type="character" w:customStyle="1" w:styleId="ListLabel36">
    <w:name w:val="ListLabel 36"/>
    <w:rsid w:val="006B148F"/>
    <w:rPr>
      <w:rFonts w:cs="Courier New"/>
    </w:rPr>
  </w:style>
  <w:style w:type="character" w:customStyle="1" w:styleId="ListLabel37">
    <w:name w:val="ListLabel 37"/>
    <w:rsid w:val="006B148F"/>
    <w:rPr>
      <w:rFonts w:cs="Courier New"/>
    </w:rPr>
  </w:style>
  <w:style w:type="character" w:customStyle="1" w:styleId="ListLabel38">
    <w:name w:val="ListLabel 38"/>
    <w:rsid w:val="006B148F"/>
    <w:rPr>
      <w:rFonts w:cs="Courier New"/>
    </w:rPr>
  </w:style>
  <w:style w:type="character" w:customStyle="1" w:styleId="ListLabel39">
    <w:name w:val="ListLabel 39"/>
    <w:rsid w:val="006B148F"/>
    <w:rPr>
      <w:rFonts w:cs="Courier New"/>
    </w:rPr>
  </w:style>
  <w:style w:type="character" w:customStyle="1" w:styleId="czeindeksu">
    <w:name w:val="Łącze indeksu"/>
    <w:rsid w:val="006B148F"/>
  </w:style>
  <w:style w:type="character" w:customStyle="1" w:styleId="Znakiprzypiswkocowych">
    <w:name w:val="Znaki przypisów końcowych"/>
    <w:rsid w:val="006B148F"/>
  </w:style>
  <w:style w:type="paragraph" w:customStyle="1" w:styleId="Nagwek10">
    <w:name w:val="Nagłówek1"/>
    <w:basedOn w:val="Normalny"/>
    <w:next w:val="Tekstpodstawowy"/>
    <w:rsid w:val="006B148F"/>
    <w:pPr>
      <w:keepNext/>
      <w:suppressAutoHyphens/>
      <w:spacing w:before="240" w:after="120" w:line="259" w:lineRule="auto"/>
      <w:jc w:val="left"/>
    </w:pPr>
    <w:rPr>
      <w:rFonts w:ascii="Liberation Sans" w:eastAsia="Microsoft YaHei" w:hAnsi="Liberation Sans" w:cs="Mangal"/>
      <w:sz w:val="28"/>
      <w:szCs w:val="28"/>
    </w:rPr>
  </w:style>
  <w:style w:type="paragraph" w:styleId="Tekstpodstawowy">
    <w:name w:val="Body Text"/>
    <w:basedOn w:val="Normalny"/>
    <w:link w:val="TekstpodstawowyZnak"/>
    <w:rsid w:val="006B148F"/>
    <w:pPr>
      <w:suppressAutoHyphens/>
      <w:spacing w:after="140" w:line="276" w:lineRule="auto"/>
      <w:jc w:val="left"/>
    </w:pPr>
    <w:rPr>
      <w:rFonts w:ascii="Calibri" w:eastAsia="Calibri" w:hAnsi="Calibri" w:cs="font339"/>
    </w:rPr>
  </w:style>
  <w:style w:type="character" w:customStyle="1" w:styleId="TekstpodstawowyZnak">
    <w:name w:val="Tekst podstawowy Znak"/>
    <w:basedOn w:val="Domylnaczcionkaakapitu"/>
    <w:link w:val="Tekstpodstawowy"/>
    <w:rsid w:val="006B148F"/>
    <w:rPr>
      <w:rFonts w:ascii="Calibri" w:eastAsia="Calibri" w:hAnsi="Calibri" w:cs="font339"/>
    </w:rPr>
  </w:style>
  <w:style w:type="paragraph" w:styleId="Lista">
    <w:name w:val="List"/>
    <w:basedOn w:val="Tekstpodstawowy"/>
    <w:rsid w:val="006B148F"/>
    <w:rPr>
      <w:rFonts w:cs="Mangal"/>
    </w:rPr>
  </w:style>
  <w:style w:type="character" w:customStyle="1" w:styleId="LegendaZnak">
    <w:name w:val="Legenda Znak"/>
    <w:aliases w:val="podpis rysunek Znak,Legenda Znak Znak Znak Znak2,Legenda Znak Znak Znak Znak Znak1,Legenda Znak Znak Znak Znak Znak Znak Znak2,Legenda Znak Znak Znak Znak Znak Znak Znak Znak1,Legenda Znak Znak Znak2,Podpis pod rysunkiem Znak1"/>
    <w:link w:val="Legenda"/>
    <w:uiPriority w:val="35"/>
    <w:qFormat/>
    <w:rsid w:val="006B148F"/>
    <w:rPr>
      <w:i/>
      <w:iCs/>
      <w:color w:val="373545" w:themeColor="text2"/>
      <w:sz w:val="18"/>
      <w:szCs w:val="18"/>
    </w:rPr>
  </w:style>
  <w:style w:type="paragraph" w:customStyle="1" w:styleId="Indeks">
    <w:name w:val="Indeks"/>
    <w:basedOn w:val="Normalny"/>
    <w:rsid w:val="006B148F"/>
    <w:pPr>
      <w:suppressLineNumbers/>
      <w:suppressAutoHyphens/>
      <w:spacing w:line="259" w:lineRule="auto"/>
      <w:jc w:val="left"/>
    </w:pPr>
    <w:rPr>
      <w:rFonts w:ascii="Calibri" w:eastAsia="Calibri" w:hAnsi="Calibri" w:cs="Mangal"/>
    </w:rPr>
  </w:style>
  <w:style w:type="paragraph" w:customStyle="1" w:styleId="Gwkaistopka">
    <w:name w:val="Główka i stopka"/>
    <w:basedOn w:val="Normalny"/>
    <w:rsid w:val="006B148F"/>
    <w:pPr>
      <w:suppressAutoHyphens/>
      <w:spacing w:line="259" w:lineRule="auto"/>
      <w:jc w:val="left"/>
    </w:pPr>
    <w:rPr>
      <w:rFonts w:ascii="Calibri" w:eastAsia="Calibri" w:hAnsi="Calibri" w:cs="font339"/>
    </w:rPr>
  </w:style>
  <w:style w:type="character" w:customStyle="1" w:styleId="NagwekZnak1">
    <w:name w:val="Nagłówek Znak1"/>
    <w:basedOn w:val="Domylnaczcionkaakapitu"/>
    <w:rsid w:val="006B148F"/>
    <w:rPr>
      <w:rFonts w:ascii="Calibri" w:eastAsia="Calibri" w:hAnsi="Calibri" w:cs="font339"/>
      <w:sz w:val="22"/>
      <w:szCs w:val="22"/>
      <w:lang w:eastAsia="en-US"/>
    </w:rPr>
  </w:style>
  <w:style w:type="character" w:customStyle="1" w:styleId="StopkaZnak1">
    <w:name w:val="Stopka Znak1"/>
    <w:basedOn w:val="Domylnaczcionkaakapitu"/>
    <w:uiPriority w:val="99"/>
    <w:rsid w:val="006B148F"/>
    <w:rPr>
      <w:rFonts w:ascii="Calibri" w:eastAsia="Calibri" w:hAnsi="Calibri" w:cs="font339"/>
      <w:sz w:val="22"/>
      <w:szCs w:val="22"/>
      <w:lang w:eastAsia="en-US"/>
    </w:rPr>
  </w:style>
  <w:style w:type="paragraph" w:customStyle="1" w:styleId="Nagwekspisutreci1">
    <w:name w:val="Nagłówek spisu treści1"/>
    <w:basedOn w:val="Nagwek1"/>
    <w:next w:val="Normalny"/>
    <w:rsid w:val="006B148F"/>
    <w:pPr>
      <w:suppressAutoHyphens/>
      <w:spacing w:before="0"/>
      <w:jc w:val="left"/>
    </w:pPr>
    <w:rPr>
      <w:rFonts w:ascii="Calibri Light" w:eastAsia="font339" w:hAnsi="Calibri Light" w:cs="font339"/>
      <w:color w:val="276E8B"/>
      <w:lang w:eastAsia="pl-PL"/>
    </w:rPr>
  </w:style>
  <w:style w:type="paragraph" w:customStyle="1" w:styleId="Akapitzlist1">
    <w:name w:val="Akapit z listą1"/>
    <w:basedOn w:val="Normalny"/>
    <w:rsid w:val="006B148F"/>
    <w:pPr>
      <w:suppressAutoHyphens/>
      <w:spacing w:line="259" w:lineRule="auto"/>
      <w:ind w:left="720"/>
      <w:contextualSpacing/>
      <w:jc w:val="left"/>
    </w:pPr>
    <w:rPr>
      <w:rFonts w:ascii="Calibri" w:eastAsia="Calibri" w:hAnsi="Calibri" w:cs="font339"/>
    </w:rPr>
  </w:style>
  <w:style w:type="character" w:customStyle="1" w:styleId="TekstprzypisudolnegoZnak1">
    <w:name w:val="Tekst przypisu dolnego Znak1"/>
    <w:aliases w:val="Podrozdział Znak1,Tekst przypisu Znak1,Tekst przypisu dolnego Znak Znak Znak Znak2,Tekst przypisu dolnego Znak Znak Znak Znak Znak1,Tekst przypisu dolnego1 Znak Znak Znak1,Tekst przypisu dolnego11 Znak1,o Znak1,Footnote Znak"/>
    <w:basedOn w:val="Domylnaczcionkaakapitu"/>
    <w:rsid w:val="006B148F"/>
    <w:rPr>
      <w:rFonts w:ascii="Calibri" w:eastAsia="Calibri" w:hAnsi="Calibri" w:cs="font339"/>
      <w:lang w:eastAsia="en-US"/>
    </w:rPr>
  </w:style>
  <w:style w:type="character" w:customStyle="1" w:styleId="TekstprzypisukocowegoZnak1">
    <w:name w:val="Tekst przypisu końcowego Znak1"/>
    <w:basedOn w:val="Domylnaczcionkaakapitu"/>
    <w:uiPriority w:val="99"/>
    <w:rsid w:val="006B148F"/>
    <w:rPr>
      <w:rFonts w:ascii="Calibri" w:eastAsia="Calibri" w:hAnsi="Calibri" w:cs="font339"/>
      <w:lang w:eastAsia="en-US"/>
    </w:rPr>
  </w:style>
  <w:style w:type="paragraph" w:customStyle="1" w:styleId="Tekstkomentarza1">
    <w:name w:val="Tekst komentarza1"/>
    <w:basedOn w:val="Normalny"/>
    <w:rsid w:val="006B148F"/>
    <w:pPr>
      <w:suppressAutoHyphens/>
      <w:spacing w:line="240" w:lineRule="auto"/>
      <w:jc w:val="left"/>
    </w:pPr>
    <w:rPr>
      <w:rFonts w:ascii="Calibri" w:eastAsia="Calibri" w:hAnsi="Calibri" w:cs="font339"/>
      <w:sz w:val="20"/>
      <w:szCs w:val="20"/>
    </w:rPr>
  </w:style>
  <w:style w:type="paragraph" w:customStyle="1" w:styleId="Tematkomentarza1">
    <w:name w:val="Temat komentarza1"/>
    <w:basedOn w:val="Tekstkomentarza1"/>
    <w:next w:val="Tekstkomentarza1"/>
    <w:rsid w:val="006B148F"/>
    <w:rPr>
      <w:b/>
      <w:bCs/>
    </w:rPr>
  </w:style>
  <w:style w:type="paragraph" w:customStyle="1" w:styleId="Tekstdymka1">
    <w:name w:val="Tekst dymka1"/>
    <w:basedOn w:val="Normalny"/>
    <w:rsid w:val="006B148F"/>
    <w:pPr>
      <w:suppressAutoHyphens/>
      <w:spacing w:after="0" w:line="240" w:lineRule="auto"/>
      <w:jc w:val="left"/>
    </w:pPr>
    <w:rPr>
      <w:rFonts w:ascii="Segoe UI" w:eastAsia="Calibri" w:hAnsi="Segoe UI" w:cs="Segoe UI"/>
      <w:sz w:val="18"/>
      <w:szCs w:val="18"/>
    </w:rPr>
  </w:style>
  <w:style w:type="character" w:customStyle="1" w:styleId="Legenda1Znak">
    <w:name w:val="Legenda1 Znak"/>
    <w:link w:val="Legenda1"/>
    <w:rsid w:val="006B148F"/>
    <w:rPr>
      <w:rFonts w:ascii="Calibri" w:eastAsia="Calibri" w:hAnsi="Calibri" w:cs="font357"/>
      <w:i/>
      <w:iCs/>
      <w:color w:val="44546A"/>
      <w:sz w:val="18"/>
      <w:szCs w:val="18"/>
    </w:rPr>
  </w:style>
  <w:style w:type="paragraph" w:customStyle="1" w:styleId="NormalnyWeb1">
    <w:name w:val="Normalny (Web)1"/>
    <w:basedOn w:val="Normalny"/>
    <w:rsid w:val="006B148F"/>
    <w:pPr>
      <w:suppressAutoHyphens/>
      <w:spacing w:before="280" w:after="280" w:line="240" w:lineRule="auto"/>
      <w:jc w:val="left"/>
    </w:pPr>
    <w:rPr>
      <w:rFonts w:ascii="Times New Roman" w:eastAsia="Times New Roman" w:hAnsi="Times New Roman" w:cs="Times New Roman"/>
      <w:sz w:val="24"/>
      <w:szCs w:val="24"/>
      <w:lang w:eastAsia="pl-PL"/>
    </w:rPr>
  </w:style>
  <w:style w:type="paragraph" w:customStyle="1" w:styleId="Bezodstpw1">
    <w:name w:val="Bez odstępów1"/>
    <w:rsid w:val="006B148F"/>
    <w:pPr>
      <w:suppressAutoHyphens/>
      <w:spacing w:after="0" w:line="240" w:lineRule="auto"/>
    </w:pPr>
    <w:rPr>
      <w:rFonts w:ascii="Calibri" w:eastAsia="Calibri" w:hAnsi="Calibri" w:cs="font339"/>
    </w:rPr>
  </w:style>
  <w:style w:type="character" w:customStyle="1" w:styleId="TekstkomentarzaZnak1">
    <w:name w:val="Tekst komentarza Znak1"/>
    <w:uiPriority w:val="99"/>
    <w:rsid w:val="006B148F"/>
    <w:rPr>
      <w:rFonts w:ascii="Calibri" w:eastAsia="Calibri" w:hAnsi="Calibri" w:cs="font339"/>
      <w:lang w:eastAsia="en-US"/>
    </w:rPr>
  </w:style>
  <w:style w:type="character" w:customStyle="1" w:styleId="TematkomentarzaZnak1">
    <w:name w:val="Temat komentarza Znak1"/>
    <w:uiPriority w:val="99"/>
    <w:semiHidden/>
    <w:rsid w:val="006B148F"/>
    <w:rPr>
      <w:rFonts w:ascii="Calibri" w:eastAsia="Calibri" w:hAnsi="Calibri" w:cs="font339"/>
      <w:b/>
      <w:bCs/>
      <w:lang w:eastAsia="en-US"/>
    </w:rPr>
  </w:style>
  <w:style w:type="character" w:customStyle="1" w:styleId="TekstdymkaZnak1">
    <w:name w:val="Tekst dymka Znak1"/>
    <w:uiPriority w:val="99"/>
    <w:semiHidden/>
    <w:rsid w:val="006B148F"/>
    <w:rPr>
      <w:rFonts w:ascii="Tahoma" w:eastAsia="Calibri" w:hAnsi="Tahoma" w:cs="Tahoma"/>
      <w:sz w:val="16"/>
      <w:szCs w:val="16"/>
      <w:lang w:eastAsia="en-US"/>
    </w:rPr>
  </w:style>
  <w:style w:type="character" w:styleId="UyteHipercze">
    <w:name w:val="FollowedHyperlink"/>
    <w:uiPriority w:val="99"/>
    <w:semiHidden/>
    <w:unhideWhenUsed/>
    <w:rsid w:val="006B148F"/>
    <w:rPr>
      <w:color w:val="954F72"/>
      <w:u w:val="single"/>
    </w:rPr>
  </w:style>
  <w:style w:type="paragraph" w:customStyle="1" w:styleId="PODWrof">
    <w:name w:val="POD Wrof"/>
    <w:basedOn w:val="Normalny"/>
    <w:link w:val="PODWrofZnak"/>
    <w:qFormat/>
    <w:rsid w:val="00180408"/>
    <w:pPr>
      <w:suppressAutoHyphens/>
      <w:spacing w:after="240" w:line="240" w:lineRule="auto"/>
      <w:jc w:val="left"/>
    </w:pPr>
    <w:rPr>
      <w:rFonts w:ascii="Calibri" w:eastAsia="Calibri" w:hAnsi="Calibri" w:cs="Times New Roman"/>
      <w:i/>
      <w:color w:val="000000" w:themeColor="text1"/>
    </w:rPr>
  </w:style>
  <w:style w:type="character" w:customStyle="1" w:styleId="PODWrofZnak">
    <w:name w:val="POD Wrof Znak"/>
    <w:link w:val="PODWrof"/>
    <w:rsid w:val="00180408"/>
    <w:rPr>
      <w:rFonts w:ascii="Calibri" w:eastAsia="Calibri" w:hAnsi="Calibri" w:cs="Times New Roman"/>
      <w:i/>
      <w:color w:val="000000" w:themeColor="text1"/>
    </w:rPr>
  </w:style>
  <w:style w:type="paragraph" w:styleId="NormalnyWeb">
    <w:name w:val="Normal (Web)"/>
    <w:basedOn w:val="Normalny"/>
    <w:link w:val="NormalnyWebZnak"/>
    <w:unhideWhenUsed/>
    <w:rsid w:val="006B148F"/>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6B148F"/>
    <w:pPr>
      <w:spacing w:after="0" w:line="240" w:lineRule="auto"/>
    </w:pPr>
    <w:rPr>
      <w:rFonts w:ascii="Calibri" w:eastAsia="Calibri" w:hAnsi="Calibri" w:cs="Times New Roman"/>
    </w:rPr>
  </w:style>
  <w:style w:type="character" w:customStyle="1" w:styleId="BezodstpwZnak">
    <w:name w:val="Bez odstępów Znak"/>
    <w:link w:val="Bezodstpw"/>
    <w:uiPriority w:val="1"/>
    <w:qFormat/>
    <w:rsid w:val="006B148F"/>
    <w:rPr>
      <w:rFonts w:ascii="Calibri" w:eastAsia="Calibri" w:hAnsi="Calibri" w:cs="Times New Roman"/>
    </w:rPr>
  </w:style>
  <w:style w:type="table" w:customStyle="1" w:styleId="Tabelalisty3akcent11">
    <w:name w:val="Tabela listy 3 — akcent 11"/>
    <w:basedOn w:val="Standardowy"/>
    <w:uiPriority w:val="48"/>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3494BA"/>
        <w:left w:val="single" w:sz="4" w:space="0" w:color="3494BA"/>
        <w:bottom w:val="single" w:sz="4" w:space="0" w:color="3494BA"/>
        <w:right w:val="single" w:sz="4" w:space="0" w:color="3494BA"/>
      </w:tblBorders>
      <w:tblCellMar>
        <w:top w:w="0" w:type="dxa"/>
        <w:left w:w="108" w:type="dxa"/>
        <w:bottom w:w="0" w:type="dxa"/>
        <w:right w:w="108" w:type="dxa"/>
      </w:tblCellMar>
    </w:tblPr>
    <w:tblStylePr w:type="firstRow">
      <w:rPr>
        <w:b/>
        <w:bCs/>
        <w:color w:val="FFFFFF"/>
      </w:rPr>
      <w:tblPr/>
      <w:tcPr>
        <w:shd w:val="clear" w:color="auto" w:fill="3494BA"/>
      </w:tcPr>
    </w:tblStylePr>
    <w:tblStylePr w:type="lastRow">
      <w:rPr>
        <w:b/>
        <w:bCs/>
      </w:rPr>
      <w:tblPr/>
      <w:tcPr>
        <w:tcBorders>
          <w:top w:val="double" w:sz="4" w:space="0" w:color="3494B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94BA"/>
          <w:right w:val="single" w:sz="4" w:space="0" w:color="3494BA"/>
        </w:tcBorders>
      </w:tcPr>
    </w:tblStylePr>
    <w:tblStylePr w:type="band1Horz">
      <w:tblPr/>
      <w:tcPr>
        <w:tcBorders>
          <w:top w:val="single" w:sz="4" w:space="0" w:color="3494BA"/>
          <w:bottom w:val="single" w:sz="4" w:space="0" w:color="3494B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left w:val="nil"/>
        </w:tcBorders>
      </w:tcPr>
    </w:tblStylePr>
    <w:tblStylePr w:type="swCell">
      <w:tblPr/>
      <w:tcPr>
        <w:tcBorders>
          <w:top w:val="double" w:sz="4" w:space="0" w:color="3494BA"/>
          <w:right w:val="nil"/>
        </w:tcBorders>
      </w:tcPr>
    </w:tblStylePr>
  </w:style>
  <w:style w:type="paragraph" w:styleId="HTML-wstpniesformatowany">
    <w:name w:val="HTML Preformatted"/>
    <w:basedOn w:val="Normalny"/>
    <w:link w:val="HTML-wstpniesformatowanyZnak"/>
    <w:uiPriority w:val="99"/>
    <w:unhideWhenUsed/>
    <w:rsid w:val="006B1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sz w:val="20"/>
      <w:szCs w:val="20"/>
      <w:lang w:val="en-US"/>
    </w:rPr>
  </w:style>
  <w:style w:type="character" w:customStyle="1" w:styleId="HTML-wstpniesformatowanyZnak">
    <w:name w:val="HTML - wstępnie sformatowany Znak"/>
    <w:basedOn w:val="Domylnaczcionkaakapitu"/>
    <w:link w:val="HTML-wstpniesformatowany"/>
    <w:uiPriority w:val="99"/>
    <w:rsid w:val="006B148F"/>
    <w:rPr>
      <w:rFonts w:ascii="Courier New" w:eastAsia="Times New Roman" w:hAnsi="Courier New" w:cs="Times New Roman"/>
      <w:sz w:val="20"/>
      <w:szCs w:val="20"/>
      <w:lang w:val="en-US"/>
    </w:rPr>
  </w:style>
  <w:style w:type="table" w:customStyle="1" w:styleId="Tabela-Siatka3">
    <w:name w:val="Tabela - Siatka3"/>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2edcug0">
    <w:name w:val="d2edcug0"/>
    <w:basedOn w:val="Domylnaczcionkaakapitu"/>
    <w:rsid w:val="006B148F"/>
  </w:style>
  <w:style w:type="character" w:styleId="Pogrubienie">
    <w:name w:val="Strong"/>
    <w:uiPriority w:val="22"/>
    <w:qFormat/>
    <w:rsid w:val="006B148F"/>
    <w:rPr>
      <w:b/>
      <w:bCs/>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qFormat/>
    <w:rsid w:val="006B148F"/>
    <w:rPr>
      <w:rFonts w:ascii="Calibri" w:eastAsia="Calibri" w:hAnsi="Calibri" w:cs="Mangal"/>
      <w:b/>
      <w:i w:val="0"/>
      <w:iCs/>
      <w:sz w:val="24"/>
      <w:szCs w:val="24"/>
      <w:lang w:eastAsia="en-US"/>
    </w:rPr>
  </w:style>
  <w:style w:type="character" w:customStyle="1" w:styleId="a9c850d23acbe4ed5b27604ff79f1bcd289">
    <w:name w:val="a9c850d23acbe4ed5b27604ff79f1bcd289"/>
    <w:qFormat/>
    <w:rsid w:val="006B148F"/>
    <w:rPr>
      <w:rFonts w:ascii="Calibri" w:hAnsi="Calibri"/>
      <w:b w:val="0"/>
      <w:sz w:val="24"/>
    </w:rPr>
  </w:style>
  <w:style w:type="paragraph" w:customStyle="1" w:styleId="nad">
    <w:name w:val="nad"/>
    <w:basedOn w:val="Legenda"/>
    <w:link w:val="nadZnak"/>
    <w:qFormat/>
    <w:rsid w:val="006B148F"/>
    <w:pPr>
      <w:keepNext/>
      <w:spacing w:before="240" w:after="0"/>
    </w:pPr>
    <w:rPr>
      <w:rFonts w:ascii="Calibri" w:eastAsia="Calibri" w:hAnsi="Calibri" w:cs="Times New Roman"/>
      <w:bCs/>
      <w:color w:val="373545"/>
      <w:sz w:val="24"/>
      <w:szCs w:val="24"/>
    </w:rPr>
  </w:style>
  <w:style w:type="character" w:customStyle="1" w:styleId="nadZnak">
    <w:name w:val="nad Znak"/>
    <w:link w:val="nad"/>
    <w:rsid w:val="006B148F"/>
    <w:rPr>
      <w:rFonts w:ascii="Calibri" w:eastAsia="Calibri" w:hAnsi="Calibri" w:cs="Times New Roman"/>
      <w:bCs/>
      <w:i/>
      <w:iCs/>
      <w:color w:val="373545"/>
      <w:sz w:val="24"/>
      <w:szCs w:val="24"/>
    </w:rPr>
  </w:style>
  <w:style w:type="paragraph" w:customStyle="1" w:styleId="nadWrOF">
    <w:name w:val="nad WrOF"/>
    <w:basedOn w:val="Legenda1"/>
    <w:link w:val="nadWrOFZnak"/>
    <w:qFormat/>
    <w:rsid w:val="00180408"/>
    <w:pPr>
      <w:keepNext/>
      <w:spacing w:before="120" w:after="0"/>
    </w:pPr>
    <w:rPr>
      <w:rFonts w:cs="Times New Roman"/>
      <w:color w:val="000000" w:themeColor="text1"/>
      <w:sz w:val="22"/>
    </w:rPr>
  </w:style>
  <w:style w:type="character" w:customStyle="1" w:styleId="nadWrOFZnak">
    <w:name w:val="nad WrOF Znak"/>
    <w:link w:val="nadWrOF"/>
    <w:rsid w:val="00180408"/>
    <w:rPr>
      <w:rFonts w:ascii="Calibri" w:eastAsia="Calibri" w:hAnsi="Calibri" w:cs="Times New Roman"/>
      <w:i/>
      <w:iCs/>
      <w:color w:val="000000" w:themeColor="text1"/>
      <w:szCs w:val="18"/>
    </w:rPr>
  </w:style>
  <w:style w:type="paragraph" w:customStyle="1" w:styleId="Spistreci41">
    <w:name w:val="Spis treści 41"/>
    <w:basedOn w:val="Normalny"/>
    <w:next w:val="Normalny"/>
    <w:autoRedefine/>
    <w:uiPriority w:val="39"/>
    <w:unhideWhenUsed/>
    <w:rsid w:val="006B148F"/>
    <w:pPr>
      <w:spacing w:before="120" w:after="100"/>
      <w:ind w:left="660"/>
    </w:pPr>
    <w:rPr>
      <w:rFonts w:ascii="Calibri" w:eastAsia="Times New Roman" w:hAnsi="Calibri" w:cs="Times New Roman"/>
      <w:lang w:eastAsia="pl-PL"/>
    </w:rPr>
  </w:style>
  <w:style w:type="paragraph" w:customStyle="1" w:styleId="Spistreci51">
    <w:name w:val="Spis treści 51"/>
    <w:basedOn w:val="Normalny"/>
    <w:next w:val="Normalny"/>
    <w:autoRedefine/>
    <w:uiPriority w:val="39"/>
    <w:unhideWhenUsed/>
    <w:rsid w:val="006B148F"/>
    <w:pPr>
      <w:spacing w:before="120" w:after="100"/>
      <w:ind w:left="880"/>
    </w:pPr>
    <w:rPr>
      <w:rFonts w:ascii="Calibri" w:eastAsia="Times New Roman" w:hAnsi="Calibri" w:cs="Times New Roman"/>
      <w:lang w:eastAsia="pl-PL"/>
    </w:rPr>
  </w:style>
  <w:style w:type="paragraph" w:customStyle="1" w:styleId="Spistreci61">
    <w:name w:val="Spis treści 61"/>
    <w:basedOn w:val="Normalny"/>
    <w:next w:val="Normalny"/>
    <w:autoRedefine/>
    <w:uiPriority w:val="39"/>
    <w:unhideWhenUsed/>
    <w:rsid w:val="006B148F"/>
    <w:pPr>
      <w:spacing w:before="120" w:after="100"/>
      <w:ind w:left="1100"/>
    </w:pPr>
    <w:rPr>
      <w:rFonts w:ascii="Calibri" w:eastAsia="Times New Roman" w:hAnsi="Calibri" w:cs="Times New Roman"/>
      <w:lang w:eastAsia="pl-PL"/>
    </w:rPr>
  </w:style>
  <w:style w:type="paragraph" w:customStyle="1" w:styleId="Spistreci71">
    <w:name w:val="Spis treści 71"/>
    <w:basedOn w:val="Normalny"/>
    <w:next w:val="Normalny"/>
    <w:autoRedefine/>
    <w:uiPriority w:val="39"/>
    <w:unhideWhenUsed/>
    <w:rsid w:val="006B148F"/>
    <w:pPr>
      <w:spacing w:before="120" w:after="100"/>
      <w:ind w:left="1320"/>
    </w:pPr>
    <w:rPr>
      <w:rFonts w:ascii="Calibri" w:eastAsia="Times New Roman" w:hAnsi="Calibri" w:cs="Times New Roman"/>
      <w:lang w:eastAsia="pl-PL"/>
    </w:rPr>
  </w:style>
  <w:style w:type="paragraph" w:customStyle="1" w:styleId="Spistreci81">
    <w:name w:val="Spis treści 81"/>
    <w:basedOn w:val="Normalny"/>
    <w:next w:val="Normalny"/>
    <w:autoRedefine/>
    <w:uiPriority w:val="39"/>
    <w:unhideWhenUsed/>
    <w:rsid w:val="006B148F"/>
    <w:pPr>
      <w:spacing w:before="120" w:after="100"/>
      <w:ind w:left="1540"/>
    </w:pPr>
    <w:rPr>
      <w:rFonts w:ascii="Calibri" w:eastAsia="Times New Roman" w:hAnsi="Calibri" w:cs="Times New Roman"/>
      <w:lang w:eastAsia="pl-PL"/>
    </w:rPr>
  </w:style>
  <w:style w:type="paragraph" w:customStyle="1" w:styleId="Spistreci91">
    <w:name w:val="Spis treści 91"/>
    <w:basedOn w:val="Normalny"/>
    <w:next w:val="Normalny"/>
    <w:autoRedefine/>
    <w:uiPriority w:val="39"/>
    <w:unhideWhenUsed/>
    <w:rsid w:val="006B148F"/>
    <w:pPr>
      <w:spacing w:before="120" w:after="100"/>
      <w:ind w:left="1760"/>
    </w:pPr>
    <w:rPr>
      <w:rFonts w:ascii="Calibri" w:eastAsia="Times New Roman" w:hAnsi="Calibri" w:cs="Times New Roman"/>
      <w:lang w:eastAsia="pl-PL"/>
    </w:rPr>
  </w:style>
  <w:style w:type="table" w:customStyle="1" w:styleId="Tabela-Siatka4">
    <w:name w:val="Tabela - Siatka4"/>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i4akcent11">
    <w:name w:val="Tabela siatki 4 — akcent 11"/>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
    <w:name w:val="Tabela siatki 5 — ciemna — akcent 11"/>
    <w:basedOn w:val="Standardowy"/>
    <w:uiPriority w:val="50"/>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
    <w:name w:val="Tabela siatki 4 — akcent 51"/>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xl65">
    <w:name w:val="xl65"/>
    <w:basedOn w:val="Normalny"/>
    <w:rsid w:val="006B148F"/>
    <w:pPr>
      <w:spacing w:before="100" w:beforeAutospacing="1" w:after="100" w:afterAutospacing="1" w:line="240" w:lineRule="auto"/>
      <w:textAlignment w:val="center"/>
    </w:pPr>
    <w:rPr>
      <w:rFonts w:ascii="Arial Narrow" w:eastAsia="Times New Roman" w:hAnsi="Arial Narrow" w:cs="Times New Roman"/>
      <w:lang w:eastAsia="pl-PL"/>
    </w:rPr>
  </w:style>
  <w:style w:type="paragraph" w:customStyle="1" w:styleId="xl66">
    <w:name w:val="xl66"/>
    <w:basedOn w:val="Normalny"/>
    <w:rsid w:val="006B148F"/>
    <w:pPr>
      <w:spacing w:before="100" w:beforeAutospacing="1" w:after="100" w:afterAutospacing="1" w:line="240" w:lineRule="auto"/>
      <w:jc w:val="center"/>
      <w:textAlignment w:val="center"/>
    </w:pPr>
    <w:rPr>
      <w:rFonts w:ascii="Arial Narrow" w:eastAsia="Times New Roman" w:hAnsi="Arial Narrow" w:cs="Times New Roman"/>
      <w:lang w:eastAsia="pl-PL"/>
    </w:rPr>
  </w:style>
  <w:style w:type="paragraph" w:customStyle="1" w:styleId="xl67">
    <w:name w:val="xl67"/>
    <w:basedOn w:val="Normalny"/>
    <w:rsid w:val="006B148F"/>
    <w:pPr>
      <w:spacing w:before="100" w:beforeAutospacing="1" w:after="100" w:afterAutospacing="1" w:line="240" w:lineRule="auto"/>
      <w:jc w:val="center"/>
      <w:textAlignment w:val="center"/>
    </w:pPr>
    <w:rPr>
      <w:rFonts w:ascii="Arial Narrow" w:eastAsia="Times New Roman" w:hAnsi="Arial Narrow" w:cs="Times New Roman"/>
      <w:b/>
      <w:bCs/>
      <w:lang w:eastAsia="pl-PL"/>
    </w:rPr>
  </w:style>
  <w:style w:type="paragraph" w:customStyle="1" w:styleId="xl68">
    <w:name w:val="xl68"/>
    <w:basedOn w:val="Normalny"/>
    <w:rsid w:val="006B148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69">
    <w:name w:val="xl69"/>
    <w:basedOn w:val="Normalny"/>
    <w:rsid w:val="006B1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70">
    <w:name w:val="xl70"/>
    <w:basedOn w:val="Normalny"/>
    <w:rsid w:val="006B1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lang w:eastAsia="pl-PL"/>
    </w:rPr>
  </w:style>
  <w:style w:type="paragraph" w:customStyle="1" w:styleId="xl71">
    <w:name w:val="xl71"/>
    <w:basedOn w:val="Normalny"/>
    <w:rsid w:val="006B1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lang w:eastAsia="pl-PL"/>
    </w:rPr>
  </w:style>
  <w:style w:type="paragraph" w:customStyle="1" w:styleId="xl72">
    <w:name w:val="xl72"/>
    <w:basedOn w:val="Normalny"/>
    <w:rsid w:val="006B1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lang w:eastAsia="pl-PL"/>
    </w:rPr>
  </w:style>
  <w:style w:type="paragraph" w:customStyle="1" w:styleId="xl73">
    <w:name w:val="xl73"/>
    <w:basedOn w:val="Normalny"/>
    <w:rsid w:val="006B1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lang w:eastAsia="pl-PL"/>
    </w:rPr>
  </w:style>
  <w:style w:type="character" w:customStyle="1" w:styleId="hps">
    <w:name w:val="hps"/>
    <w:rsid w:val="006B148F"/>
  </w:style>
  <w:style w:type="table" w:customStyle="1" w:styleId="Tabelasiatki4akcent52">
    <w:name w:val="Tabela siatki 4 — akcent 52"/>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wyrnienieSOM">
    <w:name w:val="wyróżnienie SŁOM"/>
    <w:basedOn w:val="Normalny"/>
    <w:link w:val="wyrnienieSOMZnak"/>
    <w:qFormat/>
    <w:rsid w:val="006B148F"/>
    <w:pPr>
      <w:spacing w:before="120" w:after="0"/>
    </w:pPr>
    <w:rPr>
      <w:rFonts w:ascii="Calibri" w:eastAsia="Calibri" w:hAnsi="Calibri" w:cs="Times New Roman"/>
      <w:color w:val="1B5F75"/>
    </w:rPr>
  </w:style>
  <w:style w:type="character" w:customStyle="1" w:styleId="wyrnienieSOMZnak">
    <w:name w:val="wyróżnienie SŁOM Znak"/>
    <w:link w:val="wyrnienieSOM"/>
    <w:rsid w:val="006B148F"/>
    <w:rPr>
      <w:rFonts w:ascii="Calibri" w:eastAsia="Calibri" w:hAnsi="Calibri" w:cs="Times New Roman"/>
      <w:color w:val="1B5F75"/>
    </w:rPr>
  </w:style>
  <w:style w:type="table" w:customStyle="1" w:styleId="Tabelasiatki1jasna1">
    <w:name w:val="Tabela siatki 1 — jasna1"/>
    <w:basedOn w:val="Standardowy"/>
    <w:uiPriority w:val="46"/>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istapunktowana1">
    <w:name w:val="Lista punktowana1"/>
    <w:basedOn w:val="Normalny"/>
    <w:next w:val="Listapunktowana"/>
    <w:uiPriority w:val="99"/>
    <w:unhideWhenUsed/>
    <w:rsid w:val="006B148F"/>
    <w:pPr>
      <w:numPr>
        <w:numId w:val="9"/>
      </w:numPr>
      <w:tabs>
        <w:tab w:val="clear" w:pos="360"/>
      </w:tabs>
      <w:spacing w:before="120" w:after="280"/>
      <w:ind w:left="720"/>
      <w:contextualSpacing/>
    </w:pPr>
    <w:rPr>
      <w:rFonts w:ascii="Calibri" w:eastAsia="Calibri" w:hAnsi="Calibri" w:cs="Times New Roman"/>
    </w:rPr>
  </w:style>
  <w:style w:type="paragraph" w:styleId="Listapunktowana">
    <w:name w:val="List Bullet"/>
    <w:basedOn w:val="Normalny"/>
    <w:uiPriority w:val="99"/>
    <w:unhideWhenUsed/>
    <w:rsid w:val="006B148F"/>
    <w:pPr>
      <w:numPr>
        <w:numId w:val="8"/>
      </w:numPr>
      <w:spacing w:line="259" w:lineRule="auto"/>
      <w:contextualSpacing/>
      <w:jc w:val="left"/>
    </w:pPr>
    <w:rPr>
      <w:rFonts w:ascii="Calibri" w:eastAsia="Calibri" w:hAnsi="Calibri" w:cs="Times New Roman"/>
    </w:rPr>
  </w:style>
  <w:style w:type="paragraph" w:customStyle="1" w:styleId="Spisilustracji1">
    <w:name w:val="Spis ilustracji1"/>
    <w:basedOn w:val="Normalny"/>
    <w:next w:val="Normalny"/>
    <w:uiPriority w:val="99"/>
    <w:unhideWhenUsed/>
    <w:rsid w:val="006B148F"/>
    <w:pPr>
      <w:spacing w:after="0" w:line="240" w:lineRule="auto"/>
    </w:pPr>
    <w:rPr>
      <w:rFonts w:ascii="Calibri" w:eastAsia="Calibri" w:hAnsi="Calibri" w:cs="Times New Roman"/>
      <w:i/>
      <w:sz w:val="18"/>
    </w:rPr>
  </w:style>
  <w:style w:type="paragraph" w:customStyle="1" w:styleId="podpis-rdo">
    <w:name w:val="podpis - źródło"/>
    <w:basedOn w:val="Normalny"/>
    <w:link w:val="podpis-rdoZnak"/>
    <w:qFormat/>
    <w:rsid w:val="006B148F"/>
    <w:pPr>
      <w:autoSpaceDE w:val="0"/>
      <w:autoSpaceDN w:val="0"/>
      <w:adjustRightInd w:val="0"/>
      <w:spacing w:after="200" w:line="240" w:lineRule="auto"/>
      <w:jc w:val="left"/>
    </w:pPr>
    <w:rPr>
      <w:rFonts w:ascii="Calibri Light" w:eastAsia="Calibri" w:hAnsi="Calibri Light" w:cs="Times New Roman"/>
      <w:i/>
      <w:color w:val="1D71B8"/>
      <w:sz w:val="16"/>
    </w:rPr>
  </w:style>
  <w:style w:type="character" w:customStyle="1" w:styleId="podpis-rdoZnak">
    <w:name w:val="podpis - źródło Znak"/>
    <w:link w:val="podpis-rdo"/>
    <w:rsid w:val="006B148F"/>
    <w:rPr>
      <w:rFonts w:ascii="Calibri Light" w:eastAsia="Calibri" w:hAnsi="Calibri Light" w:cs="Times New Roman"/>
      <w:i/>
      <w:color w:val="1D71B8"/>
      <w:sz w:val="16"/>
    </w:rPr>
  </w:style>
  <w:style w:type="paragraph" w:customStyle="1" w:styleId="Styl1">
    <w:name w:val="Styl1"/>
    <w:basedOn w:val="podpis-rdo"/>
    <w:link w:val="Styl1Znak"/>
    <w:qFormat/>
    <w:rsid w:val="006B148F"/>
    <w:pPr>
      <w:spacing w:before="120" w:after="0"/>
    </w:pPr>
  </w:style>
  <w:style w:type="character" w:customStyle="1" w:styleId="Styl1Znak">
    <w:name w:val="Styl1 Znak"/>
    <w:link w:val="Styl1"/>
    <w:rsid w:val="006B148F"/>
    <w:rPr>
      <w:rFonts w:ascii="Calibri Light" w:eastAsia="Calibri" w:hAnsi="Calibri Light" w:cs="Times New Roman"/>
      <w:i/>
      <w:color w:val="1D71B8"/>
      <w:sz w:val="16"/>
    </w:rPr>
  </w:style>
  <w:style w:type="table" w:customStyle="1" w:styleId="Tabela-Siatka7">
    <w:name w:val="Tabela - Siatka7"/>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i4akcent12">
    <w:name w:val="Tabela siatki 4 — akcent 12"/>
    <w:basedOn w:val="Standardowy"/>
    <w:next w:val="Tabelasiatki4akcent13"/>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4akcent13">
    <w:name w:val="Tabela siatki 4 — akcent 13"/>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7FC0DB"/>
        <w:left w:val="single" w:sz="4" w:space="0" w:color="7FC0DB"/>
        <w:bottom w:val="single" w:sz="4" w:space="0" w:color="7FC0DB"/>
        <w:right w:val="single" w:sz="4" w:space="0" w:color="7FC0DB"/>
        <w:insideH w:val="single" w:sz="4" w:space="0" w:color="7FC0DB"/>
        <w:insideV w:val="single" w:sz="4" w:space="0" w:color="7FC0DB"/>
      </w:tblBorders>
      <w:tblCellMar>
        <w:top w:w="0" w:type="dxa"/>
        <w:left w:w="108" w:type="dxa"/>
        <w:bottom w:w="0" w:type="dxa"/>
        <w:right w:w="108" w:type="dxa"/>
      </w:tblCellMar>
    </w:tblPr>
    <w:tblStylePr w:type="firstRow">
      <w:rPr>
        <w:b/>
        <w:bCs/>
        <w:color w:val="FFFFFF"/>
      </w:rPr>
      <w:tblPr/>
      <w:tcPr>
        <w:tcBorders>
          <w:top w:val="single" w:sz="4" w:space="0" w:color="3494BA"/>
          <w:left w:val="single" w:sz="4" w:space="0" w:color="3494BA"/>
          <w:bottom w:val="single" w:sz="4" w:space="0" w:color="3494BA"/>
          <w:right w:val="single" w:sz="4" w:space="0" w:color="3494BA"/>
          <w:insideH w:val="nil"/>
          <w:insideV w:val="nil"/>
        </w:tcBorders>
        <w:shd w:val="clear" w:color="auto" w:fill="3494BA"/>
      </w:tcPr>
    </w:tblStylePr>
    <w:tblStylePr w:type="lastRow">
      <w:rPr>
        <w:b/>
        <w:bCs/>
      </w:rPr>
      <w:tblPr/>
      <w:tcPr>
        <w:tcBorders>
          <w:top w:val="double" w:sz="4" w:space="0" w:color="3494BA"/>
        </w:tcBorders>
      </w:tcPr>
    </w:tblStylePr>
    <w:tblStylePr w:type="firstCol">
      <w:rPr>
        <w:b/>
        <w:bCs/>
      </w:rPr>
    </w:tblStylePr>
    <w:tblStylePr w:type="lastCol">
      <w:rPr>
        <w:b/>
        <w:bCs/>
      </w:rPr>
    </w:tblStylePr>
    <w:tblStylePr w:type="band1Vert">
      <w:tblPr/>
      <w:tcPr>
        <w:shd w:val="clear" w:color="auto" w:fill="D4EAF3"/>
      </w:tcPr>
    </w:tblStylePr>
    <w:tblStylePr w:type="band1Horz">
      <w:tblPr/>
      <w:tcPr>
        <w:shd w:val="clear" w:color="auto" w:fill="D4EAF3"/>
      </w:tcPr>
    </w:tblStylePr>
  </w:style>
  <w:style w:type="table" w:customStyle="1" w:styleId="Tabela-Siatka11">
    <w:name w:val="Tabela - Siatka11"/>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Jasnalistaakcent11">
    <w:name w:val="Jasna lista — akcent 11"/>
    <w:basedOn w:val="Standardowy"/>
    <w:uiPriority w:val="61"/>
    <w:rsid w:val="006B148F"/>
    <w:pPr>
      <w:spacing w:after="0" w:line="240" w:lineRule="auto"/>
    </w:pPr>
    <w:rPr>
      <w:rFonts w:ascii="Calibri" w:eastAsia="Calibri" w:hAnsi="Calibri" w:cs="Times New Roman"/>
    </w:rPr>
    <w:tblPr>
      <w:tblStyleRowBandSize w:val="1"/>
      <w:tblStyleColBandSize w:val="1"/>
      <w:tblInd w:w="0" w:type="dxa"/>
      <w:tblBorders>
        <w:top w:val="single" w:sz="8" w:space="0" w:color="3494BA"/>
        <w:left w:val="single" w:sz="8" w:space="0" w:color="3494BA"/>
        <w:bottom w:val="single" w:sz="8" w:space="0" w:color="3494BA"/>
        <w:right w:val="single" w:sz="8" w:space="0" w:color="3494BA"/>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3494BA"/>
      </w:tcPr>
    </w:tblStylePr>
    <w:tblStylePr w:type="lastRow">
      <w:pPr>
        <w:spacing w:before="0" w:after="0" w:line="240" w:lineRule="auto"/>
      </w:pPr>
      <w:rPr>
        <w:b/>
        <w:bCs/>
      </w:rPr>
      <w:tblPr/>
      <w:tcPr>
        <w:tcBorders>
          <w:top w:val="double" w:sz="6" w:space="0" w:color="3494BA"/>
          <w:left w:val="single" w:sz="8" w:space="0" w:color="3494BA"/>
          <w:bottom w:val="single" w:sz="8" w:space="0" w:color="3494BA"/>
          <w:right w:val="single" w:sz="8" w:space="0" w:color="3494BA"/>
        </w:tcBorders>
      </w:tcPr>
    </w:tblStylePr>
    <w:tblStylePr w:type="firstCol">
      <w:rPr>
        <w:b/>
        <w:bCs/>
      </w:rPr>
    </w:tblStylePr>
    <w:tblStylePr w:type="lastCol">
      <w:rPr>
        <w:b/>
        <w:bCs/>
      </w:rPr>
    </w:tblStylePr>
    <w:tblStylePr w:type="band1Vert">
      <w:tblPr/>
      <w:tcPr>
        <w:tcBorders>
          <w:top w:val="single" w:sz="8" w:space="0" w:color="3494BA"/>
          <w:left w:val="single" w:sz="8" w:space="0" w:color="3494BA"/>
          <w:bottom w:val="single" w:sz="8" w:space="0" w:color="3494BA"/>
          <w:right w:val="single" w:sz="8" w:space="0" w:color="3494BA"/>
        </w:tcBorders>
      </w:tcPr>
    </w:tblStylePr>
    <w:tblStylePr w:type="band1Horz">
      <w:tblPr/>
      <w:tcPr>
        <w:tcBorders>
          <w:top w:val="single" w:sz="8" w:space="0" w:color="3494BA"/>
          <w:left w:val="single" w:sz="8" w:space="0" w:color="3494BA"/>
          <w:bottom w:val="single" w:sz="8" w:space="0" w:color="3494BA"/>
          <w:right w:val="single" w:sz="8" w:space="0" w:color="3494BA"/>
        </w:tcBorders>
      </w:tcPr>
    </w:tblStylePr>
  </w:style>
  <w:style w:type="table" w:customStyle="1" w:styleId="Tabela-Siatka5">
    <w:name w:val="Tabela - Siatka5"/>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39"/>
    <w:rsid w:val="006B148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ny"/>
    <w:uiPriority w:val="1"/>
    <w:qFormat/>
    <w:rsid w:val="006B148F"/>
    <w:pPr>
      <w:widowControl w:val="0"/>
      <w:autoSpaceDE w:val="0"/>
      <w:autoSpaceDN w:val="0"/>
      <w:spacing w:after="0" w:line="240" w:lineRule="auto"/>
      <w:jc w:val="left"/>
    </w:pPr>
    <w:rPr>
      <w:rFonts w:ascii="Times New Roman" w:eastAsia="Times New Roman" w:hAnsi="Times New Roman" w:cs="Times New Roman"/>
    </w:rPr>
  </w:style>
  <w:style w:type="paragraph" w:customStyle="1" w:styleId="Spistreci42">
    <w:name w:val="Spis treści 42"/>
    <w:basedOn w:val="Normalny"/>
    <w:next w:val="Normalny"/>
    <w:autoRedefine/>
    <w:uiPriority w:val="39"/>
    <w:unhideWhenUsed/>
    <w:rsid w:val="006B148F"/>
    <w:pPr>
      <w:spacing w:before="120" w:after="100"/>
      <w:ind w:left="660"/>
    </w:pPr>
    <w:rPr>
      <w:rFonts w:ascii="Calibri" w:eastAsia="Times New Roman" w:hAnsi="Calibri" w:cs="Times New Roman"/>
      <w:lang w:eastAsia="pl-PL"/>
    </w:rPr>
  </w:style>
  <w:style w:type="paragraph" w:customStyle="1" w:styleId="Spistreci52">
    <w:name w:val="Spis treści 52"/>
    <w:basedOn w:val="Normalny"/>
    <w:next w:val="Normalny"/>
    <w:autoRedefine/>
    <w:uiPriority w:val="39"/>
    <w:unhideWhenUsed/>
    <w:rsid w:val="006B148F"/>
    <w:pPr>
      <w:spacing w:before="120" w:after="100"/>
      <w:ind w:left="880"/>
    </w:pPr>
    <w:rPr>
      <w:rFonts w:ascii="Calibri" w:eastAsia="Times New Roman" w:hAnsi="Calibri" w:cs="Times New Roman"/>
      <w:lang w:eastAsia="pl-PL"/>
    </w:rPr>
  </w:style>
  <w:style w:type="paragraph" w:customStyle="1" w:styleId="Spistreci62">
    <w:name w:val="Spis treści 62"/>
    <w:basedOn w:val="Normalny"/>
    <w:next w:val="Normalny"/>
    <w:autoRedefine/>
    <w:uiPriority w:val="39"/>
    <w:unhideWhenUsed/>
    <w:rsid w:val="006B148F"/>
    <w:pPr>
      <w:spacing w:before="120" w:after="100"/>
      <w:ind w:left="1100"/>
    </w:pPr>
    <w:rPr>
      <w:rFonts w:ascii="Calibri" w:eastAsia="Times New Roman" w:hAnsi="Calibri" w:cs="Times New Roman"/>
      <w:lang w:eastAsia="pl-PL"/>
    </w:rPr>
  </w:style>
  <w:style w:type="paragraph" w:customStyle="1" w:styleId="Spistreci72">
    <w:name w:val="Spis treści 72"/>
    <w:basedOn w:val="Normalny"/>
    <w:next w:val="Normalny"/>
    <w:autoRedefine/>
    <w:uiPriority w:val="39"/>
    <w:unhideWhenUsed/>
    <w:rsid w:val="006B148F"/>
    <w:pPr>
      <w:spacing w:before="120" w:after="100"/>
      <w:ind w:left="1320"/>
    </w:pPr>
    <w:rPr>
      <w:rFonts w:ascii="Calibri" w:eastAsia="Times New Roman" w:hAnsi="Calibri" w:cs="Times New Roman"/>
      <w:lang w:eastAsia="pl-PL"/>
    </w:rPr>
  </w:style>
  <w:style w:type="paragraph" w:customStyle="1" w:styleId="Spistreci82">
    <w:name w:val="Spis treści 82"/>
    <w:basedOn w:val="Normalny"/>
    <w:next w:val="Normalny"/>
    <w:autoRedefine/>
    <w:uiPriority w:val="39"/>
    <w:unhideWhenUsed/>
    <w:rsid w:val="006B148F"/>
    <w:pPr>
      <w:spacing w:before="120" w:after="100"/>
      <w:ind w:left="1540"/>
    </w:pPr>
    <w:rPr>
      <w:rFonts w:ascii="Calibri" w:eastAsia="Times New Roman" w:hAnsi="Calibri" w:cs="Times New Roman"/>
      <w:lang w:eastAsia="pl-PL"/>
    </w:rPr>
  </w:style>
  <w:style w:type="paragraph" w:customStyle="1" w:styleId="Spistreci92">
    <w:name w:val="Spis treści 92"/>
    <w:basedOn w:val="Normalny"/>
    <w:next w:val="Normalny"/>
    <w:autoRedefine/>
    <w:uiPriority w:val="39"/>
    <w:unhideWhenUsed/>
    <w:rsid w:val="006B148F"/>
    <w:pPr>
      <w:spacing w:before="120" w:after="100"/>
      <w:ind w:left="1760"/>
    </w:pPr>
    <w:rPr>
      <w:rFonts w:ascii="Calibri" w:eastAsia="Times New Roman" w:hAnsi="Calibri" w:cs="Times New Roman"/>
      <w:lang w:eastAsia="pl-PL"/>
    </w:rPr>
  </w:style>
  <w:style w:type="table" w:customStyle="1" w:styleId="Tabelasiatki4akcent111">
    <w:name w:val="Tabela siatki 4 — akcent 111"/>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5ciemnaakcent111">
    <w:name w:val="Tabela siatki 5 — ciemna — akcent 111"/>
    <w:basedOn w:val="Standardowy"/>
    <w:uiPriority w:val="50"/>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siatki4akcent511">
    <w:name w:val="Tabela siatki 4 — akcent 511"/>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4akcent521">
    <w:name w:val="Tabela siatki 4 — akcent 521"/>
    <w:basedOn w:val="Standardowy"/>
    <w:uiPriority w:val="49"/>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1jasna11">
    <w:name w:val="Tabela siatki 1 — jasna11"/>
    <w:basedOn w:val="Standardowy"/>
    <w:uiPriority w:val="46"/>
    <w:rsid w:val="006B148F"/>
    <w:pPr>
      <w:spacing w:after="0" w:line="240" w:lineRule="auto"/>
    </w:pPr>
    <w:rPr>
      <w:rFonts w:ascii="Calibri" w:eastAsia="Calibri" w:hAnsi="Calibri"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pisilustracji">
    <w:name w:val="table of figures"/>
    <w:basedOn w:val="Normalny"/>
    <w:next w:val="Normalny"/>
    <w:uiPriority w:val="99"/>
    <w:unhideWhenUsed/>
    <w:rsid w:val="00857609"/>
    <w:pPr>
      <w:spacing w:after="0" w:line="240" w:lineRule="auto"/>
    </w:pPr>
    <w:rPr>
      <w:rFonts w:ascii="Calibri" w:eastAsia="Calibri" w:hAnsi="Calibri" w:cs="Times New Roman"/>
      <w:i/>
    </w:rPr>
  </w:style>
  <w:style w:type="character" w:customStyle="1" w:styleId="c-timestamplabel">
    <w:name w:val="c-timestamp__label"/>
    <w:basedOn w:val="Domylnaczcionkaakapitu"/>
    <w:rsid w:val="006B148F"/>
  </w:style>
  <w:style w:type="character" w:customStyle="1" w:styleId="Nierozpoznanawzmianka1">
    <w:name w:val="Nierozpoznana wzmianka1"/>
    <w:uiPriority w:val="99"/>
    <w:semiHidden/>
    <w:unhideWhenUsed/>
    <w:rsid w:val="006B148F"/>
    <w:rPr>
      <w:color w:val="605E5C"/>
      <w:shd w:val="clear" w:color="auto" w:fill="E1DFDD"/>
    </w:rPr>
  </w:style>
  <w:style w:type="character" w:customStyle="1" w:styleId="cf01">
    <w:name w:val="cf01"/>
    <w:rsid w:val="006B148F"/>
    <w:rPr>
      <w:rFonts w:ascii="Segoe UI" w:hAnsi="Segoe UI" w:cs="Segoe UI" w:hint="default"/>
      <w:sz w:val="18"/>
      <w:szCs w:val="18"/>
    </w:rPr>
  </w:style>
  <w:style w:type="character" w:customStyle="1" w:styleId="mw-page-title-main">
    <w:name w:val="mw-page-title-main"/>
    <w:basedOn w:val="Domylnaczcionkaakapitu"/>
    <w:rsid w:val="006B148F"/>
  </w:style>
  <w:style w:type="paragraph" w:styleId="Tytu">
    <w:name w:val="Title"/>
    <w:basedOn w:val="Normalny"/>
    <w:next w:val="Normalny"/>
    <w:link w:val="TytuZnak"/>
    <w:uiPriority w:val="10"/>
    <w:qFormat/>
    <w:rsid w:val="006B148F"/>
    <w:pPr>
      <w:suppressAutoHyphens/>
      <w:spacing w:after="0" w:line="240" w:lineRule="auto"/>
      <w:contextualSpacing/>
      <w:jc w:val="left"/>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148F"/>
    <w:rPr>
      <w:rFonts w:asciiTheme="majorHAnsi" w:eastAsiaTheme="majorEastAsia" w:hAnsiTheme="majorHAnsi" w:cstheme="majorBidi"/>
      <w:spacing w:val="-10"/>
      <w:kern w:val="28"/>
      <w:sz w:val="56"/>
      <w:szCs w:val="56"/>
    </w:rPr>
  </w:style>
  <w:style w:type="character" w:customStyle="1" w:styleId="Nierozpoznanawzmianka2">
    <w:name w:val="Nierozpoznana wzmianka2"/>
    <w:uiPriority w:val="99"/>
    <w:semiHidden/>
    <w:unhideWhenUsed/>
    <w:rsid w:val="006B148F"/>
    <w:rPr>
      <w:color w:val="605E5C"/>
      <w:shd w:val="clear" w:color="auto" w:fill="E1DFDD"/>
    </w:rPr>
  </w:style>
  <w:style w:type="character" w:customStyle="1" w:styleId="pagewysiwyganchor">
    <w:name w:val="page_wysiwyg_anchor"/>
    <w:basedOn w:val="Domylnaczcionkaakapitu"/>
    <w:rsid w:val="006B148F"/>
  </w:style>
  <w:style w:type="paragraph" w:customStyle="1" w:styleId="podWrOF0">
    <w:name w:val="pod WrOF"/>
    <w:basedOn w:val="Normalny"/>
    <w:link w:val="podWrOFZnak0"/>
    <w:qFormat/>
    <w:rsid w:val="001473F1"/>
    <w:pPr>
      <w:spacing w:after="120" w:line="240" w:lineRule="auto"/>
      <w:jc w:val="left"/>
    </w:pPr>
    <w:rPr>
      <w:rFonts w:ascii="Calibri" w:eastAsia="Calibri" w:hAnsi="Calibri" w:cs="Times New Roman"/>
      <w:i/>
      <w:color w:val="000000" w:themeColor="text1"/>
      <w:szCs w:val="18"/>
    </w:rPr>
  </w:style>
  <w:style w:type="character" w:customStyle="1" w:styleId="podWrOFZnak0">
    <w:name w:val="pod WrOF Znak"/>
    <w:basedOn w:val="Domylnaczcionkaakapitu"/>
    <w:link w:val="podWrOF0"/>
    <w:rsid w:val="001473F1"/>
    <w:rPr>
      <w:rFonts w:ascii="Calibri" w:eastAsia="Calibri" w:hAnsi="Calibri" w:cs="Times New Roman"/>
      <w:i/>
      <w:color w:val="000000" w:themeColor="text1"/>
      <w:szCs w:val="18"/>
    </w:rPr>
  </w:style>
  <w:style w:type="numbering" w:customStyle="1" w:styleId="Bezlisty1">
    <w:name w:val="Bez listy1"/>
    <w:next w:val="Bezlisty"/>
    <w:uiPriority w:val="99"/>
    <w:semiHidden/>
    <w:unhideWhenUsed/>
    <w:rsid w:val="006B148F"/>
  </w:style>
  <w:style w:type="paragraph" w:customStyle="1" w:styleId="POD">
    <w:name w:val="POD"/>
    <w:basedOn w:val="Normalny"/>
    <w:link w:val="PODZnak"/>
    <w:qFormat/>
    <w:rsid w:val="006B148F"/>
    <w:pPr>
      <w:suppressAutoHyphens/>
      <w:spacing w:after="240" w:line="240" w:lineRule="auto"/>
    </w:pPr>
    <w:rPr>
      <w:rFonts w:ascii="Calibri" w:eastAsia="Calibri" w:hAnsi="Calibri" w:cs="Times New Roman"/>
      <w:i/>
      <w:color w:val="276E8B"/>
      <w:sz w:val="18"/>
    </w:rPr>
  </w:style>
  <w:style w:type="character" w:customStyle="1" w:styleId="PODZnak">
    <w:name w:val="POD Znak"/>
    <w:link w:val="POD"/>
    <w:rsid w:val="006B148F"/>
    <w:rPr>
      <w:rFonts w:ascii="Calibri" w:eastAsia="Calibri" w:hAnsi="Calibri" w:cs="Times New Roman"/>
      <w:i/>
      <w:color w:val="276E8B"/>
      <w:sz w:val="18"/>
    </w:rPr>
  </w:style>
  <w:style w:type="paragraph" w:customStyle="1" w:styleId="nadok">
    <w:name w:val="nad ok"/>
    <w:basedOn w:val="Legenda1"/>
    <w:link w:val="nadokZnak"/>
    <w:qFormat/>
    <w:rsid w:val="006B148F"/>
    <w:pPr>
      <w:keepNext/>
      <w:spacing w:before="120" w:after="0"/>
      <w:jc w:val="both"/>
    </w:pPr>
    <w:rPr>
      <w:rFonts w:cs="Times New Roman"/>
    </w:rPr>
  </w:style>
  <w:style w:type="character" w:customStyle="1" w:styleId="nadokZnak">
    <w:name w:val="nad ok Znak"/>
    <w:link w:val="nadok"/>
    <w:rsid w:val="006B148F"/>
    <w:rPr>
      <w:rFonts w:ascii="Calibri" w:eastAsia="Calibri" w:hAnsi="Calibri" w:cs="Times New Roman"/>
      <w:i/>
      <w:iCs/>
      <w:color w:val="44546A"/>
      <w:sz w:val="18"/>
      <w:szCs w:val="18"/>
    </w:rPr>
  </w:style>
  <w:style w:type="character" w:styleId="Wyrnienieintensywne">
    <w:name w:val="Intense Emphasis"/>
    <w:basedOn w:val="Domylnaczcionkaakapitu"/>
    <w:uiPriority w:val="21"/>
    <w:qFormat/>
    <w:rsid w:val="006B148F"/>
    <w:rPr>
      <w:i/>
      <w:iCs/>
      <w:color w:val="276E8B" w:themeColor="accent1" w:themeShade="BF"/>
    </w:rPr>
  </w:style>
  <w:style w:type="paragraph" w:styleId="Spistreci4">
    <w:name w:val="toc 4"/>
    <w:basedOn w:val="Normalny"/>
    <w:next w:val="Normalny"/>
    <w:autoRedefine/>
    <w:uiPriority w:val="39"/>
    <w:unhideWhenUsed/>
    <w:rsid w:val="006B148F"/>
    <w:pPr>
      <w:suppressAutoHyphens/>
      <w:spacing w:after="100" w:line="259" w:lineRule="auto"/>
      <w:ind w:left="660"/>
      <w:jc w:val="left"/>
    </w:pPr>
    <w:rPr>
      <w:rFonts w:ascii="Calibri" w:eastAsia="Calibri" w:hAnsi="Calibri" w:cs="font339"/>
    </w:rPr>
  </w:style>
  <w:style w:type="character" w:customStyle="1" w:styleId="Nierozpoznanawzmianka3">
    <w:name w:val="Nierozpoznana wzmianka3"/>
    <w:uiPriority w:val="99"/>
    <w:semiHidden/>
    <w:unhideWhenUsed/>
    <w:rsid w:val="006B148F"/>
    <w:rPr>
      <w:color w:val="605E5C"/>
      <w:shd w:val="clear" w:color="auto" w:fill="E1DFDD"/>
    </w:rPr>
  </w:style>
  <w:style w:type="character" w:customStyle="1" w:styleId="Nierozpoznanawzmianka4">
    <w:name w:val="Nierozpoznana wzmianka4"/>
    <w:uiPriority w:val="99"/>
    <w:semiHidden/>
    <w:unhideWhenUsed/>
    <w:rsid w:val="006B148F"/>
    <w:rPr>
      <w:color w:val="605E5C"/>
      <w:shd w:val="clear" w:color="auto" w:fill="E1DFDD"/>
    </w:rPr>
  </w:style>
  <w:style w:type="character" w:customStyle="1" w:styleId="Nierozpoznanawzmianka5">
    <w:name w:val="Nierozpoznana wzmianka5"/>
    <w:uiPriority w:val="99"/>
    <w:semiHidden/>
    <w:unhideWhenUsed/>
    <w:rsid w:val="006B148F"/>
    <w:rPr>
      <w:color w:val="605E5C"/>
      <w:shd w:val="clear" w:color="auto" w:fill="E1DFDD"/>
    </w:rPr>
  </w:style>
  <w:style w:type="paragraph" w:customStyle="1" w:styleId="pod0">
    <w:name w:val="pod"/>
    <w:basedOn w:val="Normalny"/>
    <w:link w:val="podZnak0"/>
    <w:qFormat/>
    <w:rsid w:val="006B148F"/>
    <w:pPr>
      <w:spacing w:after="120" w:line="240" w:lineRule="auto"/>
      <w:jc w:val="left"/>
    </w:pPr>
    <w:rPr>
      <w:rFonts w:ascii="Calibri" w:eastAsia="Calibri" w:hAnsi="Calibri" w:cs="Times New Roman"/>
      <w:i/>
      <w:color w:val="365F91"/>
      <w:sz w:val="18"/>
      <w:szCs w:val="18"/>
    </w:rPr>
  </w:style>
  <w:style w:type="character" w:customStyle="1" w:styleId="podZnak0">
    <w:name w:val="pod Znak"/>
    <w:basedOn w:val="Domylnaczcionkaakapitu"/>
    <w:link w:val="pod0"/>
    <w:rsid w:val="006B148F"/>
    <w:rPr>
      <w:rFonts w:ascii="Calibri" w:eastAsia="Calibri" w:hAnsi="Calibri" w:cs="Times New Roman"/>
      <w:i/>
      <w:color w:val="365F91"/>
      <w:sz w:val="18"/>
      <w:szCs w:val="18"/>
    </w:rPr>
  </w:style>
  <w:style w:type="character" w:customStyle="1" w:styleId="Nierozpoznanawzmianka6">
    <w:name w:val="Nierozpoznana wzmianka6"/>
    <w:basedOn w:val="Domylnaczcionkaakapitu"/>
    <w:uiPriority w:val="99"/>
    <w:semiHidden/>
    <w:unhideWhenUsed/>
    <w:rsid w:val="006B148F"/>
    <w:rPr>
      <w:color w:val="605E5C"/>
      <w:shd w:val="clear" w:color="auto" w:fill="E1DFDD"/>
    </w:rPr>
  </w:style>
  <w:style w:type="character" w:customStyle="1" w:styleId="Nierozpoznanawzmianka7">
    <w:name w:val="Nierozpoznana wzmianka7"/>
    <w:basedOn w:val="Domylnaczcionkaakapitu"/>
    <w:uiPriority w:val="99"/>
    <w:semiHidden/>
    <w:unhideWhenUsed/>
    <w:rsid w:val="006B148F"/>
    <w:rPr>
      <w:color w:val="605E5C"/>
      <w:shd w:val="clear" w:color="auto" w:fill="E1DFDD"/>
    </w:rPr>
  </w:style>
  <w:style w:type="paragraph" w:styleId="Spistreci5">
    <w:name w:val="toc 5"/>
    <w:basedOn w:val="Normalny"/>
    <w:next w:val="Normalny"/>
    <w:autoRedefine/>
    <w:uiPriority w:val="39"/>
    <w:unhideWhenUsed/>
    <w:rsid w:val="0036007C"/>
    <w:pPr>
      <w:spacing w:after="100" w:line="259" w:lineRule="auto"/>
      <w:ind w:left="880"/>
      <w:jc w:val="left"/>
    </w:pPr>
    <w:rPr>
      <w:rFonts w:eastAsiaTheme="minorEastAsia"/>
      <w:lang w:eastAsia="pl-PL"/>
    </w:rPr>
  </w:style>
  <w:style w:type="paragraph" w:styleId="Spistreci6">
    <w:name w:val="toc 6"/>
    <w:basedOn w:val="Normalny"/>
    <w:next w:val="Normalny"/>
    <w:autoRedefine/>
    <w:uiPriority w:val="39"/>
    <w:unhideWhenUsed/>
    <w:rsid w:val="0036007C"/>
    <w:pPr>
      <w:spacing w:after="100" w:line="259" w:lineRule="auto"/>
      <w:ind w:left="1100"/>
      <w:jc w:val="left"/>
    </w:pPr>
    <w:rPr>
      <w:rFonts w:eastAsiaTheme="minorEastAsia"/>
      <w:lang w:eastAsia="pl-PL"/>
    </w:rPr>
  </w:style>
  <w:style w:type="paragraph" w:styleId="Spistreci7">
    <w:name w:val="toc 7"/>
    <w:basedOn w:val="Normalny"/>
    <w:next w:val="Normalny"/>
    <w:autoRedefine/>
    <w:uiPriority w:val="39"/>
    <w:unhideWhenUsed/>
    <w:rsid w:val="0036007C"/>
    <w:pPr>
      <w:spacing w:after="100" w:line="259" w:lineRule="auto"/>
      <w:ind w:left="1320"/>
      <w:jc w:val="left"/>
    </w:pPr>
    <w:rPr>
      <w:rFonts w:eastAsiaTheme="minorEastAsia"/>
      <w:lang w:eastAsia="pl-PL"/>
    </w:rPr>
  </w:style>
  <w:style w:type="paragraph" w:styleId="Spistreci8">
    <w:name w:val="toc 8"/>
    <w:basedOn w:val="Normalny"/>
    <w:next w:val="Normalny"/>
    <w:autoRedefine/>
    <w:uiPriority w:val="39"/>
    <w:unhideWhenUsed/>
    <w:rsid w:val="0036007C"/>
    <w:pPr>
      <w:spacing w:after="100" w:line="259" w:lineRule="auto"/>
      <w:ind w:left="1540"/>
      <w:jc w:val="left"/>
    </w:pPr>
    <w:rPr>
      <w:rFonts w:eastAsiaTheme="minorEastAsia"/>
      <w:lang w:eastAsia="pl-PL"/>
    </w:rPr>
  </w:style>
  <w:style w:type="paragraph" w:styleId="Spistreci9">
    <w:name w:val="toc 9"/>
    <w:basedOn w:val="Normalny"/>
    <w:next w:val="Normalny"/>
    <w:autoRedefine/>
    <w:uiPriority w:val="39"/>
    <w:unhideWhenUsed/>
    <w:rsid w:val="0036007C"/>
    <w:pPr>
      <w:spacing w:after="100" w:line="259" w:lineRule="auto"/>
      <w:ind w:left="1760"/>
      <w:jc w:val="left"/>
    </w:pPr>
    <w:rPr>
      <w:rFonts w:eastAsiaTheme="minorEastAsia"/>
      <w:lang w:eastAsia="pl-PL"/>
    </w:rPr>
  </w:style>
  <w:style w:type="character" w:customStyle="1" w:styleId="Nierozpoznanawzmianka8">
    <w:name w:val="Nierozpoznana wzmianka8"/>
    <w:basedOn w:val="Domylnaczcionkaakapitu"/>
    <w:uiPriority w:val="99"/>
    <w:semiHidden/>
    <w:unhideWhenUsed/>
    <w:rsid w:val="0036007C"/>
    <w:rPr>
      <w:color w:val="605E5C"/>
      <w:shd w:val="clear" w:color="auto" w:fill="E1DFDD"/>
    </w:rPr>
  </w:style>
  <w:style w:type="character" w:customStyle="1" w:styleId="Nagwek6Znak">
    <w:name w:val="Nagłówek 6 Znak"/>
    <w:basedOn w:val="Domylnaczcionkaakapitu"/>
    <w:link w:val="Nagwek6"/>
    <w:uiPriority w:val="9"/>
    <w:rsid w:val="00340206"/>
    <w:rPr>
      <w:rFonts w:asciiTheme="majorHAnsi" w:eastAsiaTheme="majorEastAsia" w:hAnsiTheme="majorHAnsi" w:cstheme="majorBidi"/>
      <w:color w:val="1A495C" w:themeColor="accent1" w:themeShade="7F"/>
    </w:rPr>
  </w:style>
  <w:style w:type="character" w:customStyle="1" w:styleId="Nagwek7Znak">
    <w:name w:val="Nagłówek 7 Znak"/>
    <w:basedOn w:val="Domylnaczcionkaakapitu"/>
    <w:link w:val="Nagwek7"/>
    <w:uiPriority w:val="9"/>
    <w:rsid w:val="00340206"/>
    <w:rPr>
      <w:rFonts w:asciiTheme="majorHAnsi" w:eastAsiaTheme="majorEastAsia" w:hAnsiTheme="majorHAnsi" w:cstheme="majorBidi"/>
      <w:i/>
      <w:iCs/>
      <w:color w:val="1A495C" w:themeColor="accent1" w:themeShade="7F"/>
    </w:rPr>
  </w:style>
  <w:style w:type="character" w:customStyle="1" w:styleId="Nagwek8Znak">
    <w:name w:val="Nagłówek 8 Znak"/>
    <w:basedOn w:val="Domylnaczcionkaakapitu"/>
    <w:link w:val="Nagwek8"/>
    <w:uiPriority w:val="9"/>
    <w:rsid w:val="00340206"/>
    <w:rPr>
      <w:rFonts w:asciiTheme="majorHAnsi" w:eastAsiaTheme="majorEastAsia" w:hAnsiTheme="majorHAnsi" w:cstheme="majorBidi"/>
      <w:color w:val="272727" w:themeColor="text1" w:themeTint="D8"/>
      <w:sz w:val="21"/>
      <w:szCs w:val="21"/>
    </w:rPr>
  </w:style>
  <w:style w:type="character" w:customStyle="1" w:styleId="Nierozpoznanawzmianka9">
    <w:name w:val="Nierozpoznana wzmianka9"/>
    <w:basedOn w:val="Domylnaczcionkaakapitu"/>
    <w:uiPriority w:val="99"/>
    <w:semiHidden/>
    <w:unhideWhenUsed/>
    <w:rsid w:val="009E7B91"/>
    <w:rPr>
      <w:color w:val="605E5C"/>
      <w:shd w:val="clear" w:color="auto" w:fill="E1DFDD"/>
    </w:rPr>
  </w:style>
  <w:style w:type="paragraph" w:customStyle="1" w:styleId="Standard">
    <w:name w:val="Standard"/>
    <w:rsid w:val="009E7B91"/>
    <w:pPr>
      <w:suppressAutoHyphens/>
      <w:autoSpaceDN w:val="0"/>
      <w:textAlignment w:val="baseline"/>
    </w:pPr>
    <w:rPr>
      <w:rFonts w:ascii="Calibri" w:eastAsia="Calibri" w:hAnsi="Calibri" w:cs="font339"/>
    </w:rPr>
  </w:style>
  <w:style w:type="character" w:customStyle="1" w:styleId="Footnoteanchor">
    <w:name w:val="Footnote anchor"/>
    <w:rsid w:val="009E7B91"/>
    <w:rPr>
      <w:position w:val="0"/>
      <w:vertAlign w:val="superscript"/>
    </w:rPr>
  </w:style>
  <w:style w:type="numbering" w:customStyle="1" w:styleId="WWNum58">
    <w:name w:val="WWNum58"/>
    <w:basedOn w:val="Bezlisty"/>
    <w:rsid w:val="009E7B91"/>
    <w:pPr>
      <w:numPr>
        <w:numId w:val="13"/>
      </w:numPr>
    </w:pPr>
  </w:style>
  <w:style w:type="paragraph" w:customStyle="1" w:styleId="wyrsynt">
    <w:name w:val="wyr synt"/>
    <w:basedOn w:val="Normalny"/>
    <w:link w:val="wyrsyntZnak"/>
    <w:qFormat/>
    <w:rsid w:val="000530A7"/>
    <w:pPr>
      <w:spacing w:before="240" w:after="0"/>
    </w:pPr>
    <w:rPr>
      <w:rFonts w:cstheme="minorHAnsi"/>
      <w:b/>
      <w:color w:val="276E8B"/>
    </w:rPr>
  </w:style>
  <w:style w:type="character" w:customStyle="1" w:styleId="wyrsyntZnak">
    <w:name w:val="wyr synt Znak"/>
    <w:basedOn w:val="Domylnaczcionkaakapitu"/>
    <w:link w:val="wyrsynt"/>
    <w:rsid w:val="000530A7"/>
    <w:rPr>
      <w:rFonts w:cstheme="minorHAnsi"/>
      <w:b/>
      <w:color w:val="276E8B"/>
    </w:rPr>
  </w:style>
  <w:style w:type="paragraph" w:customStyle="1" w:styleId="AAAtekst">
    <w:name w:val="AAA_tekst"/>
    <w:basedOn w:val="Normalny"/>
    <w:rsid w:val="000C5D23"/>
    <w:pPr>
      <w:spacing w:after="120" w:line="280" w:lineRule="exact"/>
      <w:ind w:firstLine="709"/>
    </w:pPr>
    <w:rPr>
      <w:rFonts w:ascii="Times New Roman" w:eastAsia="Calibri" w:hAnsi="Times New Roman" w:cs="Times New Roman"/>
      <w:sz w:val="24"/>
      <w:szCs w:val="24"/>
    </w:rPr>
  </w:style>
  <w:style w:type="character" w:customStyle="1" w:styleId="CharAttribute13">
    <w:name w:val="CharAttribute13"/>
    <w:rsid w:val="008A2F4F"/>
    <w:rPr>
      <w:rFonts w:ascii="Verdana" w:hAnsi="Verdana"/>
      <w:color w:val="00B050"/>
    </w:rPr>
  </w:style>
  <w:style w:type="character" w:customStyle="1" w:styleId="NormalnyWebZnak">
    <w:name w:val="Normalny (Web) Znak"/>
    <w:link w:val="NormalnyWeb"/>
    <w:rsid w:val="00B35164"/>
    <w:rPr>
      <w:rFonts w:ascii="Times New Roman" w:eastAsia="Times New Roman" w:hAnsi="Times New Roman" w:cs="Times New Roman"/>
      <w:sz w:val="24"/>
      <w:szCs w:val="24"/>
      <w:lang w:eastAsia="pl-PL"/>
    </w:rPr>
  </w:style>
  <w:style w:type="table" w:customStyle="1" w:styleId="Tabela-Siatka6">
    <w:name w:val="Tabela - Siatka6"/>
    <w:basedOn w:val="Standardowy"/>
    <w:next w:val="Tabela-Siatka"/>
    <w:uiPriority w:val="39"/>
    <w:rsid w:val="00216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39"/>
    <w:rsid w:val="00216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0">
    <w:name w:val="Nierozpoznana wzmianka10"/>
    <w:basedOn w:val="Domylnaczcionkaakapitu"/>
    <w:uiPriority w:val="99"/>
    <w:semiHidden/>
    <w:unhideWhenUsed/>
    <w:rsid w:val="00A02854"/>
    <w:rPr>
      <w:color w:val="605E5C"/>
      <w:shd w:val="clear" w:color="auto" w:fill="E1DFDD"/>
    </w:rPr>
  </w:style>
  <w:style w:type="character" w:customStyle="1" w:styleId="left">
    <w:name w:val="left"/>
    <w:basedOn w:val="Domylnaczcionkaakapitu"/>
    <w:rsid w:val="00313845"/>
  </w:style>
  <w:style w:type="table" w:customStyle="1" w:styleId="Tabelasiatki4akcent41">
    <w:name w:val="Tabela siatki 4 — akcent 41"/>
    <w:basedOn w:val="Standardowy"/>
    <w:uiPriority w:val="49"/>
    <w:rsid w:val="00A51ECC"/>
    <w:pPr>
      <w:spacing w:after="0" w:line="360" w:lineRule="auto"/>
      <w:ind w:firstLine="709"/>
    </w:pPr>
    <w:rPr>
      <w:rFonts w:eastAsia="Times New Roman"/>
    </w:rPr>
    <w:tblPr>
      <w:tblStyleRowBandSize w:val="1"/>
      <w:tblStyleColBandSize w:val="1"/>
      <w:tblInd w:w="0" w:type="dxa"/>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401">
      <w:bodyDiv w:val="1"/>
      <w:marLeft w:val="0"/>
      <w:marRight w:val="0"/>
      <w:marTop w:val="0"/>
      <w:marBottom w:val="0"/>
      <w:divBdr>
        <w:top w:val="none" w:sz="0" w:space="0" w:color="auto"/>
        <w:left w:val="none" w:sz="0" w:space="0" w:color="auto"/>
        <w:bottom w:val="none" w:sz="0" w:space="0" w:color="auto"/>
        <w:right w:val="none" w:sz="0" w:space="0" w:color="auto"/>
      </w:divBdr>
    </w:div>
    <w:div w:id="15349087">
      <w:bodyDiv w:val="1"/>
      <w:marLeft w:val="0"/>
      <w:marRight w:val="0"/>
      <w:marTop w:val="0"/>
      <w:marBottom w:val="0"/>
      <w:divBdr>
        <w:top w:val="none" w:sz="0" w:space="0" w:color="auto"/>
        <w:left w:val="none" w:sz="0" w:space="0" w:color="auto"/>
        <w:bottom w:val="none" w:sz="0" w:space="0" w:color="auto"/>
        <w:right w:val="none" w:sz="0" w:space="0" w:color="auto"/>
      </w:divBdr>
    </w:div>
    <w:div w:id="21446658">
      <w:bodyDiv w:val="1"/>
      <w:marLeft w:val="0"/>
      <w:marRight w:val="0"/>
      <w:marTop w:val="0"/>
      <w:marBottom w:val="0"/>
      <w:divBdr>
        <w:top w:val="none" w:sz="0" w:space="0" w:color="auto"/>
        <w:left w:val="none" w:sz="0" w:space="0" w:color="auto"/>
        <w:bottom w:val="none" w:sz="0" w:space="0" w:color="auto"/>
        <w:right w:val="none" w:sz="0" w:space="0" w:color="auto"/>
      </w:divBdr>
    </w:div>
    <w:div w:id="28529879">
      <w:bodyDiv w:val="1"/>
      <w:marLeft w:val="0"/>
      <w:marRight w:val="0"/>
      <w:marTop w:val="0"/>
      <w:marBottom w:val="0"/>
      <w:divBdr>
        <w:top w:val="none" w:sz="0" w:space="0" w:color="auto"/>
        <w:left w:val="none" w:sz="0" w:space="0" w:color="auto"/>
        <w:bottom w:val="none" w:sz="0" w:space="0" w:color="auto"/>
        <w:right w:val="none" w:sz="0" w:space="0" w:color="auto"/>
      </w:divBdr>
    </w:div>
    <w:div w:id="28724025">
      <w:bodyDiv w:val="1"/>
      <w:marLeft w:val="0"/>
      <w:marRight w:val="0"/>
      <w:marTop w:val="0"/>
      <w:marBottom w:val="0"/>
      <w:divBdr>
        <w:top w:val="none" w:sz="0" w:space="0" w:color="auto"/>
        <w:left w:val="none" w:sz="0" w:space="0" w:color="auto"/>
        <w:bottom w:val="none" w:sz="0" w:space="0" w:color="auto"/>
        <w:right w:val="none" w:sz="0" w:space="0" w:color="auto"/>
      </w:divBdr>
    </w:div>
    <w:div w:id="29963834">
      <w:bodyDiv w:val="1"/>
      <w:marLeft w:val="0"/>
      <w:marRight w:val="0"/>
      <w:marTop w:val="0"/>
      <w:marBottom w:val="0"/>
      <w:divBdr>
        <w:top w:val="none" w:sz="0" w:space="0" w:color="auto"/>
        <w:left w:val="none" w:sz="0" w:space="0" w:color="auto"/>
        <w:bottom w:val="none" w:sz="0" w:space="0" w:color="auto"/>
        <w:right w:val="none" w:sz="0" w:space="0" w:color="auto"/>
      </w:divBdr>
    </w:div>
    <w:div w:id="45228144">
      <w:bodyDiv w:val="1"/>
      <w:marLeft w:val="0"/>
      <w:marRight w:val="0"/>
      <w:marTop w:val="0"/>
      <w:marBottom w:val="0"/>
      <w:divBdr>
        <w:top w:val="none" w:sz="0" w:space="0" w:color="auto"/>
        <w:left w:val="none" w:sz="0" w:space="0" w:color="auto"/>
        <w:bottom w:val="none" w:sz="0" w:space="0" w:color="auto"/>
        <w:right w:val="none" w:sz="0" w:space="0" w:color="auto"/>
      </w:divBdr>
    </w:div>
    <w:div w:id="59985415">
      <w:bodyDiv w:val="1"/>
      <w:marLeft w:val="0"/>
      <w:marRight w:val="0"/>
      <w:marTop w:val="0"/>
      <w:marBottom w:val="0"/>
      <w:divBdr>
        <w:top w:val="none" w:sz="0" w:space="0" w:color="auto"/>
        <w:left w:val="none" w:sz="0" w:space="0" w:color="auto"/>
        <w:bottom w:val="none" w:sz="0" w:space="0" w:color="auto"/>
        <w:right w:val="none" w:sz="0" w:space="0" w:color="auto"/>
      </w:divBdr>
    </w:div>
    <w:div w:id="65080385">
      <w:bodyDiv w:val="1"/>
      <w:marLeft w:val="0"/>
      <w:marRight w:val="0"/>
      <w:marTop w:val="0"/>
      <w:marBottom w:val="0"/>
      <w:divBdr>
        <w:top w:val="none" w:sz="0" w:space="0" w:color="auto"/>
        <w:left w:val="none" w:sz="0" w:space="0" w:color="auto"/>
        <w:bottom w:val="none" w:sz="0" w:space="0" w:color="auto"/>
        <w:right w:val="none" w:sz="0" w:space="0" w:color="auto"/>
      </w:divBdr>
    </w:div>
    <w:div w:id="70859876">
      <w:bodyDiv w:val="1"/>
      <w:marLeft w:val="0"/>
      <w:marRight w:val="0"/>
      <w:marTop w:val="0"/>
      <w:marBottom w:val="0"/>
      <w:divBdr>
        <w:top w:val="none" w:sz="0" w:space="0" w:color="auto"/>
        <w:left w:val="none" w:sz="0" w:space="0" w:color="auto"/>
        <w:bottom w:val="none" w:sz="0" w:space="0" w:color="auto"/>
        <w:right w:val="none" w:sz="0" w:space="0" w:color="auto"/>
      </w:divBdr>
    </w:div>
    <w:div w:id="101345828">
      <w:bodyDiv w:val="1"/>
      <w:marLeft w:val="0"/>
      <w:marRight w:val="0"/>
      <w:marTop w:val="0"/>
      <w:marBottom w:val="0"/>
      <w:divBdr>
        <w:top w:val="none" w:sz="0" w:space="0" w:color="auto"/>
        <w:left w:val="none" w:sz="0" w:space="0" w:color="auto"/>
        <w:bottom w:val="none" w:sz="0" w:space="0" w:color="auto"/>
        <w:right w:val="none" w:sz="0" w:space="0" w:color="auto"/>
      </w:divBdr>
    </w:div>
    <w:div w:id="137041826">
      <w:bodyDiv w:val="1"/>
      <w:marLeft w:val="0"/>
      <w:marRight w:val="0"/>
      <w:marTop w:val="0"/>
      <w:marBottom w:val="0"/>
      <w:divBdr>
        <w:top w:val="none" w:sz="0" w:space="0" w:color="auto"/>
        <w:left w:val="none" w:sz="0" w:space="0" w:color="auto"/>
        <w:bottom w:val="none" w:sz="0" w:space="0" w:color="auto"/>
        <w:right w:val="none" w:sz="0" w:space="0" w:color="auto"/>
      </w:divBdr>
    </w:div>
    <w:div w:id="153186186">
      <w:bodyDiv w:val="1"/>
      <w:marLeft w:val="0"/>
      <w:marRight w:val="0"/>
      <w:marTop w:val="0"/>
      <w:marBottom w:val="0"/>
      <w:divBdr>
        <w:top w:val="none" w:sz="0" w:space="0" w:color="auto"/>
        <w:left w:val="none" w:sz="0" w:space="0" w:color="auto"/>
        <w:bottom w:val="none" w:sz="0" w:space="0" w:color="auto"/>
        <w:right w:val="none" w:sz="0" w:space="0" w:color="auto"/>
      </w:divBdr>
    </w:div>
    <w:div w:id="172653453">
      <w:bodyDiv w:val="1"/>
      <w:marLeft w:val="0"/>
      <w:marRight w:val="0"/>
      <w:marTop w:val="0"/>
      <w:marBottom w:val="0"/>
      <w:divBdr>
        <w:top w:val="none" w:sz="0" w:space="0" w:color="auto"/>
        <w:left w:val="none" w:sz="0" w:space="0" w:color="auto"/>
        <w:bottom w:val="none" w:sz="0" w:space="0" w:color="auto"/>
        <w:right w:val="none" w:sz="0" w:space="0" w:color="auto"/>
      </w:divBdr>
    </w:div>
    <w:div w:id="174154393">
      <w:bodyDiv w:val="1"/>
      <w:marLeft w:val="0"/>
      <w:marRight w:val="0"/>
      <w:marTop w:val="0"/>
      <w:marBottom w:val="0"/>
      <w:divBdr>
        <w:top w:val="none" w:sz="0" w:space="0" w:color="auto"/>
        <w:left w:val="none" w:sz="0" w:space="0" w:color="auto"/>
        <w:bottom w:val="none" w:sz="0" w:space="0" w:color="auto"/>
        <w:right w:val="none" w:sz="0" w:space="0" w:color="auto"/>
      </w:divBdr>
    </w:div>
    <w:div w:id="193228100">
      <w:bodyDiv w:val="1"/>
      <w:marLeft w:val="0"/>
      <w:marRight w:val="0"/>
      <w:marTop w:val="0"/>
      <w:marBottom w:val="0"/>
      <w:divBdr>
        <w:top w:val="none" w:sz="0" w:space="0" w:color="auto"/>
        <w:left w:val="none" w:sz="0" w:space="0" w:color="auto"/>
        <w:bottom w:val="none" w:sz="0" w:space="0" w:color="auto"/>
        <w:right w:val="none" w:sz="0" w:space="0" w:color="auto"/>
      </w:divBdr>
    </w:div>
    <w:div w:id="227375594">
      <w:bodyDiv w:val="1"/>
      <w:marLeft w:val="0"/>
      <w:marRight w:val="0"/>
      <w:marTop w:val="0"/>
      <w:marBottom w:val="0"/>
      <w:divBdr>
        <w:top w:val="none" w:sz="0" w:space="0" w:color="auto"/>
        <w:left w:val="none" w:sz="0" w:space="0" w:color="auto"/>
        <w:bottom w:val="none" w:sz="0" w:space="0" w:color="auto"/>
        <w:right w:val="none" w:sz="0" w:space="0" w:color="auto"/>
      </w:divBdr>
    </w:div>
    <w:div w:id="254174495">
      <w:bodyDiv w:val="1"/>
      <w:marLeft w:val="0"/>
      <w:marRight w:val="0"/>
      <w:marTop w:val="0"/>
      <w:marBottom w:val="0"/>
      <w:divBdr>
        <w:top w:val="none" w:sz="0" w:space="0" w:color="auto"/>
        <w:left w:val="none" w:sz="0" w:space="0" w:color="auto"/>
        <w:bottom w:val="none" w:sz="0" w:space="0" w:color="auto"/>
        <w:right w:val="none" w:sz="0" w:space="0" w:color="auto"/>
      </w:divBdr>
    </w:div>
    <w:div w:id="255792482">
      <w:bodyDiv w:val="1"/>
      <w:marLeft w:val="0"/>
      <w:marRight w:val="0"/>
      <w:marTop w:val="0"/>
      <w:marBottom w:val="0"/>
      <w:divBdr>
        <w:top w:val="none" w:sz="0" w:space="0" w:color="auto"/>
        <w:left w:val="none" w:sz="0" w:space="0" w:color="auto"/>
        <w:bottom w:val="none" w:sz="0" w:space="0" w:color="auto"/>
        <w:right w:val="none" w:sz="0" w:space="0" w:color="auto"/>
      </w:divBdr>
    </w:div>
    <w:div w:id="266347900">
      <w:bodyDiv w:val="1"/>
      <w:marLeft w:val="0"/>
      <w:marRight w:val="0"/>
      <w:marTop w:val="0"/>
      <w:marBottom w:val="0"/>
      <w:divBdr>
        <w:top w:val="none" w:sz="0" w:space="0" w:color="auto"/>
        <w:left w:val="none" w:sz="0" w:space="0" w:color="auto"/>
        <w:bottom w:val="none" w:sz="0" w:space="0" w:color="auto"/>
        <w:right w:val="none" w:sz="0" w:space="0" w:color="auto"/>
      </w:divBdr>
    </w:div>
    <w:div w:id="314840128">
      <w:bodyDiv w:val="1"/>
      <w:marLeft w:val="0"/>
      <w:marRight w:val="0"/>
      <w:marTop w:val="0"/>
      <w:marBottom w:val="0"/>
      <w:divBdr>
        <w:top w:val="none" w:sz="0" w:space="0" w:color="auto"/>
        <w:left w:val="none" w:sz="0" w:space="0" w:color="auto"/>
        <w:bottom w:val="none" w:sz="0" w:space="0" w:color="auto"/>
        <w:right w:val="none" w:sz="0" w:space="0" w:color="auto"/>
      </w:divBdr>
    </w:div>
    <w:div w:id="318770055">
      <w:bodyDiv w:val="1"/>
      <w:marLeft w:val="0"/>
      <w:marRight w:val="0"/>
      <w:marTop w:val="0"/>
      <w:marBottom w:val="0"/>
      <w:divBdr>
        <w:top w:val="none" w:sz="0" w:space="0" w:color="auto"/>
        <w:left w:val="none" w:sz="0" w:space="0" w:color="auto"/>
        <w:bottom w:val="none" w:sz="0" w:space="0" w:color="auto"/>
        <w:right w:val="none" w:sz="0" w:space="0" w:color="auto"/>
      </w:divBdr>
    </w:div>
    <w:div w:id="335379335">
      <w:bodyDiv w:val="1"/>
      <w:marLeft w:val="0"/>
      <w:marRight w:val="0"/>
      <w:marTop w:val="0"/>
      <w:marBottom w:val="0"/>
      <w:divBdr>
        <w:top w:val="none" w:sz="0" w:space="0" w:color="auto"/>
        <w:left w:val="none" w:sz="0" w:space="0" w:color="auto"/>
        <w:bottom w:val="none" w:sz="0" w:space="0" w:color="auto"/>
        <w:right w:val="none" w:sz="0" w:space="0" w:color="auto"/>
      </w:divBdr>
    </w:div>
    <w:div w:id="351339982">
      <w:bodyDiv w:val="1"/>
      <w:marLeft w:val="0"/>
      <w:marRight w:val="0"/>
      <w:marTop w:val="0"/>
      <w:marBottom w:val="0"/>
      <w:divBdr>
        <w:top w:val="none" w:sz="0" w:space="0" w:color="auto"/>
        <w:left w:val="none" w:sz="0" w:space="0" w:color="auto"/>
        <w:bottom w:val="none" w:sz="0" w:space="0" w:color="auto"/>
        <w:right w:val="none" w:sz="0" w:space="0" w:color="auto"/>
      </w:divBdr>
    </w:div>
    <w:div w:id="351494411">
      <w:bodyDiv w:val="1"/>
      <w:marLeft w:val="0"/>
      <w:marRight w:val="0"/>
      <w:marTop w:val="0"/>
      <w:marBottom w:val="0"/>
      <w:divBdr>
        <w:top w:val="none" w:sz="0" w:space="0" w:color="auto"/>
        <w:left w:val="none" w:sz="0" w:space="0" w:color="auto"/>
        <w:bottom w:val="none" w:sz="0" w:space="0" w:color="auto"/>
        <w:right w:val="none" w:sz="0" w:space="0" w:color="auto"/>
      </w:divBdr>
    </w:div>
    <w:div w:id="354506475">
      <w:bodyDiv w:val="1"/>
      <w:marLeft w:val="0"/>
      <w:marRight w:val="0"/>
      <w:marTop w:val="0"/>
      <w:marBottom w:val="0"/>
      <w:divBdr>
        <w:top w:val="none" w:sz="0" w:space="0" w:color="auto"/>
        <w:left w:val="none" w:sz="0" w:space="0" w:color="auto"/>
        <w:bottom w:val="none" w:sz="0" w:space="0" w:color="auto"/>
        <w:right w:val="none" w:sz="0" w:space="0" w:color="auto"/>
      </w:divBdr>
    </w:div>
    <w:div w:id="354695033">
      <w:bodyDiv w:val="1"/>
      <w:marLeft w:val="0"/>
      <w:marRight w:val="0"/>
      <w:marTop w:val="0"/>
      <w:marBottom w:val="0"/>
      <w:divBdr>
        <w:top w:val="none" w:sz="0" w:space="0" w:color="auto"/>
        <w:left w:val="none" w:sz="0" w:space="0" w:color="auto"/>
        <w:bottom w:val="none" w:sz="0" w:space="0" w:color="auto"/>
        <w:right w:val="none" w:sz="0" w:space="0" w:color="auto"/>
      </w:divBdr>
    </w:div>
    <w:div w:id="358623573">
      <w:bodyDiv w:val="1"/>
      <w:marLeft w:val="0"/>
      <w:marRight w:val="0"/>
      <w:marTop w:val="0"/>
      <w:marBottom w:val="0"/>
      <w:divBdr>
        <w:top w:val="none" w:sz="0" w:space="0" w:color="auto"/>
        <w:left w:val="none" w:sz="0" w:space="0" w:color="auto"/>
        <w:bottom w:val="none" w:sz="0" w:space="0" w:color="auto"/>
        <w:right w:val="none" w:sz="0" w:space="0" w:color="auto"/>
      </w:divBdr>
    </w:div>
    <w:div w:id="385490378">
      <w:bodyDiv w:val="1"/>
      <w:marLeft w:val="0"/>
      <w:marRight w:val="0"/>
      <w:marTop w:val="0"/>
      <w:marBottom w:val="0"/>
      <w:divBdr>
        <w:top w:val="none" w:sz="0" w:space="0" w:color="auto"/>
        <w:left w:val="none" w:sz="0" w:space="0" w:color="auto"/>
        <w:bottom w:val="none" w:sz="0" w:space="0" w:color="auto"/>
        <w:right w:val="none" w:sz="0" w:space="0" w:color="auto"/>
      </w:divBdr>
    </w:div>
    <w:div w:id="393435182">
      <w:bodyDiv w:val="1"/>
      <w:marLeft w:val="0"/>
      <w:marRight w:val="0"/>
      <w:marTop w:val="0"/>
      <w:marBottom w:val="0"/>
      <w:divBdr>
        <w:top w:val="none" w:sz="0" w:space="0" w:color="auto"/>
        <w:left w:val="none" w:sz="0" w:space="0" w:color="auto"/>
        <w:bottom w:val="none" w:sz="0" w:space="0" w:color="auto"/>
        <w:right w:val="none" w:sz="0" w:space="0" w:color="auto"/>
      </w:divBdr>
    </w:div>
    <w:div w:id="404185419">
      <w:bodyDiv w:val="1"/>
      <w:marLeft w:val="0"/>
      <w:marRight w:val="0"/>
      <w:marTop w:val="0"/>
      <w:marBottom w:val="0"/>
      <w:divBdr>
        <w:top w:val="none" w:sz="0" w:space="0" w:color="auto"/>
        <w:left w:val="none" w:sz="0" w:space="0" w:color="auto"/>
        <w:bottom w:val="none" w:sz="0" w:space="0" w:color="auto"/>
        <w:right w:val="none" w:sz="0" w:space="0" w:color="auto"/>
      </w:divBdr>
    </w:div>
    <w:div w:id="408622142">
      <w:bodyDiv w:val="1"/>
      <w:marLeft w:val="0"/>
      <w:marRight w:val="0"/>
      <w:marTop w:val="0"/>
      <w:marBottom w:val="0"/>
      <w:divBdr>
        <w:top w:val="none" w:sz="0" w:space="0" w:color="auto"/>
        <w:left w:val="none" w:sz="0" w:space="0" w:color="auto"/>
        <w:bottom w:val="none" w:sz="0" w:space="0" w:color="auto"/>
        <w:right w:val="none" w:sz="0" w:space="0" w:color="auto"/>
      </w:divBdr>
    </w:div>
    <w:div w:id="429542500">
      <w:bodyDiv w:val="1"/>
      <w:marLeft w:val="0"/>
      <w:marRight w:val="0"/>
      <w:marTop w:val="0"/>
      <w:marBottom w:val="0"/>
      <w:divBdr>
        <w:top w:val="none" w:sz="0" w:space="0" w:color="auto"/>
        <w:left w:val="none" w:sz="0" w:space="0" w:color="auto"/>
        <w:bottom w:val="none" w:sz="0" w:space="0" w:color="auto"/>
        <w:right w:val="none" w:sz="0" w:space="0" w:color="auto"/>
      </w:divBdr>
    </w:div>
    <w:div w:id="432555027">
      <w:bodyDiv w:val="1"/>
      <w:marLeft w:val="0"/>
      <w:marRight w:val="0"/>
      <w:marTop w:val="0"/>
      <w:marBottom w:val="0"/>
      <w:divBdr>
        <w:top w:val="none" w:sz="0" w:space="0" w:color="auto"/>
        <w:left w:val="none" w:sz="0" w:space="0" w:color="auto"/>
        <w:bottom w:val="none" w:sz="0" w:space="0" w:color="auto"/>
        <w:right w:val="none" w:sz="0" w:space="0" w:color="auto"/>
      </w:divBdr>
    </w:div>
    <w:div w:id="444275698">
      <w:bodyDiv w:val="1"/>
      <w:marLeft w:val="0"/>
      <w:marRight w:val="0"/>
      <w:marTop w:val="0"/>
      <w:marBottom w:val="0"/>
      <w:divBdr>
        <w:top w:val="none" w:sz="0" w:space="0" w:color="auto"/>
        <w:left w:val="none" w:sz="0" w:space="0" w:color="auto"/>
        <w:bottom w:val="none" w:sz="0" w:space="0" w:color="auto"/>
        <w:right w:val="none" w:sz="0" w:space="0" w:color="auto"/>
      </w:divBdr>
    </w:div>
    <w:div w:id="447820371">
      <w:bodyDiv w:val="1"/>
      <w:marLeft w:val="0"/>
      <w:marRight w:val="0"/>
      <w:marTop w:val="0"/>
      <w:marBottom w:val="0"/>
      <w:divBdr>
        <w:top w:val="none" w:sz="0" w:space="0" w:color="auto"/>
        <w:left w:val="none" w:sz="0" w:space="0" w:color="auto"/>
        <w:bottom w:val="none" w:sz="0" w:space="0" w:color="auto"/>
        <w:right w:val="none" w:sz="0" w:space="0" w:color="auto"/>
      </w:divBdr>
    </w:div>
    <w:div w:id="455218040">
      <w:bodyDiv w:val="1"/>
      <w:marLeft w:val="0"/>
      <w:marRight w:val="0"/>
      <w:marTop w:val="0"/>
      <w:marBottom w:val="0"/>
      <w:divBdr>
        <w:top w:val="none" w:sz="0" w:space="0" w:color="auto"/>
        <w:left w:val="none" w:sz="0" w:space="0" w:color="auto"/>
        <w:bottom w:val="none" w:sz="0" w:space="0" w:color="auto"/>
        <w:right w:val="none" w:sz="0" w:space="0" w:color="auto"/>
      </w:divBdr>
    </w:div>
    <w:div w:id="478767634">
      <w:bodyDiv w:val="1"/>
      <w:marLeft w:val="0"/>
      <w:marRight w:val="0"/>
      <w:marTop w:val="0"/>
      <w:marBottom w:val="0"/>
      <w:divBdr>
        <w:top w:val="none" w:sz="0" w:space="0" w:color="auto"/>
        <w:left w:val="none" w:sz="0" w:space="0" w:color="auto"/>
        <w:bottom w:val="none" w:sz="0" w:space="0" w:color="auto"/>
        <w:right w:val="none" w:sz="0" w:space="0" w:color="auto"/>
      </w:divBdr>
    </w:div>
    <w:div w:id="485097857">
      <w:bodyDiv w:val="1"/>
      <w:marLeft w:val="0"/>
      <w:marRight w:val="0"/>
      <w:marTop w:val="0"/>
      <w:marBottom w:val="0"/>
      <w:divBdr>
        <w:top w:val="none" w:sz="0" w:space="0" w:color="auto"/>
        <w:left w:val="none" w:sz="0" w:space="0" w:color="auto"/>
        <w:bottom w:val="none" w:sz="0" w:space="0" w:color="auto"/>
        <w:right w:val="none" w:sz="0" w:space="0" w:color="auto"/>
      </w:divBdr>
    </w:div>
    <w:div w:id="491334403">
      <w:bodyDiv w:val="1"/>
      <w:marLeft w:val="0"/>
      <w:marRight w:val="0"/>
      <w:marTop w:val="0"/>
      <w:marBottom w:val="0"/>
      <w:divBdr>
        <w:top w:val="none" w:sz="0" w:space="0" w:color="auto"/>
        <w:left w:val="none" w:sz="0" w:space="0" w:color="auto"/>
        <w:bottom w:val="none" w:sz="0" w:space="0" w:color="auto"/>
        <w:right w:val="none" w:sz="0" w:space="0" w:color="auto"/>
      </w:divBdr>
    </w:div>
    <w:div w:id="499008078">
      <w:bodyDiv w:val="1"/>
      <w:marLeft w:val="0"/>
      <w:marRight w:val="0"/>
      <w:marTop w:val="0"/>
      <w:marBottom w:val="0"/>
      <w:divBdr>
        <w:top w:val="none" w:sz="0" w:space="0" w:color="auto"/>
        <w:left w:val="none" w:sz="0" w:space="0" w:color="auto"/>
        <w:bottom w:val="none" w:sz="0" w:space="0" w:color="auto"/>
        <w:right w:val="none" w:sz="0" w:space="0" w:color="auto"/>
      </w:divBdr>
    </w:div>
    <w:div w:id="511453208">
      <w:bodyDiv w:val="1"/>
      <w:marLeft w:val="0"/>
      <w:marRight w:val="0"/>
      <w:marTop w:val="0"/>
      <w:marBottom w:val="0"/>
      <w:divBdr>
        <w:top w:val="none" w:sz="0" w:space="0" w:color="auto"/>
        <w:left w:val="none" w:sz="0" w:space="0" w:color="auto"/>
        <w:bottom w:val="none" w:sz="0" w:space="0" w:color="auto"/>
        <w:right w:val="none" w:sz="0" w:space="0" w:color="auto"/>
      </w:divBdr>
    </w:div>
    <w:div w:id="520507146">
      <w:bodyDiv w:val="1"/>
      <w:marLeft w:val="0"/>
      <w:marRight w:val="0"/>
      <w:marTop w:val="0"/>
      <w:marBottom w:val="0"/>
      <w:divBdr>
        <w:top w:val="none" w:sz="0" w:space="0" w:color="auto"/>
        <w:left w:val="none" w:sz="0" w:space="0" w:color="auto"/>
        <w:bottom w:val="none" w:sz="0" w:space="0" w:color="auto"/>
        <w:right w:val="none" w:sz="0" w:space="0" w:color="auto"/>
      </w:divBdr>
    </w:div>
    <w:div w:id="525798337">
      <w:bodyDiv w:val="1"/>
      <w:marLeft w:val="0"/>
      <w:marRight w:val="0"/>
      <w:marTop w:val="0"/>
      <w:marBottom w:val="0"/>
      <w:divBdr>
        <w:top w:val="none" w:sz="0" w:space="0" w:color="auto"/>
        <w:left w:val="none" w:sz="0" w:space="0" w:color="auto"/>
        <w:bottom w:val="none" w:sz="0" w:space="0" w:color="auto"/>
        <w:right w:val="none" w:sz="0" w:space="0" w:color="auto"/>
      </w:divBdr>
    </w:div>
    <w:div w:id="559366727">
      <w:bodyDiv w:val="1"/>
      <w:marLeft w:val="0"/>
      <w:marRight w:val="0"/>
      <w:marTop w:val="0"/>
      <w:marBottom w:val="0"/>
      <w:divBdr>
        <w:top w:val="none" w:sz="0" w:space="0" w:color="auto"/>
        <w:left w:val="none" w:sz="0" w:space="0" w:color="auto"/>
        <w:bottom w:val="none" w:sz="0" w:space="0" w:color="auto"/>
        <w:right w:val="none" w:sz="0" w:space="0" w:color="auto"/>
      </w:divBdr>
    </w:div>
    <w:div w:id="576355740">
      <w:bodyDiv w:val="1"/>
      <w:marLeft w:val="0"/>
      <w:marRight w:val="0"/>
      <w:marTop w:val="0"/>
      <w:marBottom w:val="0"/>
      <w:divBdr>
        <w:top w:val="none" w:sz="0" w:space="0" w:color="auto"/>
        <w:left w:val="none" w:sz="0" w:space="0" w:color="auto"/>
        <w:bottom w:val="none" w:sz="0" w:space="0" w:color="auto"/>
        <w:right w:val="none" w:sz="0" w:space="0" w:color="auto"/>
      </w:divBdr>
    </w:div>
    <w:div w:id="583338523">
      <w:bodyDiv w:val="1"/>
      <w:marLeft w:val="0"/>
      <w:marRight w:val="0"/>
      <w:marTop w:val="0"/>
      <w:marBottom w:val="0"/>
      <w:divBdr>
        <w:top w:val="none" w:sz="0" w:space="0" w:color="auto"/>
        <w:left w:val="none" w:sz="0" w:space="0" w:color="auto"/>
        <w:bottom w:val="none" w:sz="0" w:space="0" w:color="auto"/>
        <w:right w:val="none" w:sz="0" w:space="0" w:color="auto"/>
      </w:divBdr>
    </w:div>
    <w:div w:id="586235409">
      <w:bodyDiv w:val="1"/>
      <w:marLeft w:val="0"/>
      <w:marRight w:val="0"/>
      <w:marTop w:val="0"/>
      <w:marBottom w:val="0"/>
      <w:divBdr>
        <w:top w:val="none" w:sz="0" w:space="0" w:color="auto"/>
        <w:left w:val="none" w:sz="0" w:space="0" w:color="auto"/>
        <w:bottom w:val="none" w:sz="0" w:space="0" w:color="auto"/>
        <w:right w:val="none" w:sz="0" w:space="0" w:color="auto"/>
      </w:divBdr>
    </w:div>
    <w:div w:id="589970512">
      <w:bodyDiv w:val="1"/>
      <w:marLeft w:val="0"/>
      <w:marRight w:val="0"/>
      <w:marTop w:val="0"/>
      <w:marBottom w:val="0"/>
      <w:divBdr>
        <w:top w:val="none" w:sz="0" w:space="0" w:color="auto"/>
        <w:left w:val="none" w:sz="0" w:space="0" w:color="auto"/>
        <w:bottom w:val="none" w:sz="0" w:space="0" w:color="auto"/>
        <w:right w:val="none" w:sz="0" w:space="0" w:color="auto"/>
      </w:divBdr>
    </w:div>
    <w:div w:id="590050003">
      <w:bodyDiv w:val="1"/>
      <w:marLeft w:val="0"/>
      <w:marRight w:val="0"/>
      <w:marTop w:val="0"/>
      <w:marBottom w:val="0"/>
      <w:divBdr>
        <w:top w:val="none" w:sz="0" w:space="0" w:color="auto"/>
        <w:left w:val="none" w:sz="0" w:space="0" w:color="auto"/>
        <w:bottom w:val="none" w:sz="0" w:space="0" w:color="auto"/>
        <w:right w:val="none" w:sz="0" w:space="0" w:color="auto"/>
      </w:divBdr>
    </w:div>
    <w:div w:id="619459691">
      <w:bodyDiv w:val="1"/>
      <w:marLeft w:val="0"/>
      <w:marRight w:val="0"/>
      <w:marTop w:val="0"/>
      <w:marBottom w:val="0"/>
      <w:divBdr>
        <w:top w:val="none" w:sz="0" w:space="0" w:color="auto"/>
        <w:left w:val="none" w:sz="0" w:space="0" w:color="auto"/>
        <w:bottom w:val="none" w:sz="0" w:space="0" w:color="auto"/>
        <w:right w:val="none" w:sz="0" w:space="0" w:color="auto"/>
      </w:divBdr>
    </w:div>
    <w:div w:id="626158155">
      <w:bodyDiv w:val="1"/>
      <w:marLeft w:val="0"/>
      <w:marRight w:val="0"/>
      <w:marTop w:val="0"/>
      <w:marBottom w:val="0"/>
      <w:divBdr>
        <w:top w:val="none" w:sz="0" w:space="0" w:color="auto"/>
        <w:left w:val="none" w:sz="0" w:space="0" w:color="auto"/>
        <w:bottom w:val="none" w:sz="0" w:space="0" w:color="auto"/>
        <w:right w:val="none" w:sz="0" w:space="0" w:color="auto"/>
      </w:divBdr>
    </w:div>
    <w:div w:id="627200062">
      <w:bodyDiv w:val="1"/>
      <w:marLeft w:val="0"/>
      <w:marRight w:val="0"/>
      <w:marTop w:val="0"/>
      <w:marBottom w:val="0"/>
      <w:divBdr>
        <w:top w:val="none" w:sz="0" w:space="0" w:color="auto"/>
        <w:left w:val="none" w:sz="0" w:space="0" w:color="auto"/>
        <w:bottom w:val="none" w:sz="0" w:space="0" w:color="auto"/>
        <w:right w:val="none" w:sz="0" w:space="0" w:color="auto"/>
      </w:divBdr>
    </w:div>
    <w:div w:id="649745914">
      <w:bodyDiv w:val="1"/>
      <w:marLeft w:val="0"/>
      <w:marRight w:val="0"/>
      <w:marTop w:val="0"/>
      <w:marBottom w:val="0"/>
      <w:divBdr>
        <w:top w:val="none" w:sz="0" w:space="0" w:color="auto"/>
        <w:left w:val="none" w:sz="0" w:space="0" w:color="auto"/>
        <w:bottom w:val="none" w:sz="0" w:space="0" w:color="auto"/>
        <w:right w:val="none" w:sz="0" w:space="0" w:color="auto"/>
      </w:divBdr>
    </w:div>
    <w:div w:id="671416570">
      <w:bodyDiv w:val="1"/>
      <w:marLeft w:val="0"/>
      <w:marRight w:val="0"/>
      <w:marTop w:val="0"/>
      <w:marBottom w:val="0"/>
      <w:divBdr>
        <w:top w:val="none" w:sz="0" w:space="0" w:color="auto"/>
        <w:left w:val="none" w:sz="0" w:space="0" w:color="auto"/>
        <w:bottom w:val="none" w:sz="0" w:space="0" w:color="auto"/>
        <w:right w:val="none" w:sz="0" w:space="0" w:color="auto"/>
      </w:divBdr>
    </w:div>
    <w:div w:id="672531008">
      <w:bodyDiv w:val="1"/>
      <w:marLeft w:val="0"/>
      <w:marRight w:val="0"/>
      <w:marTop w:val="0"/>
      <w:marBottom w:val="0"/>
      <w:divBdr>
        <w:top w:val="none" w:sz="0" w:space="0" w:color="auto"/>
        <w:left w:val="none" w:sz="0" w:space="0" w:color="auto"/>
        <w:bottom w:val="none" w:sz="0" w:space="0" w:color="auto"/>
        <w:right w:val="none" w:sz="0" w:space="0" w:color="auto"/>
      </w:divBdr>
    </w:div>
    <w:div w:id="691106622">
      <w:bodyDiv w:val="1"/>
      <w:marLeft w:val="0"/>
      <w:marRight w:val="0"/>
      <w:marTop w:val="0"/>
      <w:marBottom w:val="0"/>
      <w:divBdr>
        <w:top w:val="none" w:sz="0" w:space="0" w:color="auto"/>
        <w:left w:val="none" w:sz="0" w:space="0" w:color="auto"/>
        <w:bottom w:val="none" w:sz="0" w:space="0" w:color="auto"/>
        <w:right w:val="none" w:sz="0" w:space="0" w:color="auto"/>
      </w:divBdr>
    </w:div>
    <w:div w:id="706687035">
      <w:bodyDiv w:val="1"/>
      <w:marLeft w:val="0"/>
      <w:marRight w:val="0"/>
      <w:marTop w:val="0"/>
      <w:marBottom w:val="0"/>
      <w:divBdr>
        <w:top w:val="none" w:sz="0" w:space="0" w:color="auto"/>
        <w:left w:val="none" w:sz="0" w:space="0" w:color="auto"/>
        <w:bottom w:val="none" w:sz="0" w:space="0" w:color="auto"/>
        <w:right w:val="none" w:sz="0" w:space="0" w:color="auto"/>
      </w:divBdr>
    </w:div>
    <w:div w:id="708527947">
      <w:bodyDiv w:val="1"/>
      <w:marLeft w:val="0"/>
      <w:marRight w:val="0"/>
      <w:marTop w:val="0"/>
      <w:marBottom w:val="0"/>
      <w:divBdr>
        <w:top w:val="none" w:sz="0" w:space="0" w:color="auto"/>
        <w:left w:val="none" w:sz="0" w:space="0" w:color="auto"/>
        <w:bottom w:val="none" w:sz="0" w:space="0" w:color="auto"/>
        <w:right w:val="none" w:sz="0" w:space="0" w:color="auto"/>
      </w:divBdr>
    </w:div>
    <w:div w:id="737292426">
      <w:bodyDiv w:val="1"/>
      <w:marLeft w:val="0"/>
      <w:marRight w:val="0"/>
      <w:marTop w:val="0"/>
      <w:marBottom w:val="0"/>
      <w:divBdr>
        <w:top w:val="none" w:sz="0" w:space="0" w:color="auto"/>
        <w:left w:val="none" w:sz="0" w:space="0" w:color="auto"/>
        <w:bottom w:val="none" w:sz="0" w:space="0" w:color="auto"/>
        <w:right w:val="none" w:sz="0" w:space="0" w:color="auto"/>
      </w:divBdr>
    </w:div>
    <w:div w:id="741752200">
      <w:bodyDiv w:val="1"/>
      <w:marLeft w:val="0"/>
      <w:marRight w:val="0"/>
      <w:marTop w:val="0"/>
      <w:marBottom w:val="0"/>
      <w:divBdr>
        <w:top w:val="none" w:sz="0" w:space="0" w:color="auto"/>
        <w:left w:val="none" w:sz="0" w:space="0" w:color="auto"/>
        <w:bottom w:val="none" w:sz="0" w:space="0" w:color="auto"/>
        <w:right w:val="none" w:sz="0" w:space="0" w:color="auto"/>
      </w:divBdr>
    </w:div>
    <w:div w:id="752513571">
      <w:bodyDiv w:val="1"/>
      <w:marLeft w:val="0"/>
      <w:marRight w:val="0"/>
      <w:marTop w:val="0"/>
      <w:marBottom w:val="0"/>
      <w:divBdr>
        <w:top w:val="none" w:sz="0" w:space="0" w:color="auto"/>
        <w:left w:val="none" w:sz="0" w:space="0" w:color="auto"/>
        <w:bottom w:val="none" w:sz="0" w:space="0" w:color="auto"/>
        <w:right w:val="none" w:sz="0" w:space="0" w:color="auto"/>
      </w:divBdr>
    </w:div>
    <w:div w:id="765153465">
      <w:bodyDiv w:val="1"/>
      <w:marLeft w:val="0"/>
      <w:marRight w:val="0"/>
      <w:marTop w:val="0"/>
      <w:marBottom w:val="0"/>
      <w:divBdr>
        <w:top w:val="none" w:sz="0" w:space="0" w:color="auto"/>
        <w:left w:val="none" w:sz="0" w:space="0" w:color="auto"/>
        <w:bottom w:val="none" w:sz="0" w:space="0" w:color="auto"/>
        <w:right w:val="none" w:sz="0" w:space="0" w:color="auto"/>
      </w:divBdr>
    </w:div>
    <w:div w:id="773550472">
      <w:bodyDiv w:val="1"/>
      <w:marLeft w:val="0"/>
      <w:marRight w:val="0"/>
      <w:marTop w:val="0"/>
      <w:marBottom w:val="0"/>
      <w:divBdr>
        <w:top w:val="none" w:sz="0" w:space="0" w:color="auto"/>
        <w:left w:val="none" w:sz="0" w:space="0" w:color="auto"/>
        <w:bottom w:val="none" w:sz="0" w:space="0" w:color="auto"/>
        <w:right w:val="none" w:sz="0" w:space="0" w:color="auto"/>
      </w:divBdr>
    </w:div>
    <w:div w:id="838741049">
      <w:bodyDiv w:val="1"/>
      <w:marLeft w:val="0"/>
      <w:marRight w:val="0"/>
      <w:marTop w:val="0"/>
      <w:marBottom w:val="0"/>
      <w:divBdr>
        <w:top w:val="none" w:sz="0" w:space="0" w:color="auto"/>
        <w:left w:val="none" w:sz="0" w:space="0" w:color="auto"/>
        <w:bottom w:val="none" w:sz="0" w:space="0" w:color="auto"/>
        <w:right w:val="none" w:sz="0" w:space="0" w:color="auto"/>
      </w:divBdr>
    </w:div>
    <w:div w:id="852258455">
      <w:bodyDiv w:val="1"/>
      <w:marLeft w:val="0"/>
      <w:marRight w:val="0"/>
      <w:marTop w:val="0"/>
      <w:marBottom w:val="0"/>
      <w:divBdr>
        <w:top w:val="none" w:sz="0" w:space="0" w:color="auto"/>
        <w:left w:val="none" w:sz="0" w:space="0" w:color="auto"/>
        <w:bottom w:val="none" w:sz="0" w:space="0" w:color="auto"/>
        <w:right w:val="none" w:sz="0" w:space="0" w:color="auto"/>
      </w:divBdr>
    </w:div>
    <w:div w:id="865289561">
      <w:bodyDiv w:val="1"/>
      <w:marLeft w:val="0"/>
      <w:marRight w:val="0"/>
      <w:marTop w:val="0"/>
      <w:marBottom w:val="0"/>
      <w:divBdr>
        <w:top w:val="none" w:sz="0" w:space="0" w:color="auto"/>
        <w:left w:val="none" w:sz="0" w:space="0" w:color="auto"/>
        <w:bottom w:val="none" w:sz="0" w:space="0" w:color="auto"/>
        <w:right w:val="none" w:sz="0" w:space="0" w:color="auto"/>
      </w:divBdr>
    </w:div>
    <w:div w:id="870412250">
      <w:bodyDiv w:val="1"/>
      <w:marLeft w:val="0"/>
      <w:marRight w:val="0"/>
      <w:marTop w:val="0"/>
      <w:marBottom w:val="0"/>
      <w:divBdr>
        <w:top w:val="none" w:sz="0" w:space="0" w:color="auto"/>
        <w:left w:val="none" w:sz="0" w:space="0" w:color="auto"/>
        <w:bottom w:val="none" w:sz="0" w:space="0" w:color="auto"/>
        <w:right w:val="none" w:sz="0" w:space="0" w:color="auto"/>
      </w:divBdr>
    </w:div>
    <w:div w:id="876164223">
      <w:bodyDiv w:val="1"/>
      <w:marLeft w:val="0"/>
      <w:marRight w:val="0"/>
      <w:marTop w:val="0"/>
      <w:marBottom w:val="0"/>
      <w:divBdr>
        <w:top w:val="none" w:sz="0" w:space="0" w:color="auto"/>
        <w:left w:val="none" w:sz="0" w:space="0" w:color="auto"/>
        <w:bottom w:val="none" w:sz="0" w:space="0" w:color="auto"/>
        <w:right w:val="none" w:sz="0" w:space="0" w:color="auto"/>
      </w:divBdr>
    </w:div>
    <w:div w:id="896008946">
      <w:bodyDiv w:val="1"/>
      <w:marLeft w:val="0"/>
      <w:marRight w:val="0"/>
      <w:marTop w:val="0"/>
      <w:marBottom w:val="0"/>
      <w:divBdr>
        <w:top w:val="none" w:sz="0" w:space="0" w:color="auto"/>
        <w:left w:val="none" w:sz="0" w:space="0" w:color="auto"/>
        <w:bottom w:val="none" w:sz="0" w:space="0" w:color="auto"/>
        <w:right w:val="none" w:sz="0" w:space="0" w:color="auto"/>
      </w:divBdr>
    </w:div>
    <w:div w:id="897058097">
      <w:bodyDiv w:val="1"/>
      <w:marLeft w:val="0"/>
      <w:marRight w:val="0"/>
      <w:marTop w:val="0"/>
      <w:marBottom w:val="0"/>
      <w:divBdr>
        <w:top w:val="none" w:sz="0" w:space="0" w:color="auto"/>
        <w:left w:val="none" w:sz="0" w:space="0" w:color="auto"/>
        <w:bottom w:val="none" w:sz="0" w:space="0" w:color="auto"/>
        <w:right w:val="none" w:sz="0" w:space="0" w:color="auto"/>
      </w:divBdr>
    </w:div>
    <w:div w:id="914783229">
      <w:bodyDiv w:val="1"/>
      <w:marLeft w:val="0"/>
      <w:marRight w:val="0"/>
      <w:marTop w:val="0"/>
      <w:marBottom w:val="0"/>
      <w:divBdr>
        <w:top w:val="none" w:sz="0" w:space="0" w:color="auto"/>
        <w:left w:val="none" w:sz="0" w:space="0" w:color="auto"/>
        <w:bottom w:val="none" w:sz="0" w:space="0" w:color="auto"/>
        <w:right w:val="none" w:sz="0" w:space="0" w:color="auto"/>
      </w:divBdr>
    </w:div>
    <w:div w:id="918514277">
      <w:bodyDiv w:val="1"/>
      <w:marLeft w:val="0"/>
      <w:marRight w:val="0"/>
      <w:marTop w:val="0"/>
      <w:marBottom w:val="0"/>
      <w:divBdr>
        <w:top w:val="none" w:sz="0" w:space="0" w:color="auto"/>
        <w:left w:val="none" w:sz="0" w:space="0" w:color="auto"/>
        <w:bottom w:val="none" w:sz="0" w:space="0" w:color="auto"/>
        <w:right w:val="none" w:sz="0" w:space="0" w:color="auto"/>
      </w:divBdr>
    </w:div>
    <w:div w:id="957759862">
      <w:bodyDiv w:val="1"/>
      <w:marLeft w:val="0"/>
      <w:marRight w:val="0"/>
      <w:marTop w:val="0"/>
      <w:marBottom w:val="0"/>
      <w:divBdr>
        <w:top w:val="none" w:sz="0" w:space="0" w:color="auto"/>
        <w:left w:val="none" w:sz="0" w:space="0" w:color="auto"/>
        <w:bottom w:val="none" w:sz="0" w:space="0" w:color="auto"/>
        <w:right w:val="none" w:sz="0" w:space="0" w:color="auto"/>
      </w:divBdr>
    </w:div>
    <w:div w:id="983584479">
      <w:bodyDiv w:val="1"/>
      <w:marLeft w:val="0"/>
      <w:marRight w:val="0"/>
      <w:marTop w:val="0"/>
      <w:marBottom w:val="0"/>
      <w:divBdr>
        <w:top w:val="none" w:sz="0" w:space="0" w:color="auto"/>
        <w:left w:val="none" w:sz="0" w:space="0" w:color="auto"/>
        <w:bottom w:val="none" w:sz="0" w:space="0" w:color="auto"/>
        <w:right w:val="none" w:sz="0" w:space="0" w:color="auto"/>
      </w:divBdr>
    </w:div>
    <w:div w:id="990065353">
      <w:bodyDiv w:val="1"/>
      <w:marLeft w:val="0"/>
      <w:marRight w:val="0"/>
      <w:marTop w:val="0"/>
      <w:marBottom w:val="0"/>
      <w:divBdr>
        <w:top w:val="none" w:sz="0" w:space="0" w:color="auto"/>
        <w:left w:val="none" w:sz="0" w:space="0" w:color="auto"/>
        <w:bottom w:val="none" w:sz="0" w:space="0" w:color="auto"/>
        <w:right w:val="none" w:sz="0" w:space="0" w:color="auto"/>
      </w:divBdr>
    </w:div>
    <w:div w:id="999505741">
      <w:bodyDiv w:val="1"/>
      <w:marLeft w:val="0"/>
      <w:marRight w:val="0"/>
      <w:marTop w:val="0"/>
      <w:marBottom w:val="0"/>
      <w:divBdr>
        <w:top w:val="none" w:sz="0" w:space="0" w:color="auto"/>
        <w:left w:val="none" w:sz="0" w:space="0" w:color="auto"/>
        <w:bottom w:val="none" w:sz="0" w:space="0" w:color="auto"/>
        <w:right w:val="none" w:sz="0" w:space="0" w:color="auto"/>
      </w:divBdr>
    </w:div>
    <w:div w:id="1004238753">
      <w:bodyDiv w:val="1"/>
      <w:marLeft w:val="0"/>
      <w:marRight w:val="0"/>
      <w:marTop w:val="0"/>
      <w:marBottom w:val="0"/>
      <w:divBdr>
        <w:top w:val="none" w:sz="0" w:space="0" w:color="auto"/>
        <w:left w:val="none" w:sz="0" w:space="0" w:color="auto"/>
        <w:bottom w:val="none" w:sz="0" w:space="0" w:color="auto"/>
        <w:right w:val="none" w:sz="0" w:space="0" w:color="auto"/>
      </w:divBdr>
    </w:div>
    <w:div w:id="1019771275">
      <w:bodyDiv w:val="1"/>
      <w:marLeft w:val="0"/>
      <w:marRight w:val="0"/>
      <w:marTop w:val="0"/>
      <w:marBottom w:val="0"/>
      <w:divBdr>
        <w:top w:val="none" w:sz="0" w:space="0" w:color="auto"/>
        <w:left w:val="none" w:sz="0" w:space="0" w:color="auto"/>
        <w:bottom w:val="none" w:sz="0" w:space="0" w:color="auto"/>
        <w:right w:val="none" w:sz="0" w:space="0" w:color="auto"/>
      </w:divBdr>
    </w:div>
    <w:div w:id="1024480463">
      <w:bodyDiv w:val="1"/>
      <w:marLeft w:val="0"/>
      <w:marRight w:val="0"/>
      <w:marTop w:val="0"/>
      <w:marBottom w:val="0"/>
      <w:divBdr>
        <w:top w:val="none" w:sz="0" w:space="0" w:color="auto"/>
        <w:left w:val="none" w:sz="0" w:space="0" w:color="auto"/>
        <w:bottom w:val="none" w:sz="0" w:space="0" w:color="auto"/>
        <w:right w:val="none" w:sz="0" w:space="0" w:color="auto"/>
      </w:divBdr>
    </w:div>
    <w:div w:id="1028677730">
      <w:bodyDiv w:val="1"/>
      <w:marLeft w:val="0"/>
      <w:marRight w:val="0"/>
      <w:marTop w:val="0"/>
      <w:marBottom w:val="0"/>
      <w:divBdr>
        <w:top w:val="none" w:sz="0" w:space="0" w:color="auto"/>
        <w:left w:val="none" w:sz="0" w:space="0" w:color="auto"/>
        <w:bottom w:val="none" w:sz="0" w:space="0" w:color="auto"/>
        <w:right w:val="none" w:sz="0" w:space="0" w:color="auto"/>
      </w:divBdr>
    </w:div>
    <w:div w:id="1047725739">
      <w:bodyDiv w:val="1"/>
      <w:marLeft w:val="0"/>
      <w:marRight w:val="0"/>
      <w:marTop w:val="0"/>
      <w:marBottom w:val="0"/>
      <w:divBdr>
        <w:top w:val="none" w:sz="0" w:space="0" w:color="auto"/>
        <w:left w:val="none" w:sz="0" w:space="0" w:color="auto"/>
        <w:bottom w:val="none" w:sz="0" w:space="0" w:color="auto"/>
        <w:right w:val="none" w:sz="0" w:space="0" w:color="auto"/>
      </w:divBdr>
    </w:div>
    <w:div w:id="1082218870">
      <w:bodyDiv w:val="1"/>
      <w:marLeft w:val="0"/>
      <w:marRight w:val="0"/>
      <w:marTop w:val="0"/>
      <w:marBottom w:val="0"/>
      <w:divBdr>
        <w:top w:val="none" w:sz="0" w:space="0" w:color="auto"/>
        <w:left w:val="none" w:sz="0" w:space="0" w:color="auto"/>
        <w:bottom w:val="none" w:sz="0" w:space="0" w:color="auto"/>
        <w:right w:val="none" w:sz="0" w:space="0" w:color="auto"/>
      </w:divBdr>
    </w:div>
    <w:div w:id="1084230574">
      <w:bodyDiv w:val="1"/>
      <w:marLeft w:val="0"/>
      <w:marRight w:val="0"/>
      <w:marTop w:val="0"/>
      <w:marBottom w:val="0"/>
      <w:divBdr>
        <w:top w:val="none" w:sz="0" w:space="0" w:color="auto"/>
        <w:left w:val="none" w:sz="0" w:space="0" w:color="auto"/>
        <w:bottom w:val="none" w:sz="0" w:space="0" w:color="auto"/>
        <w:right w:val="none" w:sz="0" w:space="0" w:color="auto"/>
      </w:divBdr>
    </w:div>
    <w:div w:id="1099371577">
      <w:bodyDiv w:val="1"/>
      <w:marLeft w:val="0"/>
      <w:marRight w:val="0"/>
      <w:marTop w:val="0"/>
      <w:marBottom w:val="0"/>
      <w:divBdr>
        <w:top w:val="none" w:sz="0" w:space="0" w:color="auto"/>
        <w:left w:val="none" w:sz="0" w:space="0" w:color="auto"/>
        <w:bottom w:val="none" w:sz="0" w:space="0" w:color="auto"/>
        <w:right w:val="none" w:sz="0" w:space="0" w:color="auto"/>
      </w:divBdr>
    </w:div>
    <w:div w:id="1112671347">
      <w:bodyDiv w:val="1"/>
      <w:marLeft w:val="0"/>
      <w:marRight w:val="0"/>
      <w:marTop w:val="0"/>
      <w:marBottom w:val="0"/>
      <w:divBdr>
        <w:top w:val="none" w:sz="0" w:space="0" w:color="auto"/>
        <w:left w:val="none" w:sz="0" w:space="0" w:color="auto"/>
        <w:bottom w:val="none" w:sz="0" w:space="0" w:color="auto"/>
        <w:right w:val="none" w:sz="0" w:space="0" w:color="auto"/>
      </w:divBdr>
      <w:divsChild>
        <w:div w:id="1805154644">
          <w:marLeft w:val="0"/>
          <w:marRight w:val="0"/>
          <w:marTop w:val="0"/>
          <w:marBottom w:val="0"/>
          <w:divBdr>
            <w:top w:val="none" w:sz="0" w:space="0" w:color="auto"/>
            <w:left w:val="none" w:sz="0" w:space="0" w:color="auto"/>
            <w:bottom w:val="none" w:sz="0" w:space="0" w:color="auto"/>
            <w:right w:val="none" w:sz="0" w:space="0" w:color="auto"/>
          </w:divBdr>
        </w:div>
      </w:divsChild>
    </w:div>
    <w:div w:id="1121218644">
      <w:bodyDiv w:val="1"/>
      <w:marLeft w:val="0"/>
      <w:marRight w:val="0"/>
      <w:marTop w:val="0"/>
      <w:marBottom w:val="0"/>
      <w:divBdr>
        <w:top w:val="none" w:sz="0" w:space="0" w:color="auto"/>
        <w:left w:val="none" w:sz="0" w:space="0" w:color="auto"/>
        <w:bottom w:val="none" w:sz="0" w:space="0" w:color="auto"/>
        <w:right w:val="none" w:sz="0" w:space="0" w:color="auto"/>
      </w:divBdr>
    </w:div>
    <w:div w:id="1139765844">
      <w:bodyDiv w:val="1"/>
      <w:marLeft w:val="0"/>
      <w:marRight w:val="0"/>
      <w:marTop w:val="0"/>
      <w:marBottom w:val="0"/>
      <w:divBdr>
        <w:top w:val="none" w:sz="0" w:space="0" w:color="auto"/>
        <w:left w:val="none" w:sz="0" w:space="0" w:color="auto"/>
        <w:bottom w:val="none" w:sz="0" w:space="0" w:color="auto"/>
        <w:right w:val="none" w:sz="0" w:space="0" w:color="auto"/>
      </w:divBdr>
    </w:div>
    <w:div w:id="1147697996">
      <w:bodyDiv w:val="1"/>
      <w:marLeft w:val="0"/>
      <w:marRight w:val="0"/>
      <w:marTop w:val="0"/>
      <w:marBottom w:val="0"/>
      <w:divBdr>
        <w:top w:val="none" w:sz="0" w:space="0" w:color="auto"/>
        <w:left w:val="none" w:sz="0" w:space="0" w:color="auto"/>
        <w:bottom w:val="none" w:sz="0" w:space="0" w:color="auto"/>
        <w:right w:val="none" w:sz="0" w:space="0" w:color="auto"/>
      </w:divBdr>
    </w:div>
    <w:div w:id="1174882331">
      <w:bodyDiv w:val="1"/>
      <w:marLeft w:val="0"/>
      <w:marRight w:val="0"/>
      <w:marTop w:val="0"/>
      <w:marBottom w:val="0"/>
      <w:divBdr>
        <w:top w:val="none" w:sz="0" w:space="0" w:color="auto"/>
        <w:left w:val="none" w:sz="0" w:space="0" w:color="auto"/>
        <w:bottom w:val="none" w:sz="0" w:space="0" w:color="auto"/>
        <w:right w:val="none" w:sz="0" w:space="0" w:color="auto"/>
      </w:divBdr>
    </w:div>
    <w:div w:id="1180703597">
      <w:bodyDiv w:val="1"/>
      <w:marLeft w:val="0"/>
      <w:marRight w:val="0"/>
      <w:marTop w:val="0"/>
      <w:marBottom w:val="0"/>
      <w:divBdr>
        <w:top w:val="none" w:sz="0" w:space="0" w:color="auto"/>
        <w:left w:val="none" w:sz="0" w:space="0" w:color="auto"/>
        <w:bottom w:val="none" w:sz="0" w:space="0" w:color="auto"/>
        <w:right w:val="none" w:sz="0" w:space="0" w:color="auto"/>
      </w:divBdr>
    </w:div>
    <w:div w:id="1184127088">
      <w:bodyDiv w:val="1"/>
      <w:marLeft w:val="0"/>
      <w:marRight w:val="0"/>
      <w:marTop w:val="0"/>
      <w:marBottom w:val="0"/>
      <w:divBdr>
        <w:top w:val="none" w:sz="0" w:space="0" w:color="auto"/>
        <w:left w:val="none" w:sz="0" w:space="0" w:color="auto"/>
        <w:bottom w:val="none" w:sz="0" w:space="0" w:color="auto"/>
        <w:right w:val="none" w:sz="0" w:space="0" w:color="auto"/>
      </w:divBdr>
    </w:div>
    <w:div w:id="1186408665">
      <w:bodyDiv w:val="1"/>
      <w:marLeft w:val="0"/>
      <w:marRight w:val="0"/>
      <w:marTop w:val="0"/>
      <w:marBottom w:val="0"/>
      <w:divBdr>
        <w:top w:val="none" w:sz="0" w:space="0" w:color="auto"/>
        <w:left w:val="none" w:sz="0" w:space="0" w:color="auto"/>
        <w:bottom w:val="none" w:sz="0" w:space="0" w:color="auto"/>
        <w:right w:val="none" w:sz="0" w:space="0" w:color="auto"/>
      </w:divBdr>
    </w:div>
    <w:div w:id="1203594137">
      <w:bodyDiv w:val="1"/>
      <w:marLeft w:val="0"/>
      <w:marRight w:val="0"/>
      <w:marTop w:val="0"/>
      <w:marBottom w:val="0"/>
      <w:divBdr>
        <w:top w:val="none" w:sz="0" w:space="0" w:color="auto"/>
        <w:left w:val="none" w:sz="0" w:space="0" w:color="auto"/>
        <w:bottom w:val="none" w:sz="0" w:space="0" w:color="auto"/>
        <w:right w:val="none" w:sz="0" w:space="0" w:color="auto"/>
      </w:divBdr>
    </w:div>
    <w:div w:id="1209104380">
      <w:bodyDiv w:val="1"/>
      <w:marLeft w:val="0"/>
      <w:marRight w:val="0"/>
      <w:marTop w:val="0"/>
      <w:marBottom w:val="0"/>
      <w:divBdr>
        <w:top w:val="none" w:sz="0" w:space="0" w:color="auto"/>
        <w:left w:val="none" w:sz="0" w:space="0" w:color="auto"/>
        <w:bottom w:val="none" w:sz="0" w:space="0" w:color="auto"/>
        <w:right w:val="none" w:sz="0" w:space="0" w:color="auto"/>
      </w:divBdr>
    </w:div>
    <w:div w:id="1210650641">
      <w:bodyDiv w:val="1"/>
      <w:marLeft w:val="0"/>
      <w:marRight w:val="0"/>
      <w:marTop w:val="0"/>
      <w:marBottom w:val="0"/>
      <w:divBdr>
        <w:top w:val="none" w:sz="0" w:space="0" w:color="auto"/>
        <w:left w:val="none" w:sz="0" w:space="0" w:color="auto"/>
        <w:bottom w:val="none" w:sz="0" w:space="0" w:color="auto"/>
        <w:right w:val="none" w:sz="0" w:space="0" w:color="auto"/>
      </w:divBdr>
    </w:div>
    <w:div w:id="1225607770">
      <w:bodyDiv w:val="1"/>
      <w:marLeft w:val="0"/>
      <w:marRight w:val="0"/>
      <w:marTop w:val="0"/>
      <w:marBottom w:val="0"/>
      <w:divBdr>
        <w:top w:val="none" w:sz="0" w:space="0" w:color="auto"/>
        <w:left w:val="none" w:sz="0" w:space="0" w:color="auto"/>
        <w:bottom w:val="none" w:sz="0" w:space="0" w:color="auto"/>
        <w:right w:val="none" w:sz="0" w:space="0" w:color="auto"/>
      </w:divBdr>
    </w:div>
    <w:div w:id="1246649347">
      <w:bodyDiv w:val="1"/>
      <w:marLeft w:val="0"/>
      <w:marRight w:val="0"/>
      <w:marTop w:val="0"/>
      <w:marBottom w:val="0"/>
      <w:divBdr>
        <w:top w:val="none" w:sz="0" w:space="0" w:color="auto"/>
        <w:left w:val="none" w:sz="0" w:space="0" w:color="auto"/>
        <w:bottom w:val="none" w:sz="0" w:space="0" w:color="auto"/>
        <w:right w:val="none" w:sz="0" w:space="0" w:color="auto"/>
      </w:divBdr>
    </w:div>
    <w:div w:id="1277441378">
      <w:bodyDiv w:val="1"/>
      <w:marLeft w:val="0"/>
      <w:marRight w:val="0"/>
      <w:marTop w:val="0"/>
      <w:marBottom w:val="0"/>
      <w:divBdr>
        <w:top w:val="none" w:sz="0" w:space="0" w:color="auto"/>
        <w:left w:val="none" w:sz="0" w:space="0" w:color="auto"/>
        <w:bottom w:val="none" w:sz="0" w:space="0" w:color="auto"/>
        <w:right w:val="none" w:sz="0" w:space="0" w:color="auto"/>
      </w:divBdr>
    </w:div>
    <w:div w:id="1282178771">
      <w:bodyDiv w:val="1"/>
      <w:marLeft w:val="0"/>
      <w:marRight w:val="0"/>
      <w:marTop w:val="0"/>
      <w:marBottom w:val="0"/>
      <w:divBdr>
        <w:top w:val="none" w:sz="0" w:space="0" w:color="auto"/>
        <w:left w:val="none" w:sz="0" w:space="0" w:color="auto"/>
        <w:bottom w:val="none" w:sz="0" w:space="0" w:color="auto"/>
        <w:right w:val="none" w:sz="0" w:space="0" w:color="auto"/>
      </w:divBdr>
    </w:div>
    <w:div w:id="1283732616">
      <w:bodyDiv w:val="1"/>
      <w:marLeft w:val="0"/>
      <w:marRight w:val="0"/>
      <w:marTop w:val="0"/>
      <w:marBottom w:val="0"/>
      <w:divBdr>
        <w:top w:val="none" w:sz="0" w:space="0" w:color="auto"/>
        <w:left w:val="none" w:sz="0" w:space="0" w:color="auto"/>
        <w:bottom w:val="none" w:sz="0" w:space="0" w:color="auto"/>
        <w:right w:val="none" w:sz="0" w:space="0" w:color="auto"/>
      </w:divBdr>
    </w:div>
    <w:div w:id="1295987585">
      <w:bodyDiv w:val="1"/>
      <w:marLeft w:val="0"/>
      <w:marRight w:val="0"/>
      <w:marTop w:val="0"/>
      <w:marBottom w:val="0"/>
      <w:divBdr>
        <w:top w:val="none" w:sz="0" w:space="0" w:color="auto"/>
        <w:left w:val="none" w:sz="0" w:space="0" w:color="auto"/>
        <w:bottom w:val="none" w:sz="0" w:space="0" w:color="auto"/>
        <w:right w:val="none" w:sz="0" w:space="0" w:color="auto"/>
      </w:divBdr>
    </w:div>
    <w:div w:id="1299265177">
      <w:bodyDiv w:val="1"/>
      <w:marLeft w:val="0"/>
      <w:marRight w:val="0"/>
      <w:marTop w:val="0"/>
      <w:marBottom w:val="0"/>
      <w:divBdr>
        <w:top w:val="none" w:sz="0" w:space="0" w:color="auto"/>
        <w:left w:val="none" w:sz="0" w:space="0" w:color="auto"/>
        <w:bottom w:val="none" w:sz="0" w:space="0" w:color="auto"/>
        <w:right w:val="none" w:sz="0" w:space="0" w:color="auto"/>
      </w:divBdr>
    </w:div>
    <w:div w:id="1308393290">
      <w:bodyDiv w:val="1"/>
      <w:marLeft w:val="0"/>
      <w:marRight w:val="0"/>
      <w:marTop w:val="0"/>
      <w:marBottom w:val="0"/>
      <w:divBdr>
        <w:top w:val="none" w:sz="0" w:space="0" w:color="auto"/>
        <w:left w:val="none" w:sz="0" w:space="0" w:color="auto"/>
        <w:bottom w:val="none" w:sz="0" w:space="0" w:color="auto"/>
        <w:right w:val="none" w:sz="0" w:space="0" w:color="auto"/>
      </w:divBdr>
    </w:div>
    <w:div w:id="1323580858">
      <w:bodyDiv w:val="1"/>
      <w:marLeft w:val="0"/>
      <w:marRight w:val="0"/>
      <w:marTop w:val="0"/>
      <w:marBottom w:val="0"/>
      <w:divBdr>
        <w:top w:val="none" w:sz="0" w:space="0" w:color="auto"/>
        <w:left w:val="none" w:sz="0" w:space="0" w:color="auto"/>
        <w:bottom w:val="none" w:sz="0" w:space="0" w:color="auto"/>
        <w:right w:val="none" w:sz="0" w:space="0" w:color="auto"/>
      </w:divBdr>
    </w:div>
    <w:div w:id="1335113823">
      <w:bodyDiv w:val="1"/>
      <w:marLeft w:val="0"/>
      <w:marRight w:val="0"/>
      <w:marTop w:val="0"/>
      <w:marBottom w:val="0"/>
      <w:divBdr>
        <w:top w:val="none" w:sz="0" w:space="0" w:color="auto"/>
        <w:left w:val="none" w:sz="0" w:space="0" w:color="auto"/>
        <w:bottom w:val="none" w:sz="0" w:space="0" w:color="auto"/>
        <w:right w:val="none" w:sz="0" w:space="0" w:color="auto"/>
      </w:divBdr>
    </w:div>
    <w:div w:id="1350060384">
      <w:bodyDiv w:val="1"/>
      <w:marLeft w:val="0"/>
      <w:marRight w:val="0"/>
      <w:marTop w:val="0"/>
      <w:marBottom w:val="0"/>
      <w:divBdr>
        <w:top w:val="none" w:sz="0" w:space="0" w:color="auto"/>
        <w:left w:val="none" w:sz="0" w:space="0" w:color="auto"/>
        <w:bottom w:val="none" w:sz="0" w:space="0" w:color="auto"/>
        <w:right w:val="none" w:sz="0" w:space="0" w:color="auto"/>
      </w:divBdr>
    </w:div>
    <w:div w:id="1360931713">
      <w:bodyDiv w:val="1"/>
      <w:marLeft w:val="0"/>
      <w:marRight w:val="0"/>
      <w:marTop w:val="0"/>
      <w:marBottom w:val="0"/>
      <w:divBdr>
        <w:top w:val="none" w:sz="0" w:space="0" w:color="auto"/>
        <w:left w:val="none" w:sz="0" w:space="0" w:color="auto"/>
        <w:bottom w:val="none" w:sz="0" w:space="0" w:color="auto"/>
        <w:right w:val="none" w:sz="0" w:space="0" w:color="auto"/>
      </w:divBdr>
    </w:div>
    <w:div w:id="1364404328">
      <w:bodyDiv w:val="1"/>
      <w:marLeft w:val="0"/>
      <w:marRight w:val="0"/>
      <w:marTop w:val="0"/>
      <w:marBottom w:val="0"/>
      <w:divBdr>
        <w:top w:val="none" w:sz="0" w:space="0" w:color="auto"/>
        <w:left w:val="none" w:sz="0" w:space="0" w:color="auto"/>
        <w:bottom w:val="none" w:sz="0" w:space="0" w:color="auto"/>
        <w:right w:val="none" w:sz="0" w:space="0" w:color="auto"/>
      </w:divBdr>
    </w:div>
    <w:div w:id="1366325866">
      <w:bodyDiv w:val="1"/>
      <w:marLeft w:val="0"/>
      <w:marRight w:val="0"/>
      <w:marTop w:val="0"/>
      <w:marBottom w:val="0"/>
      <w:divBdr>
        <w:top w:val="none" w:sz="0" w:space="0" w:color="auto"/>
        <w:left w:val="none" w:sz="0" w:space="0" w:color="auto"/>
        <w:bottom w:val="none" w:sz="0" w:space="0" w:color="auto"/>
        <w:right w:val="none" w:sz="0" w:space="0" w:color="auto"/>
      </w:divBdr>
    </w:div>
    <w:div w:id="1373581409">
      <w:bodyDiv w:val="1"/>
      <w:marLeft w:val="0"/>
      <w:marRight w:val="0"/>
      <w:marTop w:val="0"/>
      <w:marBottom w:val="0"/>
      <w:divBdr>
        <w:top w:val="none" w:sz="0" w:space="0" w:color="auto"/>
        <w:left w:val="none" w:sz="0" w:space="0" w:color="auto"/>
        <w:bottom w:val="none" w:sz="0" w:space="0" w:color="auto"/>
        <w:right w:val="none" w:sz="0" w:space="0" w:color="auto"/>
      </w:divBdr>
    </w:div>
    <w:div w:id="1380133609">
      <w:bodyDiv w:val="1"/>
      <w:marLeft w:val="0"/>
      <w:marRight w:val="0"/>
      <w:marTop w:val="0"/>
      <w:marBottom w:val="0"/>
      <w:divBdr>
        <w:top w:val="none" w:sz="0" w:space="0" w:color="auto"/>
        <w:left w:val="none" w:sz="0" w:space="0" w:color="auto"/>
        <w:bottom w:val="none" w:sz="0" w:space="0" w:color="auto"/>
        <w:right w:val="none" w:sz="0" w:space="0" w:color="auto"/>
      </w:divBdr>
    </w:div>
    <w:div w:id="1405642039">
      <w:bodyDiv w:val="1"/>
      <w:marLeft w:val="0"/>
      <w:marRight w:val="0"/>
      <w:marTop w:val="0"/>
      <w:marBottom w:val="0"/>
      <w:divBdr>
        <w:top w:val="none" w:sz="0" w:space="0" w:color="auto"/>
        <w:left w:val="none" w:sz="0" w:space="0" w:color="auto"/>
        <w:bottom w:val="none" w:sz="0" w:space="0" w:color="auto"/>
        <w:right w:val="none" w:sz="0" w:space="0" w:color="auto"/>
      </w:divBdr>
    </w:div>
    <w:div w:id="1411389483">
      <w:bodyDiv w:val="1"/>
      <w:marLeft w:val="0"/>
      <w:marRight w:val="0"/>
      <w:marTop w:val="0"/>
      <w:marBottom w:val="0"/>
      <w:divBdr>
        <w:top w:val="none" w:sz="0" w:space="0" w:color="auto"/>
        <w:left w:val="none" w:sz="0" w:space="0" w:color="auto"/>
        <w:bottom w:val="none" w:sz="0" w:space="0" w:color="auto"/>
        <w:right w:val="none" w:sz="0" w:space="0" w:color="auto"/>
      </w:divBdr>
    </w:div>
    <w:div w:id="1446195358">
      <w:bodyDiv w:val="1"/>
      <w:marLeft w:val="0"/>
      <w:marRight w:val="0"/>
      <w:marTop w:val="0"/>
      <w:marBottom w:val="0"/>
      <w:divBdr>
        <w:top w:val="none" w:sz="0" w:space="0" w:color="auto"/>
        <w:left w:val="none" w:sz="0" w:space="0" w:color="auto"/>
        <w:bottom w:val="none" w:sz="0" w:space="0" w:color="auto"/>
        <w:right w:val="none" w:sz="0" w:space="0" w:color="auto"/>
      </w:divBdr>
    </w:div>
    <w:div w:id="1517110370">
      <w:bodyDiv w:val="1"/>
      <w:marLeft w:val="0"/>
      <w:marRight w:val="0"/>
      <w:marTop w:val="0"/>
      <w:marBottom w:val="0"/>
      <w:divBdr>
        <w:top w:val="none" w:sz="0" w:space="0" w:color="auto"/>
        <w:left w:val="none" w:sz="0" w:space="0" w:color="auto"/>
        <w:bottom w:val="none" w:sz="0" w:space="0" w:color="auto"/>
        <w:right w:val="none" w:sz="0" w:space="0" w:color="auto"/>
      </w:divBdr>
    </w:div>
    <w:div w:id="1524123959">
      <w:bodyDiv w:val="1"/>
      <w:marLeft w:val="0"/>
      <w:marRight w:val="0"/>
      <w:marTop w:val="0"/>
      <w:marBottom w:val="0"/>
      <w:divBdr>
        <w:top w:val="none" w:sz="0" w:space="0" w:color="auto"/>
        <w:left w:val="none" w:sz="0" w:space="0" w:color="auto"/>
        <w:bottom w:val="none" w:sz="0" w:space="0" w:color="auto"/>
        <w:right w:val="none" w:sz="0" w:space="0" w:color="auto"/>
      </w:divBdr>
    </w:div>
    <w:div w:id="1536305762">
      <w:bodyDiv w:val="1"/>
      <w:marLeft w:val="0"/>
      <w:marRight w:val="0"/>
      <w:marTop w:val="0"/>
      <w:marBottom w:val="0"/>
      <w:divBdr>
        <w:top w:val="none" w:sz="0" w:space="0" w:color="auto"/>
        <w:left w:val="none" w:sz="0" w:space="0" w:color="auto"/>
        <w:bottom w:val="none" w:sz="0" w:space="0" w:color="auto"/>
        <w:right w:val="none" w:sz="0" w:space="0" w:color="auto"/>
      </w:divBdr>
    </w:div>
    <w:div w:id="1538349236">
      <w:bodyDiv w:val="1"/>
      <w:marLeft w:val="0"/>
      <w:marRight w:val="0"/>
      <w:marTop w:val="0"/>
      <w:marBottom w:val="0"/>
      <w:divBdr>
        <w:top w:val="none" w:sz="0" w:space="0" w:color="auto"/>
        <w:left w:val="none" w:sz="0" w:space="0" w:color="auto"/>
        <w:bottom w:val="none" w:sz="0" w:space="0" w:color="auto"/>
        <w:right w:val="none" w:sz="0" w:space="0" w:color="auto"/>
      </w:divBdr>
    </w:div>
    <w:div w:id="1553229146">
      <w:bodyDiv w:val="1"/>
      <w:marLeft w:val="0"/>
      <w:marRight w:val="0"/>
      <w:marTop w:val="0"/>
      <w:marBottom w:val="0"/>
      <w:divBdr>
        <w:top w:val="none" w:sz="0" w:space="0" w:color="auto"/>
        <w:left w:val="none" w:sz="0" w:space="0" w:color="auto"/>
        <w:bottom w:val="none" w:sz="0" w:space="0" w:color="auto"/>
        <w:right w:val="none" w:sz="0" w:space="0" w:color="auto"/>
      </w:divBdr>
    </w:div>
    <w:div w:id="1575385446">
      <w:bodyDiv w:val="1"/>
      <w:marLeft w:val="0"/>
      <w:marRight w:val="0"/>
      <w:marTop w:val="0"/>
      <w:marBottom w:val="0"/>
      <w:divBdr>
        <w:top w:val="none" w:sz="0" w:space="0" w:color="auto"/>
        <w:left w:val="none" w:sz="0" w:space="0" w:color="auto"/>
        <w:bottom w:val="none" w:sz="0" w:space="0" w:color="auto"/>
        <w:right w:val="none" w:sz="0" w:space="0" w:color="auto"/>
      </w:divBdr>
    </w:div>
    <w:div w:id="1591893507">
      <w:bodyDiv w:val="1"/>
      <w:marLeft w:val="0"/>
      <w:marRight w:val="0"/>
      <w:marTop w:val="0"/>
      <w:marBottom w:val="0"/>
      <w:divBdr>
        <w:top w:val="none" w:sz="0" w:space="0" w:color="auto"/>
        <w:left w:val="none" w:sz="0" w:space="0" w:color="auto"/>
        <w:bottom w:val="none" w:sz="0" w:space="0" w:color="auto"/>
        <w:right w:val="none" w:sz="0" w:space="0" w:color="auto"/>
      </w:divBdr>
    </w:div>
    <w:div w:id="1611858940">
      <w:bodyDiv w:val="1"/>
      <w:marLeft w:val="0"/>
      <w:marRight w:val="0"/>
      <w:marTop w:val="0"/>
      <w:marBottom w:val="0"/>
      <w:divBdr>
        <w:top w:val="none" w:sz="0" w:space="0" w:color="auto"/>
        <w:left w:val="none" w:sz="0" w:space="0" w:color="auto"/>
        <w:bottom w:val="none" w:sz="0" w:space="0" w:color="auto"/>
        <w:right w:val="none" w:sz="0" w:space="0" w:color="auto"/>
      </w:divBdr>
    </w:div>
    <w:div w:id="1614556140">
      <w:bodyDiv w:val="1"/>
      <w:marLeft w:val="0"/>
      <w:marRight w:val="0"/>
      <w:marTop w:val="0"/>
      <w:marBottom w:val="0"/>
      <w:divBdr>
        <w:top w:val="none" w:sz="0" w:space="0" w:color="auto"/>
        <w:left w:val="none" w:sz="0" w:space="0" w:color="auto"/>
        <w:bottom w:val="none" w:sz="0" w:space="0" w:color="auto"/>
        <w:right w:val="none" w:sz="0" w:space="0" w:color="auto"/>
      </w:divBdr>
    </w:div>
    <w:div w:id="1620912430">
      <w:bodyDiv w:val="1"/>
      <w:marLeft w:val="0"/>
      <w:marRight w:val="0"/>
      <w:marTop w:val="0"/>
      <w:marBottom w:val="0"/>
      <w:divBdr>
        <w:top w:val="none" w:sz="0" w:space="0" w:color="auto"/>
        <w:left w:val="none" w:sz="0" w:space="0" w:color="auto"/>
        <w:bottom w:val="none" w:sz="0" w:space="0" w:color="auto"/>
        <w:right w:val="none" w:sz="0" w:space="0" w:color="auto"/>
      </w:divBdr>
    </w:div>
    <w:div w:id="1622297537">
      <w:bodyDiv w:val="1"/>
      <w:marLeft w:val="0"/>
      <w:marRight w:val="0"/>
      <w:marTop w:val="0"/>
      <w:marBottom w:val="0"/>
      <w:divBdr>
        <w:top w:val="none" w:sz="0" w:space="0" w:color="auto"/>
        <w:left w:val="none" w:sz="0" w:space="0" w:color="auto"/>
        <w:bottom w:val="none" w:sz="0" w:space="0" w:color="auto"/>
        <w:right w:val="none" w:sz="0" w:space="0" w:color="auto"/>
      </w:divBdr>
    </w:div>
    <w:div w:id="1631591916">
      <w:bodyDiv w:val="1"/>
      <w:marLeft w:val="0"/>
      <w:marRight w:val="0"/>
      <w:marTop w:val="0"/>
      <w:marBottom w:val="0"/>
      <w:divBdr>
        <w:top w:val="none" w:sz="0" w:space="0" w:color="auto"/>
        <w:left w:val="none" w:sz="0" w:space="0" w:color="auto"/>
        <w:bottom w:val="none" w:sz="0" w:space="0" w:color="auto"/>
        <w:right w:val="none" w:sz="0" w:space="0" w:color="auto"/>
      </w:divBdr>
    </w:div>
    <w:div w:id="1634560294">
      <w:bodyDiv w:val="1"/>
      <w:marLeft w:val="0"/>
      <w:marRight w:val="0"/>
      <w:marTop w:val="0"/>
      <w:marBottom w:val="0"/>
      <w:divBdr>
        <w:top w:val="none" w:sz="0" w:space="0" w:color="auto"/>
        <w:left w:val="none" w:sz="0" w:space="0" w:color="auto"/>
        <w:bottom w:val="none" w:sz="0" w:space="0" w:color="auto"/>
        <w:right w:val="none" w:sz="0" w:space="0" w:color="auto"/>
      </w:divBdr>
    </w:div>
    <w:div w:id="1677731014">
      <w:bodyDiv w:val="1"/>
      <w:marLeft w:val="0"/>
      <w:marRight w:val="0"/>
      <w:marTop w:val="0"/>
      <w:marBottom w:val="0"/>
      <w:divBdr>
        <w:top w:val="none" w:sz="0" w:space="0" w:color="auto"/>
        <w:left w:val="none" w:sz="0" w:space="0" w:color="auto"/>
        <w:bottom w:val="none" w:sz="0" w:space="0" w:color="auto"/>
        <w:right w:val="none" w:sz="0" w:space="0" w:color="auto"/>
      </w:divBdr>
    </w:div>
    <w:div w:id="1716345230">
      <w:bodyDiv w:val="1"/>
      <w:marLeft w:val="0"/>
      <w:marRight w:val="0"/>
      <w:marTop w:val="0"/>
      <w:marBottom w:val="0"/>
      <w:divBdr>
        <w:top w:val="none" w:sz="0" w:space="0" w:color="auto"/>
        <w:left w:val="none" w:sz="0" w:space="0" w:color="auto"/>
        <w:bottom w:val="none" w:sz="0" w:space="0" w:color="auto"/>
        <w:right w:val="none" w:sz="0" w:space="0" w:color="auto"/>
      </w:divBdr>
    </w:div>
    <w:div w:id="1733311161">
      <w:bodyDiv w:val="1"/>
      <w:marLeft w:val="0"/>
      <w:marRight w:val="0"/>
      <w:marTop w:val="0"/>
      <w:marBottom w:val="0"/>
      <w:divBdr>
        <w:top w:val="none" w:sz="0" w:space="0" w:color="auto"/>
        <w:left w:val="none" w:sz="0" w:space="0" w:color="auto"/>
        <w:bottom w:val="none" w:sz="0" w:space="0" w:color="auto"/>
        <w:right w:val="none" w:sz="0" w:space="0" w:color="auto"/>
      </w:divBdr>
    </w:div>
    <w:div w:id="1757050226">
      <w:bodyDiv w:val="1"/>
      <w:marLeft w:val="0"/>
      <w:marRight w:val="0"/>
      <w:marTop w:val="0"/>
      <w:marBottom w:val="0"/>
      <w:divBdr>
        <w:top w:val="none" w:sz="0" w:space="0" w:color="auto"/>
        <w:left w:val="none" w:sz="0" w:space="0" w:color="auto"/>
        <w:bottom w:val="none" w:sz="0" w:space="0" w:color="auto"/>
        <w:right w:val="none" w:sz="0" w:space="0" w:color="auto"/>
      </w:divBdr>
    </w:div>
    <w:div w:id="1785885783">
      <w:bodyDiv w:val="1"/>
      <w:marLeft w:val="0"/>
      <w:marRight w:val="0"/>
      <w:marTop w:val="0"/>
      <w:marBottom w:val="0"/>
      <w:divBdr>
        <w:top w:val="none" w:sz="0" w:space="0" w:color="auto"/>
        <w:left w:val="none" w:sz="0" w:space="0" w:color="auto"/>
        <w:bottom w:val="none" w:sz="0" w:space="0" w:color="auto"/>
        <w:right w:val="none" w:sz="0" w:space="0" w:color="auto"/>
      </w:divBdr>
    </w:div>
    <w:div w:id="1801609243">
      <w:bodyDiv w:val="1"/>
      <w:marLeft w:val="0"/>
      <w:marRight w:val="0"/>
      <w:marTop w:val="0"/>
      <w:marBottom w:val="0"/>
      <w:divBdr>
        <w:top w:val="none" w:sz="0" w:space="0" w:color="auto"/>
        <w:left w:val="none" w:sz="0" w:space="0" w:color="auto"/>
        <w:bottom w:val="none" w:sz="0" w:space="0" w:color="auto"/>
        <w:right w:val="none" w:sz="0" w:space="0" w:color="auto"/>
      </w:divBdr>
    </w:div>
    <w:div w:id="1858083247">
      <w:bodyDiv w:val="1"/>
      <w:marLeft w:val="0"/>
      <w:marRight w:val="0"/>
      <w:marTop w:val="0"/>
      <w:marBottom w:val="0"/>
      <w:divBdr>
        <w:top w:val="none" w:sz="0" w:space="0" w:color="auto"/>
        <w:left w:val="none" w:sz="0" w:space="0" w:color="auto"/>
        <w:bottom w:val="none" w:sz="0" w:space="0" w:color="auto"/>
        <w:right w:val="none" w:sz="0" w:space="0" w:color="auto"/>
      </w:divBdr>
    </w:div>
    <w:div w:id="1884830776">
      <w:bodyDiv w:val="1"/>
      <w:marLeft w:val="0"/>
      <w:marRight w:val="0"/>
      <w:marTop w:val="0"/>
      <w:marBottom w:val="0"/>
      <w:divBdr>
        <w:top w:val="none" w:sz="0" w:space="0" w:color="auto"/>
        <w:left w:val="none" w:sz="0" w:space="0" w:color="auto"/>
        <w:bottom w:val="none" w:sz="0" w:space="0" w:color="auto"/>
        <w:right w:val="none" w:sz="0" w:space="0" w:color="auto"/>
      </w:divBdr>
    </w:div>
    <w:div w:id="1890603942">
      <w:bodyDiv w:val="1"/>
      <w:marLeft w:val="0"/>
      <w:marRight w:val="0"/>
      <w:marTop w:val="0"/>
      <w:marBottom w:val="0"/>
      <w:divBdr>
        <w:top w:val="none" w:sz="0" w:space="0" w:color="auto"/>
        <w:left w:val="none" w:sz="0" w:space="0" w:color="auto"/>
        <w:bottom w:val="none" w:sz="0" w:space="0" w:color="auto"/>
        <w:right w:val="none" w:sz="0" w:space="0" w:color="auto"/>
      </w:divBdr>
    </w:div>
    <w:div w:id="1903518630">
      <w:bodyDiv w:val="1"/>
      <w:marLeft w:val="0"/>
      <w:marRight w:val="0"/>
      <w:marTop w:val="0"/>
      <w:marBottom w:val="0"/>
      <w:divBdr>
        <w:top w:val="none" w:sz="0" w:space="0" w:color="auto"/>
        <w:left w:val="none" w:sz="0" w:space="0" w:color="auto"/>
        <w:bottom w:val="none" w:sz="0" w:space="0" w:color="auto"/>
        <w:right w:val="none" w:sz="0" w:space="0" w:color="auto"/>
      </w:divBdr>
    </w:div>
    <w:div w:id="1903785138">
      <w:bodyDiv w:val="1"/>
      <w:marLeft w:val="0"/>
      <w:marRight w:val="0"/>
      <w:marTop w:val="0"/>
      <w:marBottom w:val="0"/>
      <w:divBdr>
        <w:top w:val="none" w:sz="0" w:space="0" w:color="auto"/>
        <w:left w:val="none" w:sz="0" w:space="0" w:color="auto"/>
        <w:bottom w:val="none" w:sz="0" w:space="0" w:color="auto"/>
        <w:right w:val="none" w:sz="0" w:space="0" w:color="auto"/>
      </w:divBdr>
    </w:div>
    <w:div w:id="1931045373">
      <w:bodyDiv w:val="1"/>
      <w:marLeft w:val="0"/>
      <w:marRight w:val="0"/>
      <w:marTop w:val="0"/>
      <w:marBottom w:val="0"/>
      <w:divBdr>
        <w:top w:val="none" w:sz="0" w:space="0" w:color="auto"/>
        <w:left w:val="none" w:sz="0" w:space="0" w:color="auto"/>
        <w:bottom w:val="none" w:sz="0" w:space="0" w:color="auto"/>
        <w:right w:val="none" w:sz="0" w:space="0" w:color="auto"/>
      </w:divBdr>
    </w:div>
    <w:div w:id="1943953395">
      <w:bodyDiv w:val="1"/>
      <w:marLeft w:val="0"/>
      <w:marRight w:val="0"/>
      <w:marTop w:val="0"/>
      <w:marBottom w:val="0"/>
      <w:divBdr>
        <w:top w:val="none" w:sz="0" w:space="0" w:color="auto"/>
        <w:left w:val="none" w:sz="0" w:space="0" w:color="auto"/>
        <w:bottom w:val="none" w:sz="0" w:space="0" w:color="auto"/>
        <w:right w:val="none" w:sz="0" w:space="0" w:color="auto"/>
      </w:divBdr>
    </w:div>
    <w:div w:id="1945305875">
      <w:bodyDiv w:val="1"/>
      <w:marLeft w:val="0"/>
      <w:marRight w:val="0"/>
      <w:marTop w:val="0"/>
      <w:marBottom w:val="0"/>
      <w:divBdr>
        <w:top w:val="none" w:sz="0" w:space="0" w:color="auto"/>
        <w:left w:val="none" w:sz="0" w:space="0" w:color="auto"/>
        <w:bottom w:val="none" w:sz="0" w:space="0" w:color="auto"/>
        <w:right w:val="none" w:sz="0" w:space="0" w:color="auto"/>
      </w:divBdr>
    </w:div>
    <w:div w:id="1958484489">
      <w:bodyDiv w:val="1"/>
      <w:marLeft w:val="0"/>
      <w:marRight w:val="0"/>
      <w:marTop w:val="0"/>
      <w:marBottom w:val="0"/>
      <w:divBdr>
        <w:top w:val="none" w:sz="0" w:space="0" w:color="auto"/>
        <w:left w:val="none" w:sz="0" w:space="0" w:color="auto"/>
        <w:bottom w:val="none" w:sz="0" w:space="0" w:color="auto"/>
        <w:right w:val="none" w:sz="0" w:space="0" w:color="auto"/>
      </w:divBdr>
    </w:div>
    <w:div w:id="1958830986">
      <w:bodyDiv w:val="1"/>
      <w:marLeft w:val="0"/>
      <w:marRight w:val="0"/>
      <w:marTop w:val="0"/>
      <w:marBottom w:val="0"/>
      <w:divBdr>
        <w:top w:val="none" w:sz="0" w:space="0" w:color="auto"/>
        <w:left w:val="none" w:sz="0" w:space="0" w:color="auto"/>
        <w:bottom w:val="none" w:sz="0" w:space="0" w:color="auto"/>
        <w:right w:val="none" w:sz="0" w:space="0" w:color="auto"/>
      </w:divBdr>
    </w:div>
    <w:div w:id="1960989717">
      <w:bodyDiv w:val="1"/>
      <w:marLeft w:val="0"/>
      <w:marRight w:val="0"/>
      <w:marTop w:val="0"/>
      <w:marBottom w:val="0"/>
      <w:divBdr>
        <w:top w:val="none" w:sz="0" w:space="0" w:color="auto"/>
        <w:left w:val="none" w:sz="0" w:space="0" w:color="auto"/>
        <w:bottom w:val="none" w:sz="0" w:space="0" w:color="auto"/>
        <w:right w:val="none" w:sz="0" w:space="0" w:color="auto"/>
      </w:divBdr>
    </w:div>
    <w:div w:id="1974095669">
      <w:bodyDiv w:val="1"/>
      <w:marLeft w:val="0"/>
      <w:marRight w:val="0"/>
      <w:marTop w:val="0"/>
      <w:marBottom w:val="0"/>
      <w:divBdr>
        <w:top w:val="none" w:sz="0" w:space="0" w:color="auto"/>
        <w:left w:val="none" w:sz="0" w:space="0" w:color="auto"/>
        <w:bottom w:val="none" w:sz="0" w:space="0" w:color="auto"/>
        <w:right w:val="none" w:sz="0" w:space="0" w:color="auto"/>
      </w:divBdr>
    </w:div>
    <w:div w:id="1994017993">
      <w:bodyDiv w:val="1"/>
      <w:marLeft w:val="0"/>
      <w:marRight w:val="0"/>
      <w:marTop w:val="0"/>
      <w:marBottom w:val="0"/>
      <w:divBdr>
        <w:top w:val="none" w:sz="0" w:space="0" w:color="auto"/>
        <w:left w:val="none" w:sz="0" w:space="0" w:color="auto"/>
        <w:bottom w:val="none" w:sz="0" w:space="0" w:color="auto"/>
        <w:right w:val="none" w:sz="0" w:space="0" w:color="auto"/>
      </w:divBdr>
    </w:div>
    <w:div w:id="2019962717">
      <w:bodyDiv w:val="1"/>
      <w:marLeft w:val="0"/>
      <w:marRight w:val="0"/>
      <w:marTop w:val="0"/>
      <w:marBottom w:val="0"/>
      <w:divBdr>
        <w:top w:val="none" w:sz="0" w:space="0" w:color="auto"/>
        <w:left w:val="none" w:sz="0" w:space="0" w:color="auto"/>
        <w:bottom w:val="none" w:sz="0" w:space="0" w:color="auto"/>
        <w:right w:val="none" w:sz="0" w:space="0" w:color="auto"/>
      </w:divBdr>
    </w:div>
    <w:div w:id="2063483664">
      <w:bodyDiv w:val="1"/>
      <w:marLeft w:val="0"/>
      <w:marRight w:val="0"/>
      <w:marTop w:val="0"/>
      <w:marBottom w:val="0"/>
      <w:divBdr>
        <w:top w:val="none" w:sz="0" w:space="0" w:color="auto"/>
        <w:left w:val="none" w:sz="0" w:space="0" w:color="auto"/>
        <w:bottom w:val="none" w:sz="0" w:space="0" w:color="auto"/>
        <w:right w:val="none" w:sz="0" w:space="0" w:color="auto"/>
      </w:divBdr>
    </w:div>
    <w:div w:id="2081519864">
      <w:bodyDiv w:val="1"/>
      <w:marLeft w:val="0"/>
      <w:marRight w:val="0"/>
      <w:marTop w:val="0"/>
      <w:marBottom w:val="0"/>
      <w:divBdr>
        <w:top w:val="none" w:sz="0" w:space="0" w:color="auto"/>
        <w:left w:val="none" w:sz="0" w:space="0" w:color="auto"/>
        <w:bottom w:val="none" w:sz="0" w:space="0" w:color="auto"/>
        <w:right w:val="none" w:sz="0" w:space="0" w:color="auto"/>
      </w:divBdr>
    </w:div>
    <w:div w:id="2102021977">
      <w:bodyDiv w:val="1"/>
      <w:marLeft w:val="0"/>
      <w:marRight w:val="0"/>
      <w:marTop w:val="0"/>
      <w:marBottom w:val="0"/>
      <w:divBdr>
        <w:top w:val="none" w:sz="0" w:space="0" w:color="auto"/>
        <w:left w:val="none" w:sz="0" w:space="0" w:color="auto"/>
        <w:bottom w:val="none" w:sz="0" w:space="0" w:color="auto"/>
        <w:right w:val="none" w:sz="0" w:space="0" w:color="auto"/>
      </w:divBdr>
    </w:div>
    <w:div w:id="21170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footer" Target="footer3.xml"/><Relationship Id="rId21" Type="http://schemas.openxmlformats.org/officeDocument/2006/relationships/image" Target="media/image10.jpeg"/><Relationship Id="rId34" Type="http://schemas.openxmlformats.org/officeDocument/2006/relationships/chart" Target="charts/chart4.xml"/><Relationship Id="rId42" Type="http://schemas.openxmlformats.org/officeDocument/2006/relationships/image" Target="media/image21.png"/><Relationship Id="rId47" Type="http://schemas.openxmlformats.org/officeDocument/2006/relationships/footer" Target="footer8.xml"/><Relationship Id="rId50" Type="http://schemas.openxmlformats.org/officeDocument/2006/relationships/image" Target="media/image23.png"/><Relationship Id="rId55" Type="http://schemas.openxmlformats.org/officeDocument/2006/relationships/image" Target="media/image28.png"/><Relationship Id="rId63" Type="http://schemas.openxmlformats.org/officeDocument/2006/relationships/image" Target="media/image36.png"/><Relationship Id="rId68" Type="http://schemas.openxmlformats.org/officeDocument/2006/relationships/image" Target="media/image41.png"/><Relationship Id="rId76" Type="http://schemas.openxmlformats.org/officeDocument/2006/relationships/image" Target="media/image46.png"/><Relationship Id="rId84" Type="http://schemas.openxmlformats.org/officeDocument/2006/relationships/footer" Target="footer13.xml"/><Relationship Id="rId89" Type="http://schemas.openxmlformats.org/officeDocument/2006/relationships/footer" Target="footer14.xml"/><Relationship Id="rId7" Type="http://schemas.openxmlformats.org/officeDocument/2006/relationships/endnotes" Target="endnotes.xml"/><Relationship Id="rId71"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8.jpeg"/><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chart" Target="charts/chart7.xml"/><Relationship Id="rId40" Type="http://schemas.openxmlformats.org/officeDocument/2006/relationships/footer" Target="footer4.xml"/><Relationship Id="rId45" Type="http://schemas.openxmlformats.org/officeDocument/2006/relationships/footer" Target="footer7.xml"/><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image" Target="media/image39.png"/><Relationship Id="rId74" Type="http://schemas.openxmlformats.org/officeDocument/2006/relationships/footer" Target="footer11.xml"/><Relationship Id="rId79" Type="http://schemas.openxmlformats.org/officeDocument/2006/relationships/header" Target="header6.xml"/><Relationship Id="rId87" Type="http://schemas.openxmlformats.org/officeDocument/2006/relationships/header" Target="header12.xml"/><Relationship Id="rId5" Type="http://schemas.openxmlformats.org/officeDocument/2006/relationships/webSettings" Target="webSettings.xml"/><Relationship Id="rId61" Type="http://schemas.openxmlformats.org/officeDocument/2006/relationships/image" Target="media/image34.png"/><Relationship Id="rId82" Type="http://schemas.openxmlformats.org/officeDocument/2006/relationships/header" Target="header9.xml"/><Relationship Id="rId90"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1.xml"/><Relationship Id="rId35" Type="http://schemas.openxmlformats.org/officeDocument/2006/relationships/chart" Target="charts/chart5.xml"/><Relationship Id="rId43" Type="http://schemas.openxmlformats.org/officeDocument/2006/relationships/footer" Target="footer5.xml"/><Relationship Id="rId48" Type="http://schemas.openxmlformats.org/officeDocument/2006/relationships/image" Target="media/image22.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image" Target="media/image47.png"/><Relationship Id="rId8" Type="http://schemas.openxmlformats.org/officeDocument/2006/relationships/image" Target="media/image2.png"/><Relationship Id="rId51" Type="http://schemas.openxmlformats.org/officeDocument/2006/relationships/image" Target="media/image24.png"/><Relationship Id="rId72" Type="http://schemas.openxmlformats.org/officeDocument/2006/relationships/image" Target="media/image45.png"/><Relationship Id="rId80" Type="http://schemas.openxmlformats.org/officeDocument/2006/relationships/header" Target="header7.xml"/><Relationship Id="rId85" Type="http://schemas.openxmlformats.org/officeDocument/2006/relationships/hyperlink" Target="file:///Z:\PROJEKTY%20-%20SEKTOR%20PUBLICZNY\STRATEGIE%20ZIT\ZIT%20WROC&#321;AW\!%20PRZEDMOT%20ZAM&#211;WIENIA%20-%20CD\Strategia%20ZIT%20WrOF_WERSJA%20DOST&#280;PNA.docx"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eader" Target="header3.xml"/><Relationship Id="rId25" Type="http://schemas.openxmlformats.org/officeDocument/2006/relationships/image" Target="media/image14.jpeg"/><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header" Target="header4.xml"/><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image" Target="media/image9.jpeg"/><Relationship Id="rId41" Type="http://schemas.openxmlformats.org/officeDocument/2006/relationships/image" Target="media/image20.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footer" Target="footer12.xml"/><Relationship Id="rId83" Type="http://schemas.openxmlformats.org/officeDocument/2006/relationships/header" Target="header10.xml"/><Relationship Id="rId88" Type="http://schemas.openxmlformats.org/officeDocument/2006/relationships/header" Target="header13.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hart" Target="charts/chart6.xml"/><Relationship Id="rId49" Type="http://schemas.openxmlformats.org/officeDocument/2006/relationships/footer" Target="footer9.xml"/><Relationship Id="rId57" Type="http://schemas.openxmlformats.org/officeDocument/2006/relationships/image" Target="media/image30.png"/><Relationship Id="rId10" Type="http://schemas.openxmlformats.org/officeDocument/2006/relationships/image" Target="media/image4.png"/><Relationship Id="rId31" Type="http://schemas.openxmlformats.org/officeDocument/2006/relationships/chart" Target="charts/chart2.xml"/><Relationship Id="rId44" Type="http://schemas.openxmlformats.org/officeDocument/2006/relationships/footer" Target="footer6.xml"/><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footer" Target="footer10.xml"/><Relationship Id="rId78" Type="http://schemas.openxmlformats.org/officeDocument/2006/relationships/header" Target="header5.xml"/><Relationship Id="rId81" Type="http://schemas.openxmlformats.org/officeDocument/2006/relationships/header" Target="header8.xml"/><Relationship Id="rId86"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Gabrysia\Downloads\STAN_3586_XTAB_20221114081919%20(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talia\Downloads\KULT_2155_XTAB_20220819122715.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Zeszyt1"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ocuments\BRESLAU\KASZA\RAPORT%20Z%20BADA&#323;\Wroc&#322;aw%20wyniki%20cATI.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jan.liniany\Desktop\WrOF_wykresy%20(1).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Sylwia\Desktop\ZIT%20Wroc&#322;aw\Dochody%20i%20wydatki.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oleObject" Target="file:///\\192.168.147.147\delta\PROJEKTY%20-%20SEKTOR%20PUBLICZNY\STRATEGIE%20ZIT\ZIT%20WROC&#321;AW\DIAGNOZA\SP\Poprawa%2007.11.2022%20r\Moje%20excele\Dochody%20i%20wydatki.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700092124247934E-2"/>
          <c:y val="5.0925925925927124E-2"/>
          <c:w val="0.91741096104706787"/>
          <c:h val="0.78467717091257172"/>
        </c:manualLayout>
      </c:layout>
      <c:barChart>
        <c:barDir val="col"/>
        <c:grouping val="clustered"/>
        <c:varyColors val="0"/>
        <c:ser>
          <c:idx val="0"/>
          <c:order val="0"/>
          <c:tx>
            <c:v>odpady zebrane w ciągu roku</c:v>
          </c:tx>
          <c:spPr>
            <a:solidFill>
              <a:schemeClr val="accent1"/>
            </a:solidFill>
            <a:ln>
              <a:noFill/>
            </a:ln>
            <a:effectLst/>
          </c:spPr>
          <c:invertIfNegative val="0"/>
          <c:dLbls>
            <c:numFmt formatCode="#,##0.00" sourceLinked="0"/>
            <c:spPr>
              <a:noFill/>
              <a:ln>
                <a:noFill/>
              </a:ln>
              <a:effectLst/>
            </c:spPr>
            <c:txPr>
              <a:bodyPr rot="-5400000" spcFirstLastPara="1" vertOverflow="ellipsis" wrap="square" anchor="ctr" anchorCtr="1"/>
              <a:lstStyle/>
              <a:p>
                <a:pPr>
                  <a:defRPr sz="1200" b="1" i="0" u="none" strike="noStrike" kern="1200" baseline="0">
                    <a:solidFill>
                      <a:schemeClr val="bg1"/>
                    </a:solidFill>
                    <a:latin typeface="+mn-lt"/>
                    <a:ea typeface="+mn-ea"/>
                    <a:cs typeface="+mn-cs"/>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Arkusz1!$F$4:$J$4</c:f>
              <c:numCache>
                <c:formatCode>General</c:formatCode>
                <c:ptCount val="5"/>
                <c:pt idx="0">
                  <c:v>2017</c:v>
                </c:pt>
                <c:pt idx="1">
                  <c:v>2018</c:v>
                </c:pt>
                <c:pt idx="2">
                  <c:v>2019</c:v>
                </c:pt>
                <c:pt idx="3">
                  <c:v>2020</c:v>
                </c:pt>
                <c:pt idx="4">
                  <c:v>2021</c:v>
                </c:pt>
              </c:numCache>
            </c:numRef>
          </c:cat>
          <c:val>
            <c:numRef>
              <c:f>Arkusz1!$F$5:$J$5</c:f>
              <c:numCache>
                <c:formatCode>General</c:formatCode>
                <c:ptCount val="5"/>
                <c:pt idx="0">
                  <c:v>438611.81</c:v>
                </c:pt>
                <c:pt idx="1">
                  <c:v>469735.39</c:v>
                </c:pt>
                <c:pt idx="2">
                  <c:v>495901.96</c:v>
                </c:pt>
                <c:pt idx="3">
                  <c:v>468917.9700000002</c:v>
                </c:pt>
                <c:pt idx="4">
                  <c:v>542191.16999999899</c:v>
                </c:pt>
              </c:numCache>
            </c:numRef>
          </c:val>
          <c:extLst xmlns:c16r2="http://schemas.microsoft.com/office/drawing/2015/06/chart">
            <c:ext xmlns:c16="http://schemas.microsoft.com/office/drawing/2014/chart" uri="{C3380CC4-5D6E-409C-BE32-E72D297353CC}">
              <c16:uniqueId val="{00000000-E60C-45EE-BBA0-DC157C02FB82}"/>
            </c:ext>
          </c:extLst>
        </c:ser>
        <c:dLbls>
          <c:showLegendKey val="0"/>
          <c:showVal val="1"/>
          <c:showCatName val="0"/>
          <c:showSerName val="0"/>
          <c:showPercent val="0"/>
          <c:showBubbleSize val="0"/>
        </c:dLbls>
        <c:gapWidth val="82"/>
        <c:overlap val="-27"/>
        <c:axId val="339011928"/>
        <c:axId val="339012320"/>
      </c:barChart>
      <c:catAx>
        <c:axId val="33901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pl-PL"/>
          </a:p>
        </c:txPr>
        <c:crossAx val="339012320"/>
        <c:crosses val="autoZero"/>
        <c:auto val="1"/>
        <c:lblAlgn val="ctr"/>
        <c:lblOffset val="100"/>
        <c:noMultiLvlLbl val="0"/>
      </c:catAx>
      <c:valAx>
        <c:axId val="339012320"/>
        <c:scaling>
          <c:orientation val="minMax"/>
        </c:scaling>
        <c:delete val="1"/>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pl-PL"/>
                  <a:t>[t]</a:t>
                </a:r>
              </a:p>
            </c:rich>
          </c:tx>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one"/>
        <c:crossAx val="339011928"/>
        <c:crosses val="autoZero"/>
        <c:crossBetween val="between"/>
      </c:valAx>
      <c:spPr>
        <a:noFill/>
        <a:ln>
          <a:noFill/>
        </a:ln>
        <a:effectLst/>
      </c:spPr>
    </c:plotArea>
    <c:legend>
      <c:legendPos val="r"/>
      <c:layout>
        <c:manualLayout>
          <c:xMode val="edge"/>
          <c:yMode val="edge"/>
          <c:x val="3.8741653317192211E-2"/>
          <c:y val="9.3744653784572182E-2"/>
          <c:w val="0.34166666666668155"/>
          <c:h val="6.870278194431064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a:solidFill>
            <a:schemeClr val="tx1"/>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5400000"/>
              <a:lstStyle/>
              <a:p>
                <a:pPr>
                  <a:defRPr>
                    <a:solidFill>
                      <a:schemeClr val="bg1"/>
                    </a:solidFill>
                  </a:defRPr>
                </a:pPr>
                <a:endParaRPr lang="pl-PL"/>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'[STAN_3586_XTAB_20221114081919 (4).xlsx]TABLICA'!$F$4:$F$24</c:f>
              <c:strCache>
                <c:ptCount val="21"/>
                <c:pt idx="0">
                  <c:v>Czernica</c:v>
                </c:pt>
                <c:pt idx="1">
                  <c:v>Długołęka</c:v>
                </c:pt>
                <c:pt idx="2">
                  <c:v>Dobroszyce</c:v>
                </c:pt>
                <c:pt idx="3">
                  <c:v>Jelcz-Laskowice</c:v>
                </c:pt>
                <c:pt idx="4">
                  <c:v>Kąty Wrocławskie</c:v>
                </c:pt>
                <c:pt idx="5">
                  <c:v>Kobierzyce</c:v>
                </c:pt>
                <c:pt idx="6">
                  <c:v>Miękinia</c:v>
                </c:pt>
                <c:pt idx="7">
                  <c:v>Oborniki Śląskie</c:v>
                </c:pt>
                <c:pt idx="8">
                  <c:v>Oleśnica (gmina wiejska)</c:v>
                </c:pt>
                <c:pt idx="9">
                  <c:v>Oleśnica (miasto)</c:v>
                </c:pt>
                <c:pt idx="10">
                  <c:v>Oława (gmina wiejska)</c:v>
                </c:pt>
                <c:pt idx="11">
                  <c:v>Oława (miasto)</c:v>
                </c:pt>
                <c:pt idx="12">
                  <c:v>Siechnice</c:v>
                </c:pt>
                <c:pt idx="13">
                  <c:v>Sobótka</c:v>
                </c:pt>
                <c:pt idx="14">
                  <c:v>Trzebnica</c:v>
                </c:pt>
                <c:pt idx="15">
                  <c:v>Wisznia Mała</c:v>
                </c:pt>
                <c:pt idx="16">
                  <c:v>Wrocław</c:v>
                </c:pt>
                <c:pt idx="17">
                  <c:v>Zawonia</c:v>
                </c:pt>
                <c:pt idx="18">
                  <c:v>Żórawina</c:v>
                </c:pt>
                <c:pt idx="19">
                  <c:v>woj. dolnośląskie</c:v>
                </c:pt>
                <c:pt idx="20">
                  <c:v>Polska</c:v>
                </c:pt>
              </c:strCache>
            </c:strRef>
          </c:cat>
          <c:val>
            <c:numRef>
              <c:f>'[STAN_3586_XTAB_20221114081919 (4).xlsx]TABLICA'!$G$4:$G$24</c:f>
              <c:numCache>
                <c:formatCode>#,##0</c:formatCode>
                <c:ptCount val="21"/>
                <c:pt idx="0">
                  <c:v>413</c:v>
                </c:pt>
                <c:pt idx="1">
                  <c:v>535</c:v>
                </c:pt>
                <c:pt idx="2">
                  <c:v>468</c:v>
                </c:pt>
                <c:pt idx="3">
                  <c:v>486</c:v>
                </c:pt>
                <c:pt idx="4">
                  <c:v>660</c:v>
                </c:pt>
                <c:pt idx="5">
                  <c:v>484</c:v>
                </c:pt>
                <c:pt idx="6">
                  <c:v>388</c:v>
                </c:pt>
                <c:pt idx="7">
                  <c:v>678</c:v>
                </c:pt>
                <c:pt idx="8">
                  <c:v>393</c:v>
                </c:pt>
                <c:pt idx="9">
                  <c:v>403</c:v>
                </c:pt>
                <c:pt idx="10">
                  <c:v>547</c:v>
                </c:pt>
                <c:pt idx="11">
                  <c:v>347</c:v>
                </c:pt>
                <c:pt idx="12">
                  <c:v>313</c:v>
                </c:pt>
                <c:pt idx="13">
                  <c:v>459</c:v>
                </c:pt>
                <c:pt idx="14">
                  <c:v>412</c:v>
                </c:pt>
                <c:pt idx="15">
                  <c:v>456</c:v>
                </c:pt>
                <c:pt idx="16">
                  <c:v>544</c:v>
                </c:pt>
                <c:pt idx="17">
                  <c:v>290</c:v>
                </c:pt>
                <c:pt idx="18">
                  <c:v>419</c:v>
                </c:pt>
                <c:pt idx="19">
                  <c:v>435</c:v>
                </c:pt>
                <c:pt idx="20">
                  <c:v>360</c:v>
                </c:pt>
              </c:numCache>
            </c:numRef>
          </c:val>
          <c:extLst xmlns:c16r2="http://schemas.microsoft.com/office/drawing/2015/06/chart">
            <c:ext xmlns:c16="http://schemas.microsoft.com/office/drawing/2014/chart" uri="{C3380CC4-5D6E-409C-BE32-E72D297353CC}">
              <c16:uniqueId val="{00000000-1271-4D84-B8CD-E071CE2C35B5}"/>
            </c:ext>
          </c:extLst>
        </c:ser>
        <c:dLbls>
          <c:showLegendKey val="0"/>
          <c:showVal val="1"/>
          <c:showCatName val="0"/>
          <c:showSerName val="0"/>
          <c:showPercent val="0"/>
          <c:showBubbleSize val="0"/>
        </c:dLbls>
        <c:gapWidth val="29"/>
        <c:overlap val="-27"/>
        <c:axId val="339013496"/>
        <c:axId val="339013888"/>
      </c:barChart>
      <c:catAx>
        <c:axId val="339013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339013888"/>
        <c:crosses val="autoZero"/>
        <c:auto val="1"/>
        <c:lblAlgn val="ctr"/>
        <c:lblOffset val="100"/>
        <c:noMultiLvlLbl val="0"/>
      </c:catAx>
      <c:valAx>
        <c:axId val="339013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pl-PL"/>
          </a:p>
        </c:txPr>
        <c:crossAx val="339013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200">
          <a:solidFill>
            <a:schemeClr val="tx1"/>
          </a:solidFill>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[KULT_2155_XTAB_20220819122715.xlsx]TABLICA!$AA$29</c:f>
              <c:strCache>
                <c:ptCount val="1"/>
                <c:pt idx="0">
                  <c:v>chłopcy</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1200" b="1" i="0" u="none" strike="noStrike" kern="1200" baseline="0">
                    <a:solidFill>
                      <a:schemeClr val="tx1"/>
                    </a:solidFill>
                    <a:latin typeface="+mn-lt"/>
                    <a:ea typeface="+mn-ea"/>
                    <a:cs typeface="+mn-cs"/>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[KULT_2155_XTAB_20220819122715.xlsx]TABLICA!$AB$28:$AF$28</c:f>
              <c:numCache>
                <c:formatCode>General</c:formatCode>
                <c:ptCount val="5"/>
                <c:pt idx="0">
                  <c:v>2010</c:v>
                </c:pt>
                <c:pt idx="1">
                  <c:v>2012</c:v>
                </c:pt>
                <c:pt idx="2">
                  <c:v>2014</c:v>
                </c:pt>
                <c:pt idx="3">
                  <c:v>2016</c:v>
                </c:pt>
                <c:pt idx="4">
                  <c:v>2018</c:v>
                </c:pt>
              </c:numCache>
            </c:numRef>
          </c:cat>
          <c:val>
            <c:numRef>
              <c:f>[KULT_2155_XTAB_20220819122715.xlsx]TABLICA!$AB$29:$AF$29</c:f>
              <c:numCache>
                <c:formatCode>0%</c:formatCode>
                <c:ptCount val="5"/>
                <c:pt idx="0">
                  <c:v>0.73341708542713557</c:v>
                </c:pt>
                <c:pt idx="1">
                  <c:v>0.76929217668974192</c:v>
                </c:pt>
                <c:pt idx="2">
                  <c:v>0.730361997424536</c:v>
                </c:pt>
                <c:pt idx="3">
                  <c:v>0.73383427899606402</c:v>
                </c:pt>
                <c:pt idx="4">
                  <c:v>0.73500000000000065</c:v>
                </c:pt>
              </c:numCache>
            </c:numRef>
          </c:val>
          <c:extLst xmlns:c16r2="http://schemas.microsoft.com/office/drawing/2015/06/chart">
            <c:ext xmlns:c16="http://schemas.microsoft.com/office/drawing/2014/chart" uri="{C3380CC4-5D6E-409C-BE32-E72D297353CC}">
              <c16:uniqueId val="{00000000-6A30-44C1-9AF4-DFBFAFFFC109}"/>
            </c:ext>
          </c:extLst>
        </c:ser>
        <c:ser>
          <c:idx val="1"/>
          <c:order val="1"/>
          <c:tx>
            <c:strRef>
              <c:f>[KULT_2155_XTAB_20220819122715.xlsx]TABLICA!$AA$30</c:f>
              <c:strCache>
                <c:ptCount val="1"/>
                <c:pt idx="0">
                  <c:v>dziewczęta</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200" b="1" i="0" u="none" strike="noStrike" kern="1200" baseline="0">
                    <a:solidFill>
                      <a:schemeClr val="tx1"/>
                    </a:solidFill>
                    <a:latin typeface="+mn-lt"/>
                    <a:ea typeface="+mn-ea"/>
                    <a:cs typeface="+mn-cs"/>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[KULT_2155_XTAB_20220819122715.xlsx]TABLICA!$AB$28:$AF$28</c:f>
              <c:numCache>
                <c:formatCode>General</c:formatCode>
                <c:ptCount val="5"/>
                <c:pt idx="0">
                  <c:v>2010</c:v>
                </c:pt>
                <c:pt idx="1">
                  <c:v>2012</c:v>
                </c:pt>
                <c:pt idx="2">
                  <c:v>2014</c:v>
                </c:pt>
                <c:pt idx="3">
                  <c:v>2016</c:v>
                </c:pt>
                <c:pt idx="4">
                  <c:v>2018</c:v>
                </c:pt>
              </c:numCache>
            </c:numRef>
          </c:cat>
          <c:val>
            <c:numRef>
              <c:f>[KULT_2155_XTAB_20220819122715.xlsx]TABLICA!$AB$30:$AF$30</c:f>
              <c:numCache>
                <c:formatCode>0%</c:formatCode>
                <c:ptCount val="5"/>
                <c:pt idx="0">
                  <c:v>0.26658291457287248</c:v>
                </c:pt>
                <c:pt idx="1">
                  <c:v>0.23070782331027143</c:v>
                </c:pt>
                <c:pt idx="2">
                  <c:v>0.26963800257547577</c:v>
                </c:pt>
                <c:pt idx="3">
                  <c:v>0.26616572100393593</c:v>
                </c:pt>
                <c:pt idx="4">
                  <c:v>0.26500000000000001</c:v>
                </c:pt>
              </c:numCache>
            </c:numRef>
          </c:val>
          <c:extLst xmlns:c16r2="http://schemas.microsoft.com/office/drawing/2015/06/chart">
            <c:ext xmlns:c16="http://schemas.microsoft.com/office/drawing/2014/chart" uri="{C3380CC4-5D6E-409C-BE32-E72D297353CC}">
              <c16:uniqueId val="{00000001-6A30-44C1-9AF4-DFBFAFFFC109}"/>
            </c:ext>
          </c:extLst>
        </c:ser>
        <c:dLbls>
          <c:showLegendKey val="0"/>
          <c:showVal val="1"/>
          <c:showCatName val="0"/>
          <c:showSerName val="0"/>
          <c:showPercent val="0"/>
          <c:showBubbleSize val="0"/>
        </c:dLbls>
        <c:gapWidth val="90"/>
        <c:overlap val="100"/>
        <c:axId val="339014280"/>
        <c:axId val="339014672"/>
      </c:barChart>
      <c:lineChart>
        <c:grouping val="standard"/>
        <c:varyColors val="0"/>
        <c:ser>
          <c:idx val="2"/>
          <c:order val="2"/>
          <c:tx>
            <c:strRef>
              <c:f>[KULT_2155_XTAB_20220819122715.xlsx]TABLICA!$AA$31</c:f>
              <c:strCache>
                <c:ptCount val="1"/>
                <c:pt idx="0">
                  <c:v>liczba ćwiczących do lat 18 ogółem</c:v>
                </c:pt>
              </c:strCache>
            </c:strRef>
          </c:tx>
          <c:spPr>
            <a:ln w="19050" cap="rnd" cmpd="sng" algn="ctr">
              <a:solidFill>
                <a:schemeClr val="accent4"/>
              </a:solidFill>
              <a:prstDash val="solid"/>
              <a:round/>
            </a:ln>
            <a:effectLst/>
          </c:spPr>
          <c:marker>
            <c:symbol val="circle"/>
            <c:size val="12"/>
            <c:spPr>
              <a:solidFill>
                <a:schemeClr val="accent4"/>
              </a:solidFill>
              <a:ln w="6350" cap="flat" cmpd="sng" algn="ctr">
                <a:solidFill>
                  <a:schemeClr val="accent4"/>
                </a:solidFill>
                <a:prstDash val="solid"/>
                <a:round/>
              </a:ln>
              <a:effectLst/>
            </c:spPr>
          </c:marker>
          <c:dLbls>
            <c:dLbl>
              <c:idx val="0"/>
              <c:layout>
                <c:manualLayout>
                  <c:x val="-3.8976338425102092E-2"/>
                  <c:y val="-5.55555555555554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30-44C1-9AF4-DFBFAFFFC109}"/>
                </c:ext>
                <c:ext xmlns:c15="http://schemas.microsoft.com/office/drawing/2012/chart" uri="{CE6537A1-D6FC-4f65-9D91-7224C49458BB}">
                  <c15:layout/>
                </c:ext>
              </c:extLst>
            </c:dLbl>
            <c:dLbl>
              <c:idx val="1"/>
              <c:layout>
                <c:manualLayout>
                  <c:x val="-1.1136096692886241E-2"/>
                  <c:y val="-3.703703703703729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A30-44C1-9AF4-DFBFAFFFC109}"/>
                </c:ext>
                <c:ext xmlns:c15="http://schemas.microsoft.com/office/drawing/2012/chart" uri="{CE6537A1-D6FC-4f65-9D91-7224C49458BB}">
                  <c15:layout/>
                </c:ext>
              </c:extLst>
            </c:dLbl>
            <c:dLbl>
              <c:idx val="3"/>
              <c:layout>
                <c:manualLayout>
                  <c:x val="-2.7840241732216078E-2"/>
                  <c:y val="3.70370370370370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30-44C1-9AF4-DFBFAFFFC109}"/>
                </c:ext>
                <c:ext xmlns:c15="http://schemas.microsoft.com/office/drawing/2012/chart" uri="{CE6537A1-D6FC-4f65-9D91-7224C49458BB}">
                  <c15:layout/>
                </c:ext>
              </c:extLst>
            </c:dLbl>
            <c:dLbl>
              <c:idx val="4"/>
              <c:layout>
                <c:manualLayout>
                  <c:x val="-1.9488169212551584E-2"/>
                  <c:y val="3.24074074074082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A30-44C1-9AF4-DFBFAFFFC109}"/>
                </c:ext>
                <c:ext xmlns:c15="http://schemas.microsoft.com/office/drawing/2012/chart" uri="{CE6537A1-D6FC-4f65-9D91-7224C49458BB}">
                  <c15:layout/>
                </c:ext>
              </c:extLst>
            </c:dLbl>
            <c:numFmt formatCode="#,##0" sourceLinked="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val>
            <c:numRef>
              <c:f>[KULT_2155_XTAB_20220819122715.xlsx]TABLICA!$AB$31:$AF$31</c:f>
              <c:numCache>
                <c:formatCode>General</c:formatCode>
                <c:ptCount val="5"/>
                <c:pt idx="0">
                  <c:v>11940</c:v>
                </c:pt>
                <c:pt idx="1">
                  <c:v>15032</c:v>
                </c:pt>
                <c:pt idx="2">
                  <c:v>13978</c:v>
                </c:pt>
                <c:pt idx="3">
                  <c:v>19563</c:v>
                </c:pt>
                <c:pt idx="4">
                  <c:v>20200</c:v>
                </c:pt>
              </c:numCache>
            </c:numRef>
          </c:val>
          <c:smooth val="0"/>
          <c:extLst xmlns:c16r2="http://schemas.microsoft.com/office/drawing/2015/06/chart">
            <c:ext xmlns:c16="http://schemas.microsoft.com/office/drawing/2014/chart" uri="{C3380CC4-5D6E-409C-BE32-E72D297353CC}">
              <c16:uniqueId val="{00000006-6A30-44C1-9AF4-DFBFAFFFC109}"/>
            </c:ext>
          </c:extLst>
        </c:ser>
        <c:dLbls>
          <c:showLegendKey val="0"/>
          <c:showVal val="1"/>
          <c:showCatName val="0"/>
          <c:showSerName val="0"/>
          <c:showPercent val="0"/>
          <c:showBubbleSize val="0"/>
        </c:dLbls>
        <c:marker val="1"/>
        <c:smooth val="0"/>
        <c:axId val="339015456"/>
        <c:axId val="339015064"/>
      </c:lineChart>
      <c:catAx>
        <c:axId val="33901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pl-PL"/>
          </a:p>
        </c:txPr>
        <c:crossAx val="339014672"/>
        <c:crosses val="autoZero"/>
        <c:auto val="1"/>
        <c:lblAlgn val="ctr"/>
        <c:lblOffset val="100"/>
        <c:noMultiLvlLbl val="0"/>
      </c:catAx>
      <c:valAx>
        <c:axId val="3390146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pl-PL"/>
          </a:p>
        </c:txPr>
        <c:crossAx val="339014280"/>
        <c:crosses val="autoZero"/>
        <c:crossBetween val="between"/>
      </c:valAx>
      <c:valAx>
        <c:axId val="339015064"/>
        <c:scaling>
          <c:orientation val="minMax"/>
        </c:scaling>
        <c:delete val="0"/>
        <c:axPos val="r"/>
        <c:numFmt formatCode="#,##0" sourceLinked="0"/>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pl-PL"/>
          </a:p>
        </c:txPr>
        <c:crossAx val="339015456"/>
        <c:crosses val="max"/>
        <c:crossBetween val="between"/>
      </c:valAx>
      <c:catAx>
        <c:axId val="339015456"/>
        <c:scaling>
          <c:orientation val="minMax"/>
        </c:scaling>
        <c:delete val="1"/>
        <c:axPos val="b"/>
        <c:majorTickMark val="out"/>
        <c:minorTickMark val="none"/>
        <c:tickLblPos val="none"/>
        <c:crossAx val="3390150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prstDash val="solid"/>
      <a:round/>
    </a:ln>
    <a:effectLst/>
  </c:spPr>
  <c:txPr>
    <a:bodyPr/>
    <a:lstStyle/>
    <a:p>
      <a:pPr>
        <a:defRPr sz="1200" b="1">
          <a:solidFill>
            <a:schemeClr val="tx1"/>
          </a:solidFill>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Arkusz1!$I$20</c:f>
              <c:strCache>
                <c:ptCount val="1"/>
                <c:pt idx="0">
                  <c:v>bardzo dobrze</c:v>
                </c:pt>
              </c:strCache>
            </c:strRef>
          </c:tx>
          <c:spPr>
            <a:solidFill>
              <a:srgbClr val="276E8B"/>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Arkusz1!$J$19:$K$19</c:f>
              <c:strCache>
                <c:ptCount val="2"/>
                <c:pt idx="0">
                  <c:v>dostęp do lekarzy specjalistów</c:v>
                </c:pt>
                <c:pt idx="1">
                  <c:v>dostęp do lekarzy rodzinnych</c:v>
                </c:pt>
              </c:strCache>
            </c:strRef>
          </c:cat>
          <c:val>
            <c:numRef>
              <c:f>Arkusz1!$J$20:$K$20</c:f>
              <c:numCache>
                <c:formatCode>0.00%</c:formatCode>
                <c:ptCount val="2"/>
                <c:pt idx="0">
                  <c:v>8.3000000000000004E-2</c:v>
                </c:pt>
                <c:pt idx="1">
                  <c:v>8.5999999999999993E-2</c:v>
                </c:pt>
              </c:numCache>
            </c:numRef>
          </c:val>
        </c:ser>
        <c:ser>
          <c:idx val="1"/>
          <c:order val="1"/>
          <c:tx>
            <c:strRef>
              <c:f>Arkusz1!$I$21</c:f>
              <c:strCache>
                <c:ptCount val="1"/>
                <c:pt idx="0">
                  <c:v>dobrze</c:v>
                </c:pt>
              </c:strCache>
            </c:strRef>
          </c:tx>
          <c:spPr>
            <a:solidFill>
              <a:srgbClr val="5F9EC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Arkusz1!$J$19:$K$19</c:f>
              <c:strCache>
                <c:ptCount val="2"/>
                <c:pt idx="0">
                  <c:v>dostęp do lekarzy specjalistów</c:v>
                </c:pt>
                <c:pt idx="1">
                  <c:v>dostęp do lekarzy rodzinnych</c:v>
                </c:pt>
              </c:strCache>
            </c:strRef>
          </c:cat>
          <c:val>
            <c:numRef>
              <c:f>Arkusz1!$J$21:$K$21</c:f>
              <c:numCache>
                <c:formatCode>0.00%</c:formatCode>
                <c:ptCount val="2"/>
                <c:pt idx="0">
                  <c:v>0.38100000000000001</c:v>
                </c:pt>
                <c:pt idx="1">
                  <c:v>0.47699999999999998</c:v>
                </c:pt>
              </c:numCache>
            </c:numRef>
          </c:val>
        </c:ser>
        <c:ser>
          <c:idx val="2"/>
          <c:order val="2"/>
          <c:tx>
            <c:strRef>
              <c:f>Arkusz1!$I$22</c:f>
              <c:strCache>
                <c:ptCount val="1"/>
                <c:pt idx="0">
                  <c:v>anie dobrze, ani źle</c:v>
                </c:pt>
              </c:strCache>
            </c:strRef>
          </c:tx>
          <c:spPr>
            <a:solidFill>
              <a:srgbClr val="A5A5A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Arkusz1!$J$19:$K$19</c:f>
              <c:strCache>
                <c:ptCount val="2"/>
                <c:pt idx="0">
                  <c:v>dostęp do lekarzy specjalistów</c:v>
                </c:pt>
                <c:pt idx="1">
                  <c:v>dostęp do lekarzy rodzinnych</c:v>
                </c:pt>
              </c:strCache>
            </c:strRef>
          </c:cat>
          <c:val>
            <c:numRef>
              <c:f>Arkusz1!$J$22:$K$22</c:f>
              <c:numCache>
                <c:formatCode>0.00%</c:formatCode>
                <c:ptCount val="2"/>
                <c:pt idx="0">
                  <c:v>0.26900000000000002</c:v>
                </c:pt>
                <c:pt idx="1">
                  <c:v>0.29499999999999998</c:v>
                </c:pt>
              </c:numCache>
            </c:numRef>
          </c:val>
        </c:ser>
        <c:ser>
          <c:idx val="3"/>
          <c:order val="3"/>
          <c:tx>
            <c:strRef>
              <c:f>Arkusz1!$I$23</c:f>
              <c:strCache>
                <c:ptCount val="1"/>
                <c:pt idx="0">
                  <c:v>źle</c:v>
                </c:pt>
              </c:strCache>
            </c:strRef>
          </c:tx>
          <c:spPr>
            <a:solidFill>
              <a:srgbClr val="FFC000"/>
            </a:solidFill>
            <a:ln>
              <a:noFill/>
            </a:ln>
            <a:effectLst/>
          </c:spPr>
          <c:invertIfNegative val="0"/>
          <c:dLbls>
            <c:dLbl>
              <c:idx val="1"/>
              <c:layout>
                <c:manualLayout>
                  <c:x val="-2.6460859977949284E-2"/>
                  <c:y val="7.2020165646380988E-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Arkusz1!$J$19:$K$19</c:f>
              <c:strCache>
                <c:ptCount val="2"/>
                <c:pt idx="0">
                  <c:v>dostęp do lekarzy specjalistów</c:v>
                </c:pt>
                <c:pt idx="1">
                  <c:v>dostęp do lekarzy rodzinnych</c:v>
                </c:pt>
              </c:strCache>
            </c:strRef>
          </c:cat>
          <c:val>
            <c:numRef>
              <c:f>Arkusz1!$J$23:$K$23</c:f>
              <c:numCache>
                <c:formatCode>0.00%</c:formatCode>
                <c:ptCount val="2"/>
                <c:pt idx="0">
                  <c:v>0.17899999999999999</c:v>
                </c:pt>
                <c:pt idx="1">
                  <c:v>0.107</c:v>
                </c:pt>
              </c:numCache>
            </c:numRef>
          </c:val>
        </c:ser>
        <c:ser>
          <c:idx val="4"/>
          <c:order val="4"/>
          <c:tx>
            <c:strRef>
              <c:f>Arkusz1!$I$24</c:f>
              <c:strCache>
                <c:ptCount val="1"/>
                <c:pt idx="0">
                  <c:v>bardzo źle</c:v>
                </c:pt>
              </c:strCache>
            </c:strRef>
          </c:tx>
          <c:spPr>
            <a:solidFill>
              <a:srgbClr val="B48900"/>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Arkusz1!$J$19:$K$19</c:f>
              <c:strCache>
                <c:ptCount val="2"/>
                <c:pt idx="0">
                  <c:v>dostęp do lekarzy specjalistów</c:v>
                </c:pt>
                <c:pt idx="1">
                  <c:v>dostęp do lekarzy rodzinnych</c:v>
                </c:pt>
              </c:strCache>
            </c:strRef>
          </c:cat>
          <c:val>
            <c:numRef>
              <c:f>Arkusz1!$J$24:$K$24</c:f>
              <c:numCache>
                <c:formatCode>0.00%</c:formatCode>
                <c:ptCount val="2"/>
                <c:pt idx="0">
                  <c:v>8.7999999999999995E-2</c:v>
                </c:pt>
                <c:pt idx="1">
                  <c:v>3.5999999999999997E-2</c:v>
                </c:pt>
              </c:numCache>
            </c:numRef>
          </c:val>
        </c:ser>
        <c:dLbls>
          <c:dLblPos val="ctr"/>
          <c:showLegendKey val="0"/>
          <c:showVal val="1"/>
          <c:showCatName val="0"/>
          <c:showSerName val="0"/>
          <c:showPercent val="0"/>
          <c:showBubbleSize val="0"/>
        </c:dLbls>
        <c:gapWidth val="20"/>
        <c:overlap val="100"/>
        <c:axId val="339016632"/>
        <c:axId val="339017024"/>
      </c:barChart>
      <c:catAx>
        <c:axId val="339016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crossAx val="339017024"/>
        <c:crosses val="autoZero"/>
        <c:auto val="1"/>
        <c:lblAlgn val="ctr"/>
        <c:lblOffset val="100"/>
        <c:noMultiLvlLbl val="0"/>
      </c:catAx>
      <c:valAx>
        <c:axId val="3390170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390166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b="0">
          <a:solidFill>
            <a:schemeClr val="tx1"/>
          </a:solidFill>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18371861519744"/>
          <c:y val="4.8748061156658563E-2"/>
          <c:w val="0.79648268996792404"/>
          <c:h val="0.8034237758496745"/>
        </c:manualLayout>
      </c:layout>
      <c:barChart>
        <c:barDir val="bar"/>
        <c:grouping val="percentStacked"/>
        <c:varyColors val="1"/>
        <c:ser>
          <c:idx val="0"/>
          <c:order val="0"/>
          <c:tx>
            <c:strRef>
              <c:f>'P6 (2)'!$B$14</c:f>
              <c:strCache>
                <c:ptCount val="1"/>
                <c:pt idx="0">
                  <c:v>bardzo dobrze</c:v>
                </c:pt>
              </c:strCache>
            </c:strRef>
          </c:tx>
          <c:spPr>
            <a:solidFill>
              <a:srgbClr val="276E8B"/>
            </a:solidFill>
            <a:ln>
              <a:noFill/>
            </a:ln>
            <a:effectLst/>
          </c:spPr>
          <c:invertIfNegative val="0"/>
          <c:dLbls>
            <c:spPr>
              <a:noFill/>
              <a:ln>
                <a:noFill/>
              </a:ln>
              <a:effectLst/>
            </c:spPr>
            <c:txPr>
              <a:bodyPr/>
              <a:lstStyle/>
              <a:p>
                <a:pPr>
                  <a:defRPr sz="1100">
                    <a:solidFill>
                      <a:schemeClr val="bg1"/>
                    </a:solidFill>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'P6 (2)'!$G$13:$H$13</c:f>
              <c:strCache>
                <c:ptCount val="2"/>
                <c:pt idx="0">
                  <c:v>dostępność przedszkoli</c:v>
                </c:pt>
                <c:pt idx="1">
                  <c:v>dostępność żłobków </c:v>
                </c:pt>
              </c:strCache>
            </c:strRef>
          </c:cat>
          <c:val>
            <c:numRef>
              <c:f>'P6 (2)'!$G$14:$H$14</c:f>
              <c:numCache>
                <c:formatCode>0.0%</c:formatCode>
                <c:ptCount val="2"/>
                <c:pt idx="0">
                  <c:v>0.11163227016885729</c:v>
                </c:pt>
                <c:pt idx="1">
                  <c:v>8.8180112570356545E-2</c:v>
                </c:pt>
              </c:numCache>
            </c:numRef>
          </c:val>
          <c:extLst xmlns:c16r2="http://schemas.microsoft.com/office/drawing/2015/06/chart">
            <c:ext xmlns:c16="http://schemas.microsoft.com/office/drawing/2014/chart" uri="{C3380CC4-5D6E-409C-BE32-E72D297353CC}">
              <c16:uniqueId val="{00000000-9C42-469B-88DA-10E0A6185C82}"/>
            </c:ext>
          </c:extLst>
        </c:ser>
        <c:ser>
          <c:idx val="1"/>
          <c:order val="1"/>
          <c:tx>
            <c:strRef>
              <c:f>'P6 (2)'!$B$15</c:f>
              <c:strCache>
                <c:ptCount val="1"/>
                <c:pt idx="0">
                  <c:v>dobrze</c:v>
                </c:pt>
              </c:strCache>
            </c:strRef>
          </c:tx>
          <c:spPr>
            <a:solidFill>
              <a:srgbClr val="5F9EC5"/>
            </a:solidFill>
            <a:ln>
              <a:noFill/>
            </a:ln>
            <a:effectLst/>
          </c:spPr>
          <c:invertIfNegative val="1"/>
          <c:dLbls>
            <c:spPr>
              <a:noFill/>
              <a:ln>
                <a:noFill/>
              </a:ln>
              <a:effectLst/>
            </c:spPr>
            <c:txPr>
              <a:bodyPr/>
              <a:lstStyle/>
              <a:p>
                <a:pPr>
                  <a:defRPr sz="110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'P6 (2)'!$G$13:$H$13</c:f>
              <c:strCache>
                <c:ptCount val="2"/>
                <c:pt idx="0">
                  <c:v>dostępność przedszkoli</c:v>
                </c:pt>
                <c:pt idx="1">
                  <c:v>dostępność żłobków </c:v>
                </c:pt>
              </c:strCache>
            </c:strRef>
          </c:cat>
          <c:val>
            <c:numRef>
              <c:f>'P6 (2)'!$G$15:$H$15</c:f>
              <c:numCache>
                <c:formatCode>0.0%</c:formatCode>
                <c:ptCount val="2"/>
                <c:pt idx="0">
                  <c:v>0.51969981238277174</c:v>
                </c:pt>
                <c:pt idx="1">
                  <c:v>0.51313320825515951</c:v>
                </c:pt>
              </c:numCache>
            </c:numRef>
          </c:val>
          <c:extLst xmlns:c16r2="http://schemas.microsoft.com/office/drawing/2015/06/chart">
            <c:ext xmlns:c16="http://schemas.microsoft.com/office/drawing/2014/chart" uri="{C3380CC4-5D6E-409C-BE32-E72D297353CC}">
              <c16:uniqueId val="{00000001-9C42-469B-88DA-10E0A6185C82}"/>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2"/>
          <c:order val="2"/>
          <c:tx>
            <c:strRef>
              <c:f>'P6 (2)'!$B$16</c:f>
              <c:strCache>
                <c:ptCount val="1"/>
                <c:pt idx="0">
                  <c:v>ani dobrze, ani źle</c:v>
                </c:pt>
              </c:strCache>
            </c:strRef>
          </c:tx>
          <c:spPr>
            <a:solidFill>
              <a:srgbClr val="A5A5A5"/>
            </a:solidFill>
            <a:ln>
              <a:noFill/>
            </a:ln>
            <a:effectLst/>
          </c:spPr>
          <c:invertIfNegative val="1"/>
          <c:dLbls>
            <c:spPr>
              <a:noFill/>
              <a:ln>
                <a:noFill/>
              </a:ln>
              <a:effectLst/>
            </c:spPr>
            <c:txPr>
              <a:bodyPr/>
              <a:lstStyle/>
              <a:p>
                <a:pPr>
                  <a:defRPr sz="110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'P6 (2)'!$G$13:$H$13</c:f>
              <c:strCache>
                <c:ptCount val="2"/>
                <c:pt idx="0">
                  <c:v>dostępność przedszkoli</c:v>
                </c:pt>
                <c:pt idx="1">
                  <c:v>dostępność żłobków </c:v>
                </c:pt>
              </c:strCache>
            </c:strRef>
          </c:cat>
          <c:val>
            <c:numRef>
              <c:f>'P6 (2)'!$G$16:$H$16</c:f>
              <c:numCache>
                <c:formatCode>0.0%</c:formatCode>
                <c:ptCount val="2"/>
                <c:pt idx="0">
                  <c:v>0.28517823639776091</c:v>
                </c:pt>
                <c:pt idx="1">
                  <c:v>0.30863039399626024</c:v>
                </c:pt>
              </c:numCache>
            </c:numRef>
          </c:val>
          <c:extLst xmlns:c16r2="http://schemas.microsoft.com/office/drawing/2015/06/chart">
            <c:ext xmlns:c16="http://schemas.microsoft.com/office/drawing/2014/chart" uri="{C3380CC4-5D6E-409C-BE32-E72D297353CC}">
              <c16:uniqueId val="{00000002-9C42-469B-88DA-10E0A6185C82}"/>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3"/>
          <c:order val="3"/>
          <c:tx>
            <c:strRef>
              <c:f>'P6 (2)'!$B$17</c:f>
              <c:strCache>
                <c:ptCount val="1"/>
                <c:pt idx="0">
                  <c:v>źle</c:v>
                </c:pt>
              </c:strCache>
            </c:strRef>
          </c:tx>
          <c:spPr>
            <a:solidFill>
              <a:srgbClr val="FFC000"/>
            </a:solidFill>
            <a:ln>
              <a:noFill/>
            </a:ln>
            <a:effectLst/>
          </c:spPr>
          <c:invertIfNegative val="1"/>
          <c:dLbls>
            <c:dLbl>
              <c:idx val="0"/>
              <c:layout>
                <c:manualLayout>
                  <c:x val="-2.4333591416878672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98B-4493-B4CF-612E39B3F698}"/>
                </c:ext>
                <c:ext xmlns:c15="http://schemas.microsoft.com/office/drawing/2012/chart" uri="{CE6537A1-D6FC-4f65-9D91-7224C49458BB}">
                  <c15:layout/>
                </c:ext>
              </c:extLst>
            </c:dLbl>
            <c:dLbl>
              <c:idx val="1"/>
              <c:layout>
                <c:manualLayout>
                  <c:x val="-1.5485012719831881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98B-4493-B4CF-612E39B3F698}"/>
                </c:ext>
                <c:ext xmlns:c15="http://schemas.microsoft.com/office/drawing/2012/chart" uri="{CE6537A1-D6FC-4f65-9D91-7224C49458BB}">
                  <c15:layout/>
                </c:ext>
              </c:extLst>
            </c:dLbl>
            <c:spPr>
              <a:noFill/>
              <a:ln>
                <a:noFill/>
              </a:ln>
              <a:effectLst/>
            </c:spPr>
            <c:txPr>
              <a:bodyPr/>
              <a:lstStyle/>
              <a:p>
                <a:pPr>
                  <a:defRPr sz="110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'P6 (2)'!$G$13:$H$13</c:f>
              <c:strCache>
                <c:ptCount val="2"/>
                <c:pt idx="0">
                  <c:v>dostępność przedszkoli</c:v>
                </c:pt>
                <c:pt idx="1">
                  <c:v>dostępność żłobków </c:v>
                </c:pt>
              </c:strCache>
            </c:strRef>
          </c:cat>
          <c:val>
            <c:numRef>
              <c:f>'P6 (2)'!$G$17:$H$17</c:f>
              <c:numCache>
                <c:formatCode>0.0%</c:formatCode>
                <c:ptCount val="2"/>
                <c:pt idx="0">
                  <c:v>6.8480300187617263E-2</c:v>
                </c:pt>
                <c:pt idx="1">
                  <c:v>6.378986866791736E-2</c:v>
                </c:pt>
              </c:numCache>
            </c:numRef>
          </c:val>
          <c:extLst xmlns:c16r2="http://schemas.microsoft.com/office/drawing/2015/06/chart">
            <c:ext xmlns:c16="http://schemas.microsoft.com/office/drawing/2014/chart" uri="{C3380CC4-5D6E-409C-BE32-E72D297353CC}">
              <c16:uniqueId val="{00000003-9C42-469B-88DA-10E0A6185C82}"/>
            </c:ex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ser>
          <c:idx val="4"/>
          <c:order val="4"/>
          <c:tx>
            <c:strRef>
              <c:f>'P6 (2)'!$B$18</c:f>
              <c:strCache>
                <c:ptCount val="1"/>
                <c:pt idx="0">
                  <c:v>bardzo źle</c:v>
                </c:pt>
              </c:strCache>
            </c:strRef>
          </c:tx>
          <c:spPr>
            <a:solidFill>
              <a:srgbClr val="B48900"/>
            </a:solidFill>
            <a:ln>
              <a:noFill/>
            </a:ln>
            <a:effectLst/>
          </c:spPr>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'P6 (2)'!$G$13:$H$13</c:f>
              <c:strCache>
                <c:ptCount val="2"/>
                <c:pt idx="0">
                  <c:v>dostępność przedszkoli</c:v>
                </c:pt>
                <c:pt idx="1">
                  <c:v>dostępność żłobków </c:v>
                </c:pt>
              </c:strCache>
            </c:strRef>
          </c:cat>
          <c:val>
            <c:numRef>
              <c:f>'P6 (2)'!$G$18:$H$18</c:f>
              <c:numCache>
                <c:formatCode>0.0%</c:formatCode>
                <c:ptCount val="2"/>
                <c:pt idx="0">
                  <c:v>1.50093808630394E-2</c:v>
                </c:pt>
                <c:pt idx="1">
                  <c:v>2.6266416510318951E-2</c:v>
                </c:pt>
              </c:numCache>
            </c:numRef>
          </c:val>
          <c:extLst xmlns:c16r2="http://schemas.microsoft.com/office/drawing/2015/06/chart">
            <c:ext xmlns:c16="http://schemas.microsoft.com/office/drawing/2014/chart" uri="{C3380CC4-5D6E-409C-BE32-E72D297353CC}">
              <c16:uniqueId val="{00000004-9C42-469B-88DA-10E0A6185C82}"/>
            </c:ext>
          </c:extLst>
        </c:ser>
        <c:dLbls>
          <c:showLegendKey val="0"/>
          <c:showVal val="1"/>
          <c:showCatName val="0"/>
          <c:showSerName val="0"/>
          <c:showPercent val="0"/>
          <c:showBubbleSize val="0"/>
        </c:dLbls>
        <c:gapWidth val="83"/>
        <c:overlap val="100"/>
        <c:axId val="339017808"/>
        <c:axId val="339018200"/>
      </c:barChart>
      <c:catAx>
        <c:axId val="339017808"/>
        <c:scaling>
          <c:orientation val="minMax"/>
        </c:scaling>
        <c:delete val="0"/>
        <c:axPos val="l"/>
        <c:numFmt formatCode="General" sourceLinked="1"/>
        <c:majorTickMark val="out"/>
        <c:minorTickMark val="cross"/>
        <c:tickLblPos val="nextTo"/>
        <c:spPr>
          <a:noFill/>
          <a:ln w="9525" cap="flat" cmpd="sng" algn="ctr">
            <a:solidFill>
              <a:schemeClr val="tx1">
                <a:lumMod val="15000"/>
                <a:lumOff val="85000"/>
              </a:schemeClr>
            </a:solidFill>
            <a:round/>
          </a:ln>
          <a:effectLst/>
        </c:spPr>
        <c:txPr>
          <a:bodyPr rot="-60000000" vert="horz"/>
          <a:lstStyle/>
          <a:p>
            <a:pPr>
              <a:defRPr>
                <a:solidFill>
                  <a:schemeClr val="tx1"/>
                </a:solidFill>
              </a:defRPr>
            </a:pPr>
            <a:endParaRPr lang="pl-PL"/>
          </a:p>
        </c:txPr>
        <c:crossAx val="339018200"/>
        <c:crosses val="autoZero"/>
        <c:auto val="1"/>
        <c:lblAlgn val="ctr"/>
        <c:lblOffset val="100"/>
        <c:noMultiLvlLbl val="1"/>
      </c:catAx>
      <c:valAx>
        <c:axId val="33901820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cross"/>
        <c:tickLblPos val="none"/>
        <c:crossAx val="339017808"/>
        <c:crosses val="autoZero"/>
        <c:crossBetween val="between"/>
      </c:valAx>
      <c:spPr>
        <a:noFill/>
        <a:ln>
          <a:noFill/>
        </a:ln>
        <a:effectLst/>
      </c:spPr>
    </c:plotArea>
    <c:legend>
      <c:legendPos val="b"/>
      <c:layout>
        <c:manualLayout>
          <c:xMode val="edge"/>
          <c:yMode val="edge"/>
          <c:x val="0.18464945780683381"/>
          <c:y val="0.86984915102173765"/>
          <c:w val="0.63954948889880092"/>
          <c:h val="0.12901466445134724"/>
        </c:manualLayout>
      </c:layout>
      <c:overlay val="1"/>
      <c:spPr>
        <a:noFill/>
        <a:ln>
          <a:noFill/>
        </a:ln>
        <a:effectLst/>
      </c:spPr>
      <c:txPr>
        <a:bodyPr rot="0" vert="horz"/>
        <a:lstStyle/>
        <a:p>
          <a:pPr>
            <a:defRPr/>
          </a:pPr>
          <a:endParaRPr lang="pl-PL"/>
        </a:p>
      </c:txPr>
    </c:legend>
    <c:plotVisOnly val="1"/>
    <c:dispBlanksAs val="gap"/>
    <c:showDLblsOverMax val="1"/>
  </c:chart>
  <c:spPr>
    <a:solidFill>
      <a:schemeClr val="bg1"/>
    </a:solidFill>
    <a:ln w="9525" cap="sq" cmpd="sng" algn="ctr">
      <a:solidFill>
        <a:schemeClr val="tx1"/>
      </a:solidFill>
      <a:bevel/>
    </a:ln>
    <a:effectLst/>
  </c:spPr>
  <c:txPr>
    <a:bodyPr/>
    <a:lstStyle/>
    <a:p>
      <a:pPr algn="ctr">
        <a:defRPr lang="en-US" sz="1050" b="0" i="0" u="none" strike="noStrike" kern="1200" baseline="0">
          <a:solidFill>
            <a:schemeClr val="tx1"/>
          </a:solidFill>
          <a:latin typeface="+mn-lt"/>
          <a:ea typeface="+mn-ea"/>
          <a:cs typeface="+mn-cs"/>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'[WrOF_wykresy (1).xlsx]G3'!$E$12</c:f>
              <c:strCache>
                <c:ptCount val="1"/>
                <c:pt idx="0">
                  <c:v>sektor prywatny - fundacje</c:v>
                </c:pt>
              </c:strCache>
            </c:strRef>
          </c:tx>
          <c:spPr>
            <a:ln w="28575" cap="rnd">
              <a:solidFill>
                <a:schemeClr val="accent1">
                  <a:shade val="76000"/>
                </a:schemeClr>
              </a:solidFill>
              <a:round/>
            </a:ln>
            <a:effectLst/>
          </c:spPr>
          <c:marker>
            <c:symbol val="circle"/>
            <c:size val="11"/>
            <c:spPr>
              <a:solidFill>
                <a:schemeClr val="accent1">
                  <a:shade val="76000"/>
                </a:schemeClr>
              </a:solidFill>
              <a:ln w="9525">
                <a:no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1">
                        <a:lumMod val="50000"/>
                      </a:schemeClr>
                    </a:solidFill>
                    <a:latin typeface="+mn-lt"/>
                    <a:ea typeface="+mn-ea"/>
                    <a:cs typeface="+mn-cs"/>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'[WrOF_wykresy (1).xlsx]G3'!$D$13:$D$17</c:f>
              <c:numCache>
                <c:formatCode>General</c:formatCode>
                <c:ptCount val="5"/>
                <c:pt idx="0">
                  <c:v>2017</c:v>
                </c:pt>
                <c:pt idx="1">
                  <c:v>2018</c:v>
                </c:pt>
                <c:pt idx="2">
                  <c:v>2019</c:v>
                </c:pt>
                <c:pt idx="3">
                  <c:v>2020</c:v>
                </c:pt>
                <c:pt idx="4">
                  <c:v>2021</c:v>
                </c:pt>
              </c:numCache>
            </c:numRef>
          </c:cat>
          <c:val>
            <c:numRef>
              <c:f>'[WrOF_wykresy (1).xlsx]G3'!$E$13:$E$17</c:f>
              <c:numCache>
                <c:formatCode>#,##0.00</c:formatCode>
                <c:ptCount val="5"/>
                <c:pt idx="0">
                  <c:v>1587</c:v>
                </c:pt>
                <c:pt idx="1">
                  <c:v>1627</c:v>
                </c:pt>
                <c:pt idx="2">
                  <c:v>1763</c:v>
                </c:pt>
                <c:pt idx="3">
                  <c:v>1844</c:v>
                </c:pt>
                <c:pt idx="4">
                  <c:v>1928</c:v>
                </c:pt>
              </c:numCache>
            </c:numRef>
          </c:val>
          <c:smooth val="0"/>
          <c:extLst xmlns:c16r2="http://schemas.microsoft.com/office/drawing/2015/06/chart">
            <c:ext xmlns:c16="http://schemas.microsoft.com/office/drawing/2014/chart" uri="{C3380CC4-5D6E-409C-BE32-E72D297353CC}">
              <c16:uniqueId val="{00000000-5622-4480-A3CE-507EFA27AF90}"/>
            </c:ext>
          </c:extLst>
        </c:ser>
        <c:ser>
          <c:idx val="1"/>
          <c:order val="1"/>
          <c:tx>
            <c:strRef>
              <c:f>'[WrOF_wykresy (1).xlsx]G3'!$F$12</c:f>
              <c:strCache>
                <c:ptCount val="1"/>
                <c:pt idx="0">
                  <c:v>sektor prywatny - stowarzyszenia i organizacje społeczne</c:v>
                </c:pt>
              </c:strCache>
            </c:strRef>
          </c:tx>
          <c:spPr>
            <a:ln w="28575" cap="rnd">
              <a:solidFill>
                <a:schemeClr val="accent1">
                  <a:tint val="77000"/>
                </a:schemeClr>
              </a:solidFill>
              <a:round/>
            </a:ln>
            <a:effectLst/>
          </c:spPr>
          <c:marker>
            <c:symbol val="circle"/>
            <c:size val="10"/>
            <c:spPr>
              <a:solidFill>
                <a:schemeClr val="accent1">
                  <a:tint val="77000"/>
                </a:schemeClr>
              </a:solidFill>
              <a:ln w="9525">
                <a:no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'[WrOF_wykresy (1).xlsx]G3'!$D$13:$D$17</c:f>
              <c:numCache>
                <c:formatCode>General</c:formatCode>
                <c:ptCount val="5"/>
                <c:pt idx="0">
                  <c:v>2017</c:v>
                </c:pt>
                <c:pt idx="1">
                  <c:v>2018</c:v>
                </c:pt>
                <c:pt idx="2">
                  <c:v>2019</c:v>
                </c:pt>
                <c:pt idx="3">
                  <c:v>2020</c:v>
                </c:pt>
                <c:pt idx="4">
                  <c:v>2021</c:v>
                </c:pt>
              </c:numCache>
            </c:numRef>
          </c:cat>
          <c:val>
            <c:numRef>
              <c:f>'[WrOF_wykresy (1).xlsx]G3'!$F$13:$F$17</c:f>
              <c:numCache>
                <c:formatCode>#,##0.00</c:formatCode>
                <c:ptCount val="5"/>
                <c:pt idx="0">
                  <c:v>3399</c:v>
                </c:pt>
                <c:pt idx="1">
                  <c:v>3178</c:v>
                </c:pt>
                <c:pt idx="2">
                  <c:v>3305</c:v>
                </c:pt>
                <c:pt idx="3">
                  <c:v>3366</c:v>
                </c:pt>
                <c:pt idx="4">
                  <c:v>3457</c:v>
                </c:pt>
              </c:numCache>
            </c:numRef>
          </c:val>
          <c:smooth val="0"/>
          <c:extLst xmlns:c16r2="http://schemas.microsoft.com/office/drawing/2015/06/chart">
            <c:ext xmlns:c16="http://schemas.microsoft.com/office/drawing/2014/chart" uri="{C3380CC4-5D6E-409C-BE32-E72D297353CC}">
              <c16:uniqueId val="{00000001-5622-4480-A3CE-507EFA27AF90}"/>
            </c:ext>
          </c:extLst>
        </c:ser>
        <c:dLbls>
          <c:showLegendKey val="0"/>
          <c:showVal val="0"/>
          <c:showCatName val="0"/>
          <c:showSerName val="0"/>
          <c:showPercent val="0"/>
          <c:showBubbleSize val="0"/>
        </c:dLbls>
        <c:marker val="1"/>
        <c:smooth val="0"/>
        <c:axId val="340100960"/>
        <c:axId val="340101352"/>
      </c:lineChart>
      <c:catAx>
        <c:axId val="34010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340101352"/>
        <c:crosses val="autoZero"/>
        <c:auto val="1"/>
        <c:lblAlgn val="ctr"/>
        <c:lblOffset val="100"/>
        <c:noMultiLvlLbl val="0"/>
      </c:catAx>
      <c:valAx>
        <c:axId val="340101352"/>
        <c:scaling>
          <c:orientation val="minMax"/>
          <c:min val="100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pl-PL"/>
          </a:p>
        </c:txPr>
        <c:crossAx val="340100960"/>
        <c:crosses val="autoZero"/>
        <c:crossBetween val="between"/>
      </c:valAx>
      <c:spPr>
        <a:noFill/>
        <a:ln>
          <a:noFill/>
        </a:ln>
        <a:effectLst/>
      </c:spPr>
    </c:plotArea>
    <c:legend>
      <c:legendPos val="b"/>
      <c:layout>
        <c:manualLayout>
          <c:xMode val="edge"/>
          <c:yMode val="edge"/>
          <c:x val="5.2205757836022132E-2"/>
          <c:y val="0.86322378180988268"/>
          <c:w val="0.89999991315744055"/>
          <c:h val="0.1222834645669312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pl-PL"/>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4250440917107582E-2"/>
          <c:y val="0"/>
          <c:w val="0.95149911816579702"/>
          <c:h val="0.70265643222479346"/>
        </c:manualLayout>
      </c:layout>
      <c:barChart>
        <c:barDir val="col"/>
        <c:grouping val="clustered"/>
        <c:varyColors val="0"/>
        <c:ser>
          <c:idx val="0"/>
          <c:order val="0"/>
          <c:tx>
            <c:strRef>
              <c:f>'Do diagnozy'!$C$51</c:f>
              <c:strCache>
                <c:ptCount val="1"/>
                <c:pt idx="0">
                  <c:v>Dochody ogółem</c:v>
                </c:pt>
              </c:strCache>
            </c:strRef>
          </c:tx>
          <c:spPr>
            <a:solidFill>
              <a:schemeClr val="accent1">
                <a:shade val="76000"/>
              </a:schemeClr>
            </a:solidFill>
            <a:ln>
              <a:noFill/>
            </a:ln>
            <a:effectLst/>
          </c:spPr>
          <c:invertIfNegative val="0"/>
          <c:dLbls>
            <c:spPr>
              <a:noFill/>
              <a:ln>
                <a:noFill/>
              </a:ln>
              <a:effectLst/>
            </c:spPr>
            <c:txPr>
              <a:bodyPr rot="-5400000"/>
              <a:lstStyle/>
              <a:p>
                <a:pPr>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'Do diagnozy'!$D$50:$H$50</c:f>
              <c:strCache>
                <c:ptCount val="5"/>
                <c:pt idx="0">
                  <c:v>2017</c:v>
                </c:pt>
                <c:pt idx="1">
                  <c:v>2018</c:v>
                </c:pt>
                <c:pt idx="2">
                  <c:v>2019</c:v>
                </c:pt>
                <c:pt idx="3">
                  <c:v>2020</c:v>
                </c:pt>
                <c:pt idx="4">
                  <c:v>2021</c:v>
                </c:pt>
              </c:strCache>
            </c:strRef>
          </c:cat>
          <c:val>
            <c:numRef>
              <c:f>'Do diagnozy'!$D$51:$H$51</c:f>
              <c:numCache>
                <c:formatCode>#,##0.00</c:formatCode>
                <c:ptCount val="5"/>
                <c:pt idx="0">
                  <c:v>5746967495.0200014</c:v>
                </c:pt>
                <c:pt idx="1">
                  <c:v>6264851521.2599955</c:v>
                </c:pt>
                <c:pt idx="2">
                  <c:v>7045713532.6899996</c:v>
                </c:pt>
                <c:pt idx="3">
                  <c:v>7553373566.8900003</c:v>
                </c:pt>
                <c:pt idx="4">
                  <c:v>8809232321.7800007</c:v>
                </c:pt>
              </c:numCache>
            </c:numRef>
          </c:val>
          <c:extLst xmlns:c16r2="http://schemas.microsoft.com/office/drawing/2015/06/chart">
            <c:ext xmlns:c16="http://schemas.microsoft.com/office/drawing/2014/chart" uri="{C3380CC4-5D6E-409C-BE32-E72D297353CC}">
              <c16:uniqueId val="{00000000-1BD4-42B2-A22B-A8B884912C0C}"/>
            </c:ext>
          </c:extLst>
        </c:ser>
        <c:ser>
          <c:idx val="1"/>
          <c:order val="1"/>
          <c:tx>
            <c:strRef>
              <c:f>'Do diagnozy'!$C$52</c:f>
              <c:strCache>
                <c:ptCount val="1"/>
                <c:pt idx="0">
                  <c:v>Wydatki ogółem</c:v>
                </c:pt>
              </c:strCache>
            </c:strRef>
          </c:tx>
          <c:spPr>
            <a:solidFill>
              <a:schemeClr val="accent1">
                <a:tint val="77000"/>
              </a:schemeClr>
            </a:solidFill>
            <a:ln>
              <a:noFill/>
            </a:ln>
            <a:effectLst/>
          </c:spPr>
          <c:invertIfNegative val="0"/>
          <c:dLbls>
            <c:spPr>
              <a:noFill/>
              <a:ln>
                <a:noFill/>
              </a:ln>
              <a:effectLst/>
            </c:spPr>
            <c:txPr>
              <a:bodyPr rot="-5400000"/>
              <a:lstStyle/>
              <a:p>
                <a:pPr>
                  <a:defRPr/>
                </a:pPr>
                <a:endParaRPr lang="pl-PL"/>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'Do diagnozy'!$D$50:$H$50</c:f>
              <c:strCache>
                <c:ptCount val="5"/>
                <c:pt idx="0">
                  <c:v>2017</c:v>
                </c:pt>
                <c:pt idx="1">
                  <c:v>2018</c:v>
                </c:pt>
                <c:pt idx="2">
                  <c:v>2019</c:v>
                </c:pt>
                <c:pt idx="3">
                  <c:v>2020</c:v>
                </c:pt>
                <c:pt idx="4">
                  <c:v>2021</c:v>
                </c:pt>
              </c:strCache>
            </c:strRef>
          </c:cat>
          <c:val>
            <c:numRef>
              <c:f>'Do diagnozy'!$D$52:$H$52</c:f>
              <c:numCache>
                <c:formatCode>#,##0.00</c:formatCode>
                <c:ptCount val="5"/>
                <c:pt idx="0">
                  <c:v>5727891324.0799885</c:v>
                </c:pt>
                <c:pt idx="1">
                  <c:v>6476653218.5900002</c:v>
                </c:pt>
                <c:pt idx="2">
                  <c:v>7066834552.460001</c:v>
                </c:pt>
                <c:pt idx="3">
                  <c:v>7709075258.5700006</c:v>
                </c:pt>
                <c:pt idx="4">
                  <c:v>8439437326.2599955</c:v>
                </c:pt>
              </c:numCache>
            </c:numRef>
          </c:val>
          <c:extLst xmlns:c16r2="http://schemas.microsoft.com/office/drawing/2015/06/chart">
            <c:ext xmlns:c16="http://schemas.microsoft.com/office/drawing/2014/chart" uri="{C3380CC4-5D6E-409C-BE32-E72D297353CC}">
              <c16:uniqueId val="{00000001-1BD4-42B2-A22B-A8B884912C0C}"/>
            </c:ext>
          </c:extLst>
        </c:ser>
        <c:dLbls>
          <c:showLegendKey val="0"/>
          <c:showVal val="0"/>
          <c:showCatName val="0"/>
          <c:showSerName val="0"/>
          <c:showPercent val="0"/>
          <c:showBubbleSize val="0"/>
        </c:dLbls>
        <c:gapWidth val="79"/>
        <c:overlap val="-7"/>
        <c:axId val="340102136"/>
        <c:axId val="340102528"/>
      </c:barChart>
      <c:catAx>
        <c:axId val="340102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vert="horz"/>
          <a:lstStyle/>
          <a:p>
            <a:pPr>
              <a:defRPr/>
            </a:pPr>
            <a:endParaRPr lang="pl-PL"/>
          </a:p>
        </c:txPr>
        <c:crossAx val="340102528"/>
        <c:crosses val="autoZero"/>
        <c:auto val="1"/>
        <c:lblAlgn val="ctr"/>
        <c:lblOffset val="100"/>
        <c:noMultiLvlLbl val="0"/>
      </c:catAx>
      <c:valAx>
        <c:axId val="340102528"/>
        <c:scaling>
          <c:orientation val="minMax"/>
        </c:scaling>
        <c:delete val="1"/>
        <c:axPos val="l"/>
        <c:numFmt formatCode="#,##0.00" sourceLinked="1"/>
        <c:majorTickMark val="none"/>
        <c:minorTickMark val="none"/>
        <c:tickLblPos val="none"/>
        <c:crossAx val="340102136"/>
        <c:crosses val="autoZero"/>
        <c:crossBetween val="between"/>
      </c:valAx>
      <c:spPr>
        <a:noFill/>
        <a:ln>
          <a:noFill/>
        </a:ln>
        <a:effectLst/>
      </c:spPr>
    </c:plotArea>
    <c:legend>
      <c:legendPos val="b"/>
      <c:layout>
        <c:manualLayout>
          <c:xMode val="edge"/>
          <c:yMode val="edge"/>
          <c:x val="0.17812837031734668"/>
          <c:y val="0.88662804814596419"/>
          <c:w val="0.66798551007570328"/>
          <c:h val="8.7458502773963318E-2"/>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solidFill>
        <a:sysClr val="windowText" lastClr="000000"/>
      </a:solidFill>
      <a:prstDash val="solid"/>
      <a:round/>
    </a:ln>
    <a:effectLst/>
  </c:spPr>
  <c:txPr>
    <a:bodyPr/>
    <a:lstStyle/>
    <a:p>
      <a:pPr>
        <a:defRPr sz="1200"/>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1690352377398"/>
          <c:y val="6.0929883764529449E-3"/>
          <c:w val="0.49016503311948739"/>
          <c:h val="0.92986517989599127"/>
        </c:manualLayout>
      </c:layout>
      <c:barChart>
        <c:barDir val="bar"/>
        <c:grouping val="clustered"/>
        <c:varyColors val="0"/>
        <c:ser>
          <c:idx val="0"/>
          <c:order val="0"/>
          <c:tx>
            <c:strRef>
              <c:f>'[Dochody i wydatki.xlsx]Arkusz4'!$E$14</c:f>
              <c:strCache>
                <c:ptCount val="1"/>
                <c:pt idx="0">
                  <c:v>2017</c:v>
                </c:pt>
              </c:strCache>
            </c:strRef>
          </c:tx>
          <c:spPr>
            <a:solidFill>
              <a:srgbClr val="276E8B"/>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'[Dochody i wydatki.xlsx]Arkusz4'!$D$15:$D$27</c:f>
              <c:strCache>
                <c:ptCount val="13"/>
                <c:pt idx="0">
                  <c:v>podatek od osób fizycznych</c:v>
                </c:pt>
                <c:pt idx="1">
                  <c:v>podatek od nieruchomości</c:v>
                </c:pt>
                <c:pt idx="2">
                  <c:v>dochody z majątku</c:v>
                </c:pt>
                <c:pt idx="3">
                  <c:v>wpływy z innych lokalnych opłat pobieranych przez jednostki samorządu terytorialnego na podstawie odrębnych ustaw</c:v>
                </c:pt>
                <c:pt idx="4">
                  <c:v>wpływy z usług</c:v>
                </c:pt>
                <c:pt idx="5">
                  <c:v>podatek od osób prawnych</c:v>
                </c:pt>
                <c:pt idx="6">
                  <c:v>podatek od czynności cywilnoprawnych</c:v>
                </c:pt>
                <c:pt idx="7">
                  <c:v>pozostałe dochody - środki na dofinansowanie własnych zadań pozyskane z innych źródeł - razem</c:v>
                </c:pt>
                <c:pt idx="8">
                  <c:v>wpływy z opłaty skarbowej</c:v>
                </c:pt>
                <c:pt idx="9">
                  <c:v>podatek rolny</c:v>
                </c:pt>
                <c:pt idx="10">
                  <c:v>podatek od środków transportowych</c:v>
                </c:pt>
                <c:pt idx="11">
                  <c:v>podatek od spadków i darowizn</c:v>
                </c:pt>
                <c:pt idx="12">
                  <c:v>dochody podatkowe - podatek od działalności gospodarczej osób fizycznych, opłacany w formie karty podatkowej</c:v>
                </c:pt>
              </c:strCache>
            </c:strRef>
          </c:cat>
          <c:val>
            <c:numRef>
              <c:f>'[Dochody i wydatki.xlsx]Arkusz4'!$E$15:$E$27</c:f>
              <c:numCache>
                <c:formatCode>0.0%</c:formatCode>
                <c:ptCount val="13"/>
                <c:pt idx="0">
                  <c:v>0.38594619824970278</c:v>
                </c:pt>
                <c:pt idx="1">
                  <c:v>0.18408088471080641</c:v>
                </c:pt>
                <c:pt idx="2">
                  <c:v>0.12016473245959181</c:v>
                </c:pt>
                <c:pt idx="3">
                  <c:v>6.8551277576847189E-2</c:v>
                </c:pt>
                <c:pt idx="4">
                  <c:v>6.9335715382649404E-2</c:v>
                </c:pt>
                <c:pt idx="5">
                  <c:v>3.272432407329607E-2</c:v>
                </c:pt>
                <c:pt idx="6">
                  <c:v>2.6929087340425026E-2</c:v>
                </c:pt>
                <c:pt idx="7">
                  <c:v>2.1152247554818348E-3</c:v>
                </c:pt>
                <c:pt idx="8">
                  <c:v>5.3747311738939034E-3</c:v>
                </c:pt>
                <c:pt idx="9">
                  <c:v>6.3741290861032114E-3</c:v>
                </c:pt>
                <c:pt idx="10">
                  <c:v>6.4814752992550335E-3</c:v>
                </c:pt>
                <c:pt idx="11">
                  <c:v>0</c:v>
                </c:pt>
                <c:pt idx="12">
                  <c:v>4.7606782735739933E-4</c:v>
                </c:pt>
              </c:numCache>
            </c:numRef>
          </c:val>
          <c:extLst xmlns:c16r2="http://schemas.microsoft.com/office/drawing/2015/06/chart">
            <c:ext xmlns:c16="http://schemas.microsoft.com/office/drawing/2014/chart" uri="{C3380CC4-5D6E-409C-BE32-E72D297353CC}">
              <c16:uniqueId val="{00000000-FD23-4B21-8C06-DC7CBB6A1A68}"/>
            </c:ext>
          </c:extLst>
        </c:ser>
        <c:ser>
          <c:idx val="1"/>
          <c:order val="1"/>
          <c:tx>
            <c:strRef>
              <c:f>'[Dochody i wydatki.xlsx]Arkusz4'!$F$14</c:f>
              <c:strCache>
                <c:ptCount val="1"/>
                <c:pt idx="0">
                  <c:v>2021</c:v>
                </c:pt>
              </c:strCache>
            </c:strRef>
          </c:tx>
          <c:spPr>
            <a:solidFill>
              <a:srgbClr val="D4EAF3"/>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'[Dochody i wydatki.xlsx]Arkusz4'!$D$15:$D$27</c:f>
              <c:strCache>
                <c:ptCount val="13"/>
                <c:pt idx="0">
                  <c:v>podatek od osób fizycznych</c:v>
                </c:pt>
                <c:pt idx="1">
                  <c:v>podatek od nieruchomości</c:v>
                </c:pt>
                <c:pt idx="2">
                  <c:v>dochody z majątku</c:v>
                </c:pt>
                <c:pt idx="3">
                  <c:v>wpływy z innych lokalnych opłat pobieranych przez jednostki samorządu terytorialnego na podstawie odrębnych ustaw</c:v>
                </c:pt>
                <c:pt idx="4">
                  <c:v>wpływy z usług</c:v>
                </c:pt>
                <c:pt idx="5">
                  <c:v>podatek od osób prawnych</c:v>
                </c:pt>
                <c:pt idx="6">
                  <c:v>podatek od czynności cywilnoprawnych</c:v>
                </c:pt>
                <c:pt idx="7">
                  <c:v>pozostałe dochody - środki na dofinansowanie własnych zadań pozyskane z innych źródeł - razem</c:v>
                </c:pt>
                <c:pt idx="8">
                  <c:v>wpływy z opłaty skarbowej</c:v>
                </c:pt>
                <c:pt idx="9">
                  <c:v>podatek rolny</c:v>
                </c:pt>
                <c:pt idx="10">
                  <c:v>podatek od środków transportowych</c:v>
                </c:pt>
                <c:pt idx="11">
                  <c:v>podatek od spadków i darowizn</c:v>
                </c:pt>
                <c:pt idx="12">
                  <c:v>dochody podatkowe - podatek od działalności gospodarczej osób fizycznych, opłacany w formie karty podatkowej</c:v>
                </c:pt>
              </c:strCache>
            </c:strRef>
          </c:cat>
          <c:val>
            <c:numRef>
              <c:f>'[Dochody i wydatki.xlsx]Arkusz4'!$F$15:$F$27</c:f>
              <c:numCache>
                <c:formatCode>0.0%</c:formatCode>
                <c:ptCount val="13"/>
                <c:pt idx="0">
                  <c:v>0.41380867458564263</c:v>
                </c:pt>
                <c:pt idx="1">
                  <c:v>0.16650381892288185</c:v>
                </c:pt>
                <c:pt idx="2">
                  <c:v>0.11412981299797068</c:v>
                </c:pt>
                <c:pt idx="3">
                  <c:v>6.5568361454382509E-2</c:v>
                </c:pt>
                <c:pt idx="4">
                  <c:v>4.7308363732334907E-2</c:v>
                </c:pt>
                <c:pt idx="5">
                  <c:v>3.9500910295354942E-2</c:v>
                </c:pt>
                <c:pt idx="6">
                  <c:v>3.3084312158114644E-2</c:v>
                </c:pt>
                <c:pt idx="7">
                  <c:v>8.1485850850716423E-3</c:v>
                </c:pt>
                <c:pt idx="8">
                  <c:v>5.8968006879895514E-3</c:v>
                </c:pt>
                <c:pt idx="9">
                  <c:v>5.020342459067257E-3</c:v>
                </c:pt>
                <c:pt idx="10">
                  <c:v>4.8487235803083934E-3</c:v>
                </c:pt>
                <c:pt idx="11">
                  <c:v>2.7789006605582292E-3</c:v>
                </c:pt>
                <c:pt idx="12">
                  <c:v>1.2235994125076738E-3</c:v>
                </c:pt>
              </c:numCache>
            </c:numRef>
          </c:val>
          <c:extLst xmlns:c16r2="http://schemas.microsoft.com/office/drawing/2015/06/chart">
            <c:ext xmlns:c16="http://schemas.microsoft.com/office/drawing/2014/chart" uri="{C3380CC4-5D6E-409C-BE32-E72D297353CC}">
              <c16:uniqueId val="{00000001-FD23-4B21-8C06-DC7CBB6A1A68}"/>
            </c:ext>
          </c:extLst>
        </c:ser>
        <c:dLbls>
          <c:showLegendKey val="0"/>
          <c:showVal val="0"/>
          <c:showCatName val="0"/>
          <c:showSerName val="0"/>
          <c:showPercent val="0"/>
          <c:showBubbleSize val="0"/>
        </c:dLbls>
        <c:gapWidth val="42"/>
        <c:axId val="339018984"/>
        <c:axId val="340103312"/>
      </c:barChart>
      <c:catAx>
        <c:axId val="3390189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340103312"/>
        <c:crosses val="autoZero"/>
        <c:auto val="1"/>
        <c:lblAlgn val="ctr"/>
        <c:lblOffset val="100"/>
        <c:noMultiLvlLbl val="0"/>
      </c:catAx>
      <c:valAx>
        <c:axId val="340103312"/>
        <c:scaling>
          <c:orientation val="minMax"/>
        </c:scaling>
        <c:delete val="1"/>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339018984"/>
        <c:crosses val="autoZero"/>
        <c:crossBetween val="between"/>
      </c:valAx>
      <c:spPr>
        <a:noFill/>
        <a:ln>
          <a:noFill/>
        </a:ln>
        <a:effectLst/>
      </c:spPr>
    </c:plotArea>
    <c:legend>
      <c:legendPos val="b"/>
      <c:layout>
        <c:manualLayout>
          <c:xMode val="edge"/>
          <c:yMode val="edge"/>
          <c:x val="0.78350678505612315"/>
          <c:y val="0.74257475455885391"/>
          <c:w val="0.14362472776009383"/>
          <c:h val="5.1724499954748752E-2"/>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100">
          <a:solidFill>
            <a:schemeClr val="tx1"/>
          </a:solidFill>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32E5B-8D8B-4A10-B011-7648F6859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359</Pages>
  <Words>100204</Words>
  <Characters>601226</Characters>
  <Application>Microsoft Office Word</Application>
  <DocSecurity>0</DocSecurity>
  <Lines>5010</Lines>
  <Paragraphs>1400</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700030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Gabrysia</cp:lastModifiedBy>
  <cp:revision>11</cp:revision>
  <cp:lastPrinted>2023-08-23T08:00:00Z</cp:lastPrinted>
  <dcterms:created xsi:type="dcterms:W3CDTF">2023-08-18T06:09:00Z</dcterms:created>
  <dcterms:modified xsi:type="dcterms:W3CDTF">2023-08-23T08:02:00Z</dcterms:modified>
</cp:coreProperties>
</file>