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>Uchwał</w:t>
      </w:r>
      <w:r>
        <w:rPr>
          <w:rFonts w:ascii="Verdana" w:hAnsi="Verdana"/>
          <w:color w:val="auto"/>
          <w:sz w:val="22"/>
          <w:szCs w:val="22"/>
          <w:lang w:val="pl-pl"/>
        </w:rPr>
        <w:t>a Nr 9/NWZ/2018</w:t>
      </w:r>
      <w:r>
        <w:rPr>
          <w:rFonts w:ascii="Verdana" w:hAnsi="Verdana"/>
          <w:color w:val="auto"/>
          <w:sz w:val="22"/>
          <w:szCs w:val="22"/>
          <w:lang w:val="pl-pl"/>
        </w:rPr>
      </w:r>
    </w:p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>Nadzwyczajnego Walnego Zgromadzenia</w:t>
      </w:r>
    </w:p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 xml:space="preserve">spółki pod firmą </w:t>
      </w:r>
      <w:r>
        <w:rPr>
          <w:rFonts w:ascii="Verdana" w:hAnsi="Verdana"/>
          <w:color w:val="auto"/>
          <w:sz w:val="22"/>
          <w:szCs w:val="22"/>
          <w:lang w:val="pl-pl"/>
        </w:rPr>
        <w:t>Wrocławski</w:t>
      </w:r>
      <w:r>
        <w:rPr>
          <w:rFonts w:ascii="Verdana" w:hAnsi="Verdana"/>
          <w:color w:val="auto"/>
          <w:sz w:val="22"/>
          <w:szCs w:val="22"/>
          <w:lang w:val="pl-pl"/>
        </w:rPr>
        <w:t xml:space="preserve"> Klub Sportowy</w:t>
      </w:r>
      <w:r>
        <w:rPr>
          <w:rFonts w:ascii="Verdana" w:hAnsi="Verdana"/>
          <w:color w:val="auto"/>
          <w:sz w:val="22"/>
          <w:szCs w:val="22"/>
          <w:lang w:val="pl-pl"/>
        </w:rPr>
      </w:r>
    </w:p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>"Śląsk Wrocław" Spółka Akcyjna</w:t>
      </w:r>
    </w:p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>z siedzibą we Wrocławiu</w:t>
      </w:r>
    </w:p>
    <w:p>
      <w:pPr>
        <w:pStyle w:val="para1"/>
        <w:spacing w:line="360" w:lineRule="auto"/>
        <w:contextualSpacing/>
        <w:jc w:val="center"/>
        <w:rPr>
          <w:rFonts w:ascii="Verdana" w:hAnsi="Verdana"/>
          <w:color w:val="auto"/>
          <w:sz w:val="22"/>
          <w:szCs w:val="22"/>
          <w:lang w:val="pl-pl"/>
        </w:rPr>
      </w:pPr>
      <w:r>
        <w:rPr>
          <w:rFonts w:ascii="Verdana" w:hAnsi="Verdana"/>
          <w:color w:val="auto"/>
          <w:sz w:val="22"/>
          <w:szCs w:val="22"/>
          <w:lang w:val="pl-pl"/>
        </w:rPr>
        <w:t>z dnia 01 marca 2018 roku</w:t>
      </w:r>
    </w:p>
    <w:p>
      <w:pPr>
        <w:ind w:right="-11"/>
        <w:spacing w:before="100" w:after="100" w:beforeAutospacing="1" w:afterAutospacing="1" w:line="360" w:lineRule="auto"/>
        <w:rPr>
          <w:rFonts w:ascii="Verdana" w:hAnsi="Verdana"/>
          <w:i/>
          <w:lang w:val="pl-pl"/>
        </w:rPr>
      </w:pPr>
      <w:r>
        <w:rPr>
          <w:rFonts w:ascii="Verdana" w:hAnsi="Verdana"/>
          <w:b/>
          <w:i/>
          <w:lang w:val="pl-pl"/>
        </w:rPr>
        <w:t>w sprawie zmiany uchwały nr 5/NWZ/2017 Nadzwyczajnego Wa</w:t>
      </w:r>
      <w:r>
        <w:rPr>
          <w:rFonts w:ascii="Verdana" w:hAnsi="Verdana"/>
          <w:b/>
          <w:i/>
          <w:lang w:val="pl-pl"/>
        </w:rPr>
        <w:t>lnego</w:t>
      </w:r>
      <w:r>
        <w:rPr>
          <w:rFonts w:ascii="Verdana" w:hAnsi="Verdana"/>
          <w:b/>
          <w:i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Zgromadzenia spółki pod firmą Wrocławski Klub</w:t>
      </w:r>
      <w:r>
        <w:rPr>
          <w:rFonts w:ascii="Verdana" w:hAnsi="Verdana"/>
          <w:b/>
          <w:i/>
          <w:spacing w:val="29"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Sportowy</w:t>
      </w:r>
      <w:r>
        <w:rPr>
          <w:rFonts w:ascii="Verdana" w:hAnsi="Verdana"/>
          <w:b/>
          <w:i/>
          <w:spacing w:val="4"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"Ś</w:t>
      </w:r>
      <w:r>
        <w:rPr>
          <w:rFonts w:ascii="Verdana" w:hAnsi="Verdana"/>
          <w:b/>
          <w:i/>
          <w:lang w:val="pl-pl"/>
        </w:rPr>
        <w:t>ląsk</w:t>
      </w:r>
      <w:r>
        <w:rPr>
          <w:rFonts w:ascii="Verdana" w:hAnsi="Verdana"/>
          <w:b/>
          <w:i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Wrocław"</w:t>
      </w:r>
      <w:r>
        <w:rPr>
          <w:rFonts w:ascii="Verdana" w:hAnsi="Verdana"/>
          <w:b/>
          <w:i/>
          <w:spacing w:val="-21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Spółka</w:t>
      </w:r>
      <w:r>
        <w:rPr>
          <w:rFonts w:ascii="Verdana" w:hAnsi="Verdana"/>
          <w:b/>
          <w:i/>
          <w:spacing w:val="-28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Akcyjna</w:t>
      </w:r>
      <w:r>
        <w:rPr>
          <w:rFonts w:ascii="Verdana" w:hAnsi="Verdana"/>
          <w:b/>
          <w:i/>
          <w:spacing w:val="-28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z</w:t>
      </w:r>
      <w:r>
        <w:rPr>
          <w:rFonts w:ascii="Verdana" w:hAnsi="Verdana"/>
          <w:b/>
          <w:i/>
          <w:spacing w:val="-34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dnia</w:t>
      </w:r>
      <w:r>
        <w:rPr>
          <w:rFonts w:ascii="Verdana" w:hAnsi="Verdana"/>
          <w:b/>
          <w:i/>
          <w:spacing w:val="-34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19</w:t>
      </w:r>
      <w:r>
        <w:rPr>
          <w:rFonts w:ascii="Verdana" w:hAnsi="Verdana"/>
          <w:b/>
          <w:i/>
          <w:spacing w:val="-29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października</w:t>
      </w:r>
      <w:r>
        <w:rPr>
          <w:rFonts w:ascii="Verdana" w:hAnsi="Verdana"/>
          <w:b/>
          <w:i/>
          <w:spacing w:val="-20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2017</w:t>
      </w:r>
      <w:r>
        <w:rPr>
          <w:rFonts w:ascii="Verdana" w:hAnsi="Verdana"/>
          <w:b/>
          <w:i/>
          <w:spacing w:val="-30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r.</w:t>
      </w:r>
      <w:r>
        <w:rPr>
          <w:rFonts w:ascii="Verdana" w:hAnsi="Verdana"/>
          <w:b/>
          <w:i/>
          <w:spacing w:val="-38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w</w:t>
      </w:r>
      <w:r>
        <w:rPr>
          <w:rFonts w:ascii="Verdana" w:hAnsi="Verdana"/>
          <w:b/>
          <w:i/>
          <w:spacing w:val="-37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sprawie</w:t>
      </w:r>
      <w:r>
        <w:rPr>
          <w:rFonts w:ascii="Verdana" w:hAnsi="Verdana"/>
          <w:b/>
          <w:i/>
          <w:spacing w:val="-28"/>
          <w:w w:val="105"/>
          <w:lang w:val="pl-pl"/>
        </w:rPr>
        <w:t xml:space="preserve"> </w:t>
      </w:r>
      <w:r>
        <w:rPr>
          <w:rFonts w:ascii="Verdana" w:hAnsi="Verdana"/>
          <w:b/>
          <w:i/>
          <w:w w:val="105"/>
          <w:lang w:val="pl-pl"/>
        </w:rPr>
        <w:t>zasad</w:t>
      </w:r>
      <w:r>
        <w:rPr>
          <w:rFonts w:ascii="Verdana" w:hAnsi="Verdana"/>
          <w:b/>
          <w:i/>
          <w:w w:val="105"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kształtowania wynagrodzeń</w:t>
      </w:r>
      <w:r>
        <w:rPr>
          <w:rFonts w:ascii="Verdana" w:hAnsi="Verdana"/>
          <w:b/>
          <w:i/>
          <w:spacing w:val="31"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Członków</w:t>
      </w:r>
      <w:r>
        <w:rPr>
          <w:rFonts w:ascii="Verdana" w:hAnsi="Verdana"/>
          <w:b/>
          <w:i/>
          <w:spacing w:val="16"/>
          <w:lang w:val="pl-pl"/>
        </w:rPr>
        <w:t xml:space="preserve"> </w:t>
      </w:r>
      <w:r>
        <w:rPr>
          <w:rFonts w:ascii="Verdana" w:hAnsi="Verdana"/>
          <w:b/>
          <w:i/>
          <w:lang w:val="pl-pl"/>
        </w:rPr>
        <w:t>Zarząd</w:t>
      </w:r>
      <w:r>
        <w:rPr>
          <w:rFonts w:ascii="Verdana" w:hAnsi="Verdana"/>
          <w:b/>
          <w:i/>
          <w:lang w:val="pl-pl"/>
        </w:rPr>
        <w:t>u</w:t>
      </w:r>
      <w:r>
        <w:rPr>
          <w:rFonts w:ascii="Verdana" w:hAnsi="Verdana"/>
          <w:i/>
          <w:lang w:val="pl-pl"/>
        </w:rPr>
      </w:r>
    </w:p>
    <w:p>
      <w:pPr>
        <w:pStyle w:val="para2"/>
        <w:ind w:right="-9"/>
        <w:spacing w:before="73"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Działając na podstawie art. 2 ust. 2 pkt</w:t>
      </w:r>
      <w:r>
        <w:rPr>
          <w:rFonts w:ascii="Verdana" w:hAnsi="Verdana"/>
          <w:sz w:val="22"/>
          <w:szCs w:val="22"/>
          <w:lang w:val="pl-pl"/>
        </w:rPr>
        <w:t xml:space="preserve"> 1) i art. </w:t>
      </w:r>
      <w:r>
        <w:rPr>
          <w:rFonts w:ascii="Verdana" w:hAnsi="Verdana"/>
          <w:sz w:val="22"/>
          <w:szCs w:val="22"/>
          <w:lang w:val="pl-pl"/>
        </w:rPr>
        <w:t>4 -</w:t>
      </w:r>
      <w:r>
        <w:rPr>
          <w:rFonts w:ascii="Verdana" w:hAnsi="Verdana"/>
          <w:sz w:val="22"/>
          <w:szCs w:val="22"/>
          <w:lang w:val="pl-pl"/>
        </w:rPr>
        <w:t xml:space="preserve"> 7 ustaw</w:t>
      </w:r>
      <w:r>
        <w:rPr>
          <w:rFonts w:ascii="Verdana" w:hAnsi="Verdana"/>
          <w:sz w:val="22"/>
          <w:szCs w:val="22"/>
          <w:lang w:val="pl-pl"/>
        </w:rPr>
        <w:t xml:space="preserve">y z dnia 9 czerwca 2016 </w:t>
      </w:r>
      <w:r>
        <w:rPr>
          <w:rFonts w:ascii="Verdana" w:hAnsi="Verdana"/>
          <w:w w:val="110"/>
          <w:sz w:val="22"/>
          <w:szCs w:val="22"/>
          <w:lang w:val="pl-pl"/>
        </w:rPr>
        <w:t>r. o zasadach kształtowania wynagrodzeń osób kierujących niektórymi</w:t>
      </w:r>
      <w:r>
        <w:rPr>
          <w:rFonts w:ascii="Verdana" w:hAnsi="Verdana"/>
          <w:spacing w:val="-18"/>
          <w:w w:val="110"/>
          <w:sz w:val="22"/>
          <w:szCs w:val="22"/>
          <w:lang w:val="pl-pl"/>
        </w:rPr>
        <w:t xml:space="preserve"> </w:t>
      </w:r>
      <w:r>
        <w:rPr>
          <w:rFonts w:ascii="Verdana" w:hAnsi="Verdana"/>
          <w:w w:val="110"/>
          <w:sz w:val="22"/>
          <w:szCs w:val="22"/>
          <w:lang w:val="pl-pl"/>
        </w:rPr>
        <w:t>spółkami</w:t>
      </w:r>
      <w:r>
        <w:rPr>
          <w:rFonts w:ascii="Verdana" w:hAnsi="Verdana"/>
          <w:w w:val="132"/>
          <w:sz w:val="22"/>
          <w:szCs w:val="22"/>
          <w:lang w:val="pl-pl"/>
        </w:rPr>
        <w:t xml:space="preserve"> </w:t>
      </w:r>
      <w:r>
        <w:rPr>
          <w:rFonts w:ascii="Verdana" w:hAnsi="Verdana"/>
          <w:w w:val="110"/>
          <w:sz w:val="22"/>
          <w:szCs w:val="22"/>
          <w:lang w:val="pl-pl"/>
        </w:rPr>
        <w:t>(Dz. U. z 2017 r., poz. 2190), Nadzwyczajne Walne Zgromadzenie spółki</w:t>
      </w:r>
      <w:r>
        <w:rPr>
          <w:rFonts w:ascii="Verdana" w:hAnsi="Verdana"/>
          <w:spacing w:val="11"/>
          <w:w w:val="110"/>
          <w:sz w:val="22"/>
          <w:szCs w:val="22"/>
          <w:lang w:val="pl-pl"/>
        </w:rPr>
        <w:t xml:space="preserve"> </w:t>
      </w:r>
      <w:r>
        <w:rPr>
          <w:rFonts w:ascii="Verdana" w:hAnsi="Verdana"/>
          <w:w w:val="110"/>
          <w:sz w:val="22"/>
          <w:szCs w:val="22"/>
          <w:lang w:val="pl-pl"/>
        </w:rPr>
        <w:t xml:space="preserve">pod </w:t>
      </w:r>
      <w:r>
        <w:rPr>
          <w:rFonts w:ascii="Verdana" w:hAnsi="Verdana"/>
          <w:w w:val="105"/>
          <w:sz w:val="22"/>
          <w:szCs w:val="22"/>
          <w:lang w:val="pl-pl"/>
        </w:rPr>
        <w:t>firmą Wrocławski Klub Sportowy "Śląsk Wrocław" Spółka Akcyjna z siedzibą we W</w:t>
      </w:r>
      <w:r>
        <w:rPr>
          <w:rFonts w:ascii="Verdana" w:hAnsi="Verdana"/>
          <w:w w:val="105"/>
          <w:sz w:val="22"/>
          <w:szCs w:val="22"/>
          <w:lang w:val="pl-pl"/>
        </w:rPr>
        <w:t>rocławiu uchwala, co następuje:</w:t>
      </w:r>
      <w:r>
        <w:rPr>
          <w:rFonts w:ascii="Verdana" w:hAnsi="Verdana"/>
          <w:sz w:val="22"/>
          <w:szCs w:val="22"/>
          <w:lang w:val="pl-pl"/>
        </w:rPr>
      </w:r>
    </w:p>
    <w:p>
      <w:pPr>
        <w:ind w:right="1512"/>
        <w:spacing w:before="99" w:line="360" w:lineRule="auto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§ 1</w:t>
      </w:r>
    </w:p>
    <w:p>
      <w:pPr>
        <w:pStyle w:val="para2"/>
        <w:ind w:right="-9" w:firstLine="6"/>
        <w:spacing w:before="16"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w w:val="105"/>
          <w:sz w:val="22"/>
          <w:szCs w:val="22"/>
          <w:lang w:val="pl-pl"/>
        </w:rPr>
        <w:t>W uchwale nr 5/NWZ/2017 Nadzwyczajnego Walnego Zgromadzenia Spółki pod firmą Wrocławski Klub Sportowy "Śląsk W</w:t>
      </w:r>
      <w:r>
        <w:rPr>
          <w:rFonts w:ascii="Verdana" w:hAnsi="Verdana"/>
          <w:w w:val="105"/>
          <w:sz w:val="22"/>
          <w:szCs w:val="22"/>
          <w:lang w:val="pl-pl"/>
        </w:rPr>
        <w:t>rocław" Spółka Akcyjna z dnia 19 października 2017 r. w sprawie zasad kształtowania wynagrodzeń Członków Zarządu, wprowadza się następujące zmiany: § 4 ust. 1 otrzymuje brzmienie:</w:t>
      </w:r>
      <w:r>
        <w:rPr>
          <w:rFonts w:ascii="Verdana" w:hAnsi="Verdana"/>
          <w:sz w:val="22"/>
          <w:szCs w:val="22"/>
          <w:lang w:val="pl-pl"/>
        </w:rPr>
      </w:r>
    </w:p>
    <w:p>
      <w:pPr>
        <w:pStyle w:val="para2"/>
        <w:ind w:left="118"/>
        <w:spacing w:before="142"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w w:val="105"/>
          <w:sz w:val="22"/>
          <w:szCs w:val="22"/>
          <w:lang w:val="pl-pl"/>
        </w:rPr>
        <w:t xml:space="preserve">„1. Wynagrodzenie uzupełniające uzależnione jest od poziomu realizacji celów </w:t>
      </w:r>
      <w:r>
        <w:rPr>
          <w:rFonts w:ascii="Verdana" w:hAnsi="Verdana"/>
          <w:sz w:val="22"/>
          <w:szCs w:val="22"/>
          <w:lang w:val="pl-pl"/>
        </w:rPr>
        <w:t>zarządczych i nie może przekroczyć 40% Wynagrodzenia podstawowego przysługującego w poprzednim roku obrotowym.";</w:t>
      </w:r>
      <w:r>
        <w:rPr>
          <w:rFonts w:ascii="Verdana" w:hAnsi="Verdana"/>
          <w:sz w:val="22"/>
          <w:szCs w:val="22"/>
          <w:lang w:val="pl-pl"/>
        </w:rPr>
      </w:r>
    </w:p>
    <w:p>
      <w:pPr>
        <w:ind w:left="158"/>
        <w:spacing w:before="84" w:line="360" w:lineRule="auto"/>
        <w:rPr>
          <w:rFonts w:ascii="Verdana" w:hAnsi="Verdana"/>
          <w:lang w:val="pl-pl"/>
        </w:rPr>
      </w:pPr>
      <w:r>
        <w:rPr>
          <w:rFonts w:ascii="Verdana" w:hAnsi="Verdana"/>
          <w:w w:val="105"/>
          <w:lang w:val="pl-pl"/>
        </w:rPr>
        <w:t xml:space="preserve">2) po </w:t>
      </w:r>
      <w:r>
        <w:rPr>
          <w:rFonts w:ascii="Verdana" w:hAnsi="Verdana"/>
          <w:w w:val="105"/>
          <w:lang w:val="pl-pl"/>
        </w:rPr>
        <w:t>§ 5 dodaje się§ 5</w:t>
      </w:r>
      <w:r>
        <w:rPr>
          <w:rFonts w:ascii="Verdana" w:hAnsi="Verdana"/>
          <w:w w:val="105"/>
          <w:position w:val="6"/>
          <w:lang w:val="pl-pl"/>
        </w:rPr>
        <w:t>1</w:t>
      </w:r>
      <w:r>
        <w:rPr>
          <w:rFonts w:ascii="Verdana" w:hAnsi="Verdana"/>
          <w:w w:val="105"/>
          <w:lang w:val="pl-pl"/>
        </w:rPr>
        <w:t>,który otrzymuje brzmienie:</w:t>
      </w:r>
      <w:r>
        <w:rPr>
          <w:rFonts w:ascii="Verdana" w:hAnsi="Verdana"/>
          <w:lang w:val="pl-pl"/>
        </w:rPr>
      </w:r>
    </w:p>
    <w:p>
      <w:pPr>
        <w:ind w:right="4033"/>
        <w:spacing w:before="107" w:line="360" w:lineRule="auto"/>
        <w:rPr>
          <w:rFonts w:ascii="Verdana" w:hAnsi="Verdana"/>
          <w:lang w:val="pl-pl"/>
        </w:rPr>
      </w:pPr>
      <w:r>
        <w:rPr>
          <w:rFonts w:ascii="Verdana" w:hAnsi="Verdana"/>
        </w:rPr>
        <w:t>,,§ 5</w:t>
      </w:r>
      <w:r>
        <w:rPr>
          <w:rFonts w:ascii="Verdana" w:hAnsi="Verdana"/>
          <w:w w:val="105"/>
          <w:position w:val="6"/>
          <w:lang w:val="pl-pl"/>
        </w:rPr>
        <w:t>1</w:t>
      </w:r>
      <w:r>
        <w:rPr>
          <w:rFonts w:ascii="Verdana" w:hAnsi="Verdana"/>
          <w:lang w:val="pl-pl"/>
        </w:rPr>
      </w:r>
    </w:p>
    <w:p>
      <w:pPr>
        <w:pStyle w:val="para5"/>
        <w:numPr>
          <w:ilvl w:val="0"/>
          <w:numId w:val="1"/>
        </w:numPr>
        <w:ind w:left="0" w:right="-9" w:firstLine="8"/>
        <w:spacing w:before="43" w:line="360" w:lineRule="auto"/>
        <w:tabs defTabSz="720">
          <w:tab w:val="left" w:pos="567" w:leader="none"/>
        </w:tabs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Cele Zarządcze na kolejne lata począwszy od 2018 roku ustalane będą w odrębnej uchwale Walnego</w:t>
      </w:r>
      <w:r>
        <w:rPr>
          <w:rFonts w:ascii="Verdana" w:hAnsi="Verdana"/>
          <w:spacing w:val="55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>Zgromadzenia.</w:t>
      </w:r>
      <w:r>
        <w:rPr>
          <w:rFonts w:ascii="Verdana" w:hAnsi="Verdana"/>
          <w:sz w:val="22"/>
          <w:szCs w:val="22"/>
          <w:lang w:val="pl-pl"/>
        </w:rPr>
      </w:r>
    </w:p>
    <w:p>
      <w:pPr>
        <w:pStyle w:val="para6"/>
        <w:numPr>
          <w:ilvl w:val="0"/>
          <w:numId w:val="1"/>
        </w:numPr>
        <w:ind w:left="0" w:right="-9" w:firstLine="3"/>
        <w:spacing w:line="360" w:lineRule="auto"/>
        <w:tabs defTabSz="720">
          <w:tab w:val="left" w:pos="567" w:leader="none"/>
        </w:tabs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Upoważnia się Radę Nadzorczą do uszczegóławiania celów zarządczych, ustalania wag oraz obiektywnych i mierzalnych kryteriów ich realizacji i rozliczania w term</w:t>
      </w:r>
      <w:r>
        <w:rPr>
          <w:rFonts w:ascii="Verdana" w:hAnsi="Verdana"/>
          <w:lang w:val="pl-pl"/>
        </w:rPr>
        <w:t>inie do końca pierwszego kwartału roku obrotowego, na który cele są ustalane.".</w:t>
      </w:r>
      <w:r>
        <w:rPr>
          <w:rFonts w:ascii="Verdana" w:hAnsi="Verdana"/>
          <w:lang w:val="pl-pl"/>
        </w:rPr>
      </w:r>
    </w:p>
    <w:p>
      <w:pPr>
        <w:ind w:right="4033"/>
        <w:spacing w:before="125" w:line="360" w:lineRule="auto"/>
        <w:rPr>
          <w:rFonts w:ascii="Verdana" w:hAnsi="Verdana"/>
          <w:lang w:val="pl-pl"/>
        </w:rPr>
      </w:pPr>
      <w:r>
        <w:rPr>
          <w:rFonts w:ascii="Verdana" w:hAnsi="Verdana"/>
          <w:w w:val="105"/>
          <w:lang w:val="pl-pl"/>
        </w:rPr>
        <w:t>§ 2</w:t>
      </w:r>
      <w:r>
        <w:rPr>
          <w:rFonts w:ascii="Verdana" w:hAnsi="Verdana"/>
          <w:lang w:val="pl-pl"/>
        </w:rPr>
      </w:r>
    </w:p>
    <w:p>
      <w:pPr>
        <w:pStyle w:val="para5"/>
        <w:ind w:left="0"/>
        <w:spacing w:before="5" w:line="360" w:lineRule="auto"/>
        <w:jc w:val="left"/>
        <w:rPr>
          <w:rFonts w:ascii="Verdana" w:hAnsi="Verdana"/>
          <w:w w:val="105"/>
          <w:sz w:val="22"/>
          <w:szCs w:val="22"/>
          <w:lang w:val="pl-pl"/>
        </w:rPr>
      </w:pPr>
      <w:r>
        <w:rPr>
          <w:rFonts w:ascii="Verdana" w:hAnsi="Verdana"/>
          <w:w w:val="105"/>
          <w:sz w:val="22"/>
          <w:szCs w:val="22"/>
          <w:lang w:val="pl-pl"/>
        </w:rPr>
        <w:t>Uchwała wchodzi w życie z dniem podjęcia.</w:t>
      </w:r>
    </w:p>
    <w:p>
      <w:pPr>
        <w:pStyle w:val="para5"/>
        <w:ind w:left="0"/>
        <w:spacing w:before="100" w:beforeAutospacing="1" w:line="360" w:lineRule="auto"/>
        <w:jc w:val="left"/>
        <w:rPr>
          <w:rFonts w:ascii="Verdana" w:hAnsi="Verdana"/>
          <w:w w:val="105"/>
          <w:sz w:val="22"/>
          <w:szCs w:val="22"/>
          <w:lang w:val="pl-pl"/>
        </w:rPr>
      </w:pPr>
      <w:r>
        <w:rPr>
          <w:rFonts w:ascii="Verdana" w:hAnsi="Verdana"/>
          <w:w w:val="105"/>
          <w:sz w:val="22"/>
          <w:szCs w:val="22"/>
          <w:lang w:val="pl-pl"/>
        </w:rPr>
        <w:t>dokument podpisała</w:t>
      </w:r>
      <w:r>
        <w:rPr>
          <w:rFonts w:ascii="Verdana" w:hAnsi="Verdana"/>
          <w:w w:val="105"/>
          <w:sz w:val="22"/>
          <w:szCs w:val="22"/>
          <w:lang w:val="pl-pl"/>
        </w:rPr>
        <w:t>:</w:t>
      </w:r>
      <w:r>
        <w:rPr>
          <w:rFonts w:ascii="Verdana" w:hAnsi="Verdana"/>
          <w:w w:val="105"/>
          <w:sz w:val="22"/>
          <w:szCs w:val="22"/>
          <w:lang w:val="pl-pl"/>
        </w:rPr>
      </w:r>
    </w:p>
    <w:p>
      <w:pPr>
        <w:pStyle w:val="para5"/>
        <w:ind w:left="0"/>
        <w:spacing w:before="0" w:line="360" w:lineRule="auto"/>
        <w:jc w:val="left"/>
        <w:rPr>
          <w:rFonts w:ascii="Verdana" w:hAnsi="Verdana"/>
          <w:w w:val="105"/>
          <w:sz w:val="22"/>
          <w:szCs w:val="22"/>
          <w:lang w:val="pl-pl"/>
        </w:rPr>
      </w:pPr>
      <w:r>
        <w:rPr>
          <w:rFonts w:ascii="Verdana" w:hAnsi="Verdana"/>
          <w:lang w:val="pl-pl"/>
        </w:rPr>
        <w:t xml:space="preserve">Przewodnicząca </w:t>
      </w:r>
      <w:r>
        <w:rPr>
          <w:rFonts w:ascii="Verdana" w:hAnsi="Verdana"/>
          <w:w w:val="105"/>
          <w:lang w:val="pl-pl"/>
        </w:rPr>
        <w:t xml:space="preserve">Nadzwyczajnego Walnego Zgromadzenia </w:t>
      </w:r>
      <w:r>
        <w:rPr>
          <w:rFonts w:ascii="Verdana" w:hAnsi="Verdana"/>
          <w:w w:val="105"/>
          <w:sz w:val="22"/>
          <w:szCs w:val="22"/>
          <w:lang w:val="pl-pl"/>
        </w:rPr>
        <w:t xml:space="preserve">Ewa </w:t>
      </w:r>
      <w:r>
        <w:rPr>
          <w:rFonts w:ascii="Verdana" w:hAnsi="Verdana"/>
          <w:w w:val="105"/>
          <w:sz w:val="22"/>
          <w:szCs w:val="22"/>
          <w:lang w:val="pl-pl"/>
        </w:rPr>
        <w:t>Kazubek-Pipiek</w:t>
      </w:r>
      <w:r>
        <w:rPr>
          <w:rFonts w:ascii="Verdana" w:hAnsi="Verdana"/>
          <w:w w:val="105"/>
          <w:sz w:val="22"/>
          <w:szCs w:val="22"/>
          <w:lang w:val="pl-pl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20" w:w="11760"/>
      <w:pgMar w:left="1440" w:top="720" w:right="1540" w:bottom="1135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Calibri">
    <w:panose1 w:val="020F0502020204030204"/>
    <w:charset w:val="ee"/>
    <w:family w:val="swiss"/>
    <w:pitch w:val="default"/>
  </w:font>
  <w:font w:name="Cambria">
    <w:panose1 w:val="02040503050406030204"/>
    <w:charset w:val="ee"/>
    <w:family w:val="roman"/>
    <w:pitch w:val="default"/>
  </w:font>
  <w:font w:name="Verdana">
    <w:panose1 w:val="020B0604030504040204"/>
    <w:charset w:val="ee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owana 1"/>
    <w:lvl w:ilvl="0">
      <w:start w:val="1"/>
      <w:numFmt w:val="decimal"/>
      <w:suff w:val="tab"/>
      <w:lvlText w:val="%1."/>
      <w:lvlJc w:val="left"/>
      <w:pPr>
        <w:ind w:left="-536" w:hanging="0"/>
      </w:pPr>
      <w:rPr>
        <w:rFonts w:ascii="Times New Roman" w:hAnsi="Times New Roman" w:eastAsia="Times New Roman" w:cs="Times New Roman"/>
        <w:w w:val="103"/>
        <w:sz w:val="25"/>
        <w:szCs w:val="25"/>
      </w:rPr>
    </w:lvl>
    <w:lvl w:ilvl="1">
      <w:numFmt w:val="bullet"/>
      <w:suff w:val="tab"/>
      <w:lvlText w:val="•"/>
      <w:lvlJc w:val="left"/>
      <w:pPr>
        <w:ind w:left="330" w:hanging="0"/>
      </w:pPr>
    </w:lvl>
    <w:lvl w:ilvl="2">
      <w:numFmt w:val="bullet"/>
      <w:suff w:val="tab"/>
      <w:lvlText w:val="•"/>
      <w:lvlJc w:val="left"/>
      <w:pPr>
        <w:ind w:left="1191" w:hanging="0"/>
      </w:pPr>
    </w:lvl>
    <w:lvl w:ilvl="3">
      <w:numFmt w:val="bullet"/>
      <w:suff w:val="tab"/>
      <w:lvlText w:val="•"/>
      <w:lvlJc w:val="left"/>
      <w:pPr>
        <w:ind w:left="2052" w:hanging="0"/>
      </w:pPr>
    </w:lvl>
    <w:lvl w:ilvl="4">
      <w:numFmt w:val="bullet"/>
      <w:suff w:val="tab"/>
      <w:lvlText w:val="•"/>
      <w:lvlJc w:val="left"/>
      <w:pPr>
        <w:ind w:left="2913" w:hanging="0"/>
      </w:pPr>
    </w:lvl>
    <w:lvl w:ilvl="5">
      <w:numFmt w:val="bullet"/>
      <w:suff w:val="tab"/>
      <w:lvlText w:val="•"/>
      <w:lvlJc w:val="left"/>
      <w:pPr>
        <w:ind w:left="3774" w:hanging="0"/>
      </w:pPr>
    </w:lvl>
    <w:lvl w:ilvl="6">
      <w:numFmt w:val="bullet"/>
      <w:suff w:val="tab"/>
      <w:lvlText w:val="•"/>
      <w:lvlJc w:val="left"/>
      <w:pPr>
        <w:ind w:left="4635" w:hanging="0"/>
      </w:pPr>
    </w:lvl>
    <w:lvl w:ilvl="7">
      <w:numFmt w:val="bullet"/>
      <w:suff w:val="tab"/>
      <w:lvlText w:val="•"/>
      <w:lvlJc w:val="left"/>
      <w:pPr>
        <w:ind w:left="5496" w:hanging="0"/>
      </w:pPr>
    </w:lvl>
    <w:lvl w:ilvl="8">
      <w:numFmt w:val="bullet"/>
      <w:suff w:val="tab"/>
      <w:lvlText w:val="•"/>
      <w:lvlJc w:val="left"/>
      <w:pPr>
        <w:ind w:left="6357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20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8922220" w:val="982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</w:rPr>
  </w:style>
  <w:style w:type="paragraph" w:styleId="para1">
    <w:name w:val="heading 1"/>
    <w:qFormat/>
    <w:basedOn w:val="para0"/>
    <w:next w:val="para0"/>
    <w:pPr>
      <w:spacing w:before="480"/>
      <w:keepNext/>
      <w:outlineLvl w:val="0"/>
      <w:keepLines/>
    </w:pPr>
    <w:rPr>
      <w:rFonts w:ascii="Cambria" w:hAnsi="Cambria" w:eastAsia="Cambria"/>
      <w:b/>
      <w:bCs/>
      <w:color w:val="365f91"/>
      <w:sz w:val="28"/>
      <w:szCs w:val="28"/>
    </w:rPr>
  </w:style>
  <w:style w:type="paragraph" w:styleId="para2">
    <w:name w:val="Body Text"/>
    <w:qFormat/>
    <w:basedOn w:val="para0"/>
    <w:rPr>
      <w:sz w:val="24"/>
      <w:szCs w:val="24"/>
    </w:rPr>
  </w:style>
  <w:style w:type="paragraph" w:styleId="para3" w:customStyle="1">
    <w:name w:val="Heading 1"/>
    <w:qFormat/>
    <w:basedOn w:val="para0"/>
    <w:pPr>
      <w:ind w:left="122" w:hanging="2"/>
      <w:spacing w:line="231" w:lineRule="exact"/>
      <w:jc w:val="both"/>
      <w:outlineLvl w:val="1"/>
    </w:pPr>
    <w:rPr>
      <w:i/>
      <w:sz w:val="26"/>
      <w:szCs w:val="26"/>
    </w:rPr>
  </w:style>
  <w:style w:type="paragraph" w:styleId="para4" w:customStyle="1">
    <w:name w:val="Heading 2"/>
    <w:qFormat/>
    <w:basedOn w:val="para0"/>
    <w:pPr>
      <w:ind w:left="265"/>
      <w:spacing w:line="276" w:lineRule="exact"/>
      <w:outlineLvl w:val="2"/>
    </w:pPr>
    <w:rPr>
      <w:b/>
      <w:bCs/>
      <w:sz w:val="25"/>
      <w:szCs w:val="25"/>
    </w:rPr>
  </w:style>
  <w:style w:type="paragraph" w:styleId="para5" w:customStyle="1">
    <w:name w:val="Heading 3"/>
    <w:qFormat/>
    <w:basedOn w:val="para0"/>
    <w:pPr>
      <w:ind w:left="134"/>
      <w:spacing w:before="1"/>
      <w:jc w:val="both"/>
      <w:outlineLvl w:val="3"/>
    </w:pPr>
    <w:rPr>
      <w:sz w:val="25"/>
      <w:szCs w:val="25"/>
    </w:rPr>
  </w:style>
  <w:style w:type="paragraph" w:styleId="para6">
    <w:name w:val="List Paragraph"/>
    <w:qFormat/>
    <w:basedOn w:val="para0"/>
    <w:pPr>
      <w:ind w:left="148" w:right="105" w:firstLine="3"/>
      <w:spacing w:before="1"/>
      <w:jc w:val="both"/>
    </w:pPr>
  </w:style>
  <w:style w:type="paragraph" w:styleId="para7" w:customStyle="1">
    <w:name w:val="Table Paragraph"/>
    <w:qFormat/>
    <w:basedOn w:val="para0"/>
  </w:style>
  <w:style w:type="character" w:styleId="char0" w:default="1">
    <w:name w:val="Default Paragraph Font"/>
  </w:style>
  <w:style w:type="character" w:styleId="char1" w:customStyle="1">
    <w:name w:val="Nagłówek 1 Znak"/>
    <w:basedOn w:val="char0"/>
    <w:rPr>
      <w:rFonts w:ascii="Cambria" w:hAnsi="Cambria" w:eastAsia="Cambria"/>
      <w:b/>
      <w:bCs/>
      <w:color w:val="365f91"/>
      <w:sz w:val="28"/>
      <w:szCs w:val="2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</w:rPr>
  </w:style>
  <w:style w:type="paragraph" w:styleId="para1">
    <w:name w:val="heading 1"/>
    <w:qFormat/>
    <w:basedOn w:val="para0"/>
    <w:next w:val="para0"/>
    <w:pPr>
      <w:spacing w:before="480"/>
      <w:keepNext/>
      <w:outlineLvl w:val="0"/>
      <w:keepLines/>
    </w:pPr>
    <w:rPr>
      <w:rFonts w:ascii="Cambria" w:hAnsi="Cambria" w:eastAsia="Cambria"/>
      <w:b/>
      <w:bCs/>
      <w:color w:val="365f91"/>
      <w:sz w:val="28"/>
      <w:szCs w:val="28"/>
    </w:rPr>
  </w:style>
  <w:style w:type="paragraph" w:styleId="para2">
    <w:name w:val="Body Text"/>
    <w:qFormat/>
    <w:basedOn w:val="para0"/>
    <w:rPr>
      <w:sz w:val="24"/>
      <w:szCs w:val="24"/>
    </w:rPr>
  </w:style>
  <w:style w:type="paragraph" w:styleId="para3" w:customStyle="1">
    <w:name w:val="Heading 1"/>
    <w:qFormat/>
    <w:basedOn w:val="para0"/>
    <w:pPr>
      <w:ind w:left="122" w:hanging="2"/>
      <w:spacing w:line="231" w:lineRule="exact"/>
      <w:jc w:val="both"/>
      <w:outlineLvl w:val="1"/>
    </w:pPr>
    <w:rPr>
      <w:i/>
      <w:sz w:val="26"/>
      <w:szCs w:val="26"/>
    </w:rPr>
  </w:style>
  <w:style w:type="paragraph" w:styleId="para4" w:customStyle="1">
    <w:name w:val="Heading 2"/>
    <w:qFormat/>
    <w:basedOn w:val="para0"/>
    <w:pPr>
      <w:ind w:left="265"/>
      <w:spacing w:line="276" w:lineRule="exact"/>
      <w:outlineLvl w:val="2"/>
    </w:pPr>
    <w:rPr>
      <w:b/>
      <w:bCs/>
      <w:sz w:val="25"/>
      <w:szCs w:val="25"/>
    </w:rPr>
  </w:style>
  <w:style w:type="paragraph" w:styleId="para5" w:customStyle="1">
    <w:name w:val="Heading 3"/>
    <w:qFormat/>
    <w:basedOn w:val="para0"/>
    <w:pPr>
      <w:ind w:left="134"/>
      <w:spacing w:before="1"/>
      <w:jc w:val="both"/>
      <w:outlineLvl w:val="3"/>
    </w:pPr>
    <w:rPr>
      <w:sz w:val="25"/>
      <w:szCs w:val="25"/>
    </w:rPr>
  </w:style>
  <w:style w:type="paragraph" w:styleId="para6">
    <w:name w:val="List Paragraph"/>
    <w:qFormat/>
    <w:basedOn w:val="para0"/>
    <w:pPr>
      <w:ind w:left="148" w:right="105" w:firstLine="3"/>
      <w:spacing w:before="1"/>
      <w:jc w:val="both"/>
    </w:pPr>
  </w:style>
  <w:style w:type="paragraph" w:styleId="para7" w:customStyle="1">
    <w:name w:val="Table Paragraph"/>
    <w:qFormat/>
    <w:basedOn w:val="para0"/>
  </w:style>
  <w:style w:type="character" w:styleId="char0" w:default="1">
    <w:name w:val="Default Paragraph Font"/>
  </w:style>
  <w:style w:type="character" w:styleId="char1" w:customStyle="1">
    <w:name w:val="Nagłówek 1 Znak"/>
    <w:basedOn w:val="char0"/>
    <w:rPr>
      <w:rFonts w:ascii="Cambria" w:hAnsi="Cambria" w:eastAsia="Cambria"/>
      <w:b/>
      <w:bCs/>
      <w:color w:val="365f91"/>
      <w:sz w:val="28"/>
      <w:szCs w:val="2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umelja04</cp:lastModifiedBy>
  <cp:revision>7</cp:revision>
  <dcterms:created xsi:type="dcterms:W3CDTF">2021-03-22T10:16:00Z</dcterms:created>
  <dcterms:modified xsi:type="dcterms:W3CDTF">2021-04-20T12:37:00Z</dcterms:modified>
</cp:coreProperties>
</file>