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357" w:rsidRDefault="00FD09CD">
      <w:pPr>
        <w:pStyle w:val="Nagwek2"/>
      </w:pPr>
      <w:r>
        <w:t>Projekt</w:t>
      </w:r>
    </w:p>
    <w:p w:rsidR="00D96357" w:rsidRDefault="00D9635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96357" w:rsidRDefault="00FD09C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UCHWAŁA NR </w:t>
      </w:r>
      <w:r>
        <w:rPr>
          <w:sz w:val="22"/>
          <w:szCs w:val="22"/>
        </w:rPr>
        <w:t xml:space="preserve">..............................  </w:t>
      </w:r>
      <w:r>
        <w:rPr>
          <w:b/>
          <w:bCs/>
          <w:sz w:val="22"/>
          <w:szCs w:val="22"/>
        </w:rPr>
        <w:t xml:space="preserve">   </w:t>
      </w:r>
    </w:p>
    <w:p w:rsidR="00D96357" w:rsidRDefault="00FD09C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RADY MIEJSKIEJ WROCŁAWIA</w:t>
      </w:r>
    </w:p>
    <w:p w:rsidR="00D96357" w:rsidRDefault="00FD09CD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z dnia                       2015 r.</w:t>
      </w: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FD09C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 sprawie „Planu gospodarki niskoemisyjnej dla Wrocławia”</w:t>
      </w:r>
    </w:p>
    <w:p w:rsidR="00D96357" w:rsidRDefault="00D9635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357" w:rsidRDefault="00FD09CD">
      <w:pPr>
        <w:pStyle w:val="Tekstpodstawowy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Na podstawie art. 18 ust. 2 </w:t>
      </w:r>
      <w:proofErr w:type="spellStart"/>
      <w:r>
        <w:rPr>
          <w:rFonts w:ascii="Times New Roman" w:hAnsi="Times New Roman"/>
          <w:sz w:val="22"/>
          <w:szCs w:val="22"/>
        </w:rPr>
        <w:t>pkt</w:t>
      </w:r>
      <w:proofErr w:type="spellEnd"/>
      <w:r>
        <w:rPr>
          <w:rFonts w:ascii="Times New Roman" w:hAnsi="Times New Roman"/>
          <w:sz w:val="22"/>
          <w:szCs w:val="22"/>
        </w:rPr>
        <w:t xml:space="preserve"> 6 ustawy z dnia 8 marca 1990 r. o samorządzie gminnym (</w:t>
      </w:r>
      <w:hyperlink r:id="rId8" w:history="1">
        <w:r>
          <w:rPr>
            <w:rFonts w:ascii="Times New Roman" w:hAnsi="Times New Roman"/>
            <w:bCs/>
            <w:iCs/>
            <w:sz w:val="22"/>
            <w:szCs w:val="22"/>
          </w:rPr>
          <w:t>Dz. U. z 2013 r. poz. 594</w:t>
        </w:r>
      </w:hyperlink>
      <w:r>
        <w:rPr>
          <w:rFonts w:ascii="Times New Roman" w:hAnsi="Times New Roman"/>
          <w:bCs/>
          <w:iCs/>
          <w:sz w:val="22"/>
          <w:szCs w:val="22"/>
        </w:rPr>
        <w:t xml:space="preserve">, z </w:t>
      </w:r>
      <w:proofErr w:type="spellStart"/>
      <w:r>
        <w:rPr>
          <w:rFonts w:ascii="Times New Roman" w:hAnsi="Times New Roman"/>
          <w:bCs/>
          <w:iCs/>
          <w:sz w:val="22"/>
          <w:szCs w:val="22"/>
        </w:rPr>
        <w:t>późn</w:t>
      </w:r>
      <w:proofErr w:type="spellEnd"/>
      <w:r>
        <w:rPr>
          <w:rFonts w:ascii="Times New Roman" w:hAnsi="Times New Roman"/>
          <w:bCs/>
          <w:iCs/>
          <w:sz w:val="22"/>
          <w:szCs w:val="22"/>
        </w:rPr>
        <w:t>. zm.</w:t>
      </w:r>
      <w:r>
        <w:rPr>
          <w:rStyle w:val="Odwoanieprzypisudolnego"/>
          <w:rFonts w:ascii="Times New Roman" w:hAnsi="Times New Roman"/>
          <w:bCs/>
          <w:iCs/>
          <w:sz w:val="22"/>
          <w:szCs w:val="22"/>
        </w:rPr>
        <w:footnoteReference w:id="2"/>
      </w:r>
      <w:r>
        <w:rPr>
          <w:rFonts w:ascii="Times New Roman" w:hAnsi="Times New Roman"/>
          <w:bCs/>
          <w:iCs/>
          <w:sz w:val="22"/>
          <w:szCs w:val="22"/>
          <w:vertAlign w:val="superscript"/>
        </w:rPr>
        <w:t>)</w:t>
      </w:r>
      <w:r>
        <w:rPr>
          <w:rFonts w:ascii="Times New Roman" w:hAnsi="Times New Roman"/>
          <w:bCs/>
          <w:iCs/>
          <w:sz w:val="22"/>
          <w:szCs w:val="22"/>
        </w:rPr>
        <w:t>)</w:t>
      </w:r>
      <w:r>
        <w:rPr>
          <w:rFonts w:ascii="Times New Roman" w:hAnsi="Times New Roman"/>
          <w:sz w:val="22"/>
          <w:szCs w:val="22"/>
        </w:rPr>
        <w:t>, uchwala się, co następuje:</w:t>
      </w:r>
    </w:p>
    <w:p w:rsidR="00D96357" w:rsidRDefault="00D9635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357" w:rsidRDefault="00FD09CD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 1.</w:t>
      </w:r>
      <w:r>
        <w:rPr>
          <w:sz w:val="22"/>
          <w:szCs w:val="22"/>
        </w:rPr>
        <w:t xml:space="preserve"> Przyjmuje się „Plan gospodarki niskoemisyjnej</w:t>
      </w:r>
      <w:r w:rsidR="002D49AB">
        <w:rPr>
          <w:sz w:val="22"/>
          <w:szCs w:val="22"/>
        </w:rPr>
        <w:t>”</w:t>
      </w:r>
      <w:r>
        <w:rPr>
          <w:sz w:val="22"/>
          <w:szCs w:val="22"/>
        </w:rPr>
        <w:t xml:space="preserve"> dla Wrocławia stanowiący załącznik do niniejszej uchwały.</w:t>
      </w:r>
    </w:p>
    <w:p w:rsidR="00D96357" w:rsidRDefault="00D9635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96357" w:rsidRDefault="00FD09CD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 2.</w:t>
      </w:r>
      <w:r>
        <w:rPr>
          <w:sz w:val="22"/>
          <w:szCs w:val="22"/>
        </w:rPr>
        <w:t xml:space="preserve"> Wykonanie uchwały powierza się Prezydentowi Wrocławia.</w:t>
      </w:r>
    </w:p>
    <w:p w:rsidR="00D96357" w:rsidRDefault="00D9635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96357" w:rsidRDefault="00FD09CD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 3.</w:t>
      </w:r>
      <w:r>
        <w:rPr>
          <w:sz w:val="22"/>
          <w:szCs w:val="22"/>
        </w:rPr>
        <w:t xml:space="preserve"> Uchwała wchodzi w życie z dniem podjęcia.</w:t>
      </w:r>
    </w:p>
    <w:p w:rsidR="00D96357" w:rsidRDefault="00D9635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357" w:rsidRDefault="00FD09CD">
      <w:pPr>
        <w:autoSpaceDE w:val="0"/>
        <w:autoSpaceDN w:val="0"/>
        <w:adjustRightInd w:val="0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Przewodniczący </w:t>
      </w:r>
    </w:p>
    <w:p w:rsidR="00D96357" w:rsidRDefault="00D96357">
      <w:pPr>
        <w:autoSpaceDE w:val="0"/>
        <w:autoSpaceDN w:val="0"/>
        <w:adjustRightInd w:val="0"/>
        <w:ind w:left="6372"/>
        <w:rPr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ind w:left="6372"/>
        <w:rPr>
          <w:sz w:val="22"/>
          <w:szCs w:val="22"/>
        </w:rPr>
      </w:pPr>
    </w:p>
    <w:p w:rsidR="00D96357" w:rsidRDefault="00FD09CD">
      <w:pPr>
        <w:autoSpaceDE w:val="0"/>
        <w:autoSpaceDN w:val="0"/>
        <w:adjustRightInd w:val="0"/>
        <w:ind w:left="6372"/>
        <w:rPr>
          <w:sz w:val="22"/>
          <w:szCs w:val="22"/>
        </w:rPr>
      </w:pPr>
      <w:r>
        <w:rPr>
          <w:sz w:val="22"/>
          <w:szCs w:val="22"/>
        </w:rPr>
        <w:t>Rady Miejskiej Wrocławia</w:t>
      </w:r>
    </w:p>
    <w:p w:rsidR="00D96357" w:rsidRDefault="00D96357">
      <w:pPr>
        <w:autoSpaceDE w:val="0"/>
        <w:autoSpaceDN w:val="0"/>
        <w:adjustRightInd w:val="0"/>
        <w:ind w:left="4248" w:firstLine="708"/>
        <w:jc w:val="center"/>
        <w:rPr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ind w:left="4248" w:firstLine="708"/>
        <w:jc w:val="center"/>
        <w:rPr>
          <w:sz w:val="22"/>
          <w:szCs w:val="22"/>
        </w:rPr>
      </w:pPr>
    </w:p>
    <w:p w:rsidR="00D96357" w:rsidRDefault="00D96357">
      <w:pPr>
        <w:tabs>
          <w:tab w:val="left" w:pos="2237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D96357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2421C" w:rsidRDefault="0052421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2421C" w:rsidRDefault="0052421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6357" w:rsidRDefault="00FD09CD">
      <w:pPr>
        <w:pStyle w:val="Nagwek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Uzasadnienie</w:t>
      </w:r>
    </w:p>
    <w:p w:rsidR="00D96357" w:rsidRDefault="00D9635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96357" w:rsidRDefault="00FD09CD">
      <w:pPr>
        <w:pStyle w:val="Tekstpodstawowy"/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Rada Miejska Wrocławia uchwałą Nr XLVIII/1166/13 z 19 września 2013r. wyraziła zgodę na przystąpienie do opracowania i wdrażania „Planu gospodarki niskoemisyjnej”.</w:t>
      </w:r>
    </w:p>
    <w:p w:rsidR="00D96357" w:rsidRDefault="00D96357">
      <w:pPr>
        <w:pStyle w:val="Tekstpodstawowy"/>
        <w:spacing w:line="276" w:lineRule="auto"/>
        <w:rPr>
          <w:rFonts w:ascii="Times New Roman" w:hAnsi="Times New Roman"/>
          <w:sz w:val="22"/>
          <w:szCs w:val="22"/>
        </w:rPr>
      </w:pPr>
    </w:p>
    <w:p w:rsidR="00D96357" w:rsidRDefault="00FD09C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„Plan gospodarki niskoemisyjnej” (PGN) to dokument strategiczny, który wyznacza kierunki rozwoju i modernizacji Gminy Wrocław na lata 2015-2020, z perspektywą do roku 2050 w takich sektorach jak: energetyka, budownictwo i gospodarstwa domowe, transport, gospodarka, gospodarka odpadami, rolnictwo i leśnictwo, edukacja i dialog społeczny oraz administracja publiczna.</w:t>
      </w:r>
    </w:p>
    <w:p w:rsidR="00D96357" w:rsidRDefault="00D96357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D96357" w:rsidRDefault="00FD09CD">
      <w:pPr>
        <w:pStyle w:val="Bezodstpw"/>
        <w:spacing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30 października 2013 r. Gmina Wrocław przystąpiła do konkursu na dofinansowanie opracowania </w:t>
      </w:r>
      <w:r>
        <w:rPr>
          <w:rFonts w:ascii="Times New Roman" w:hAnsi="Times New Roman"/>
        </w:rPr>
        <w:t>Planu gospodarki niskoemisyjnej</w:t>
      </w:r>
      <w:r>
        <w:rPr>
          <w:rFonts w:ascii="Times New Roman" w:eastAsia="Times New Roman" w:hAnsi="Times New Roman"/>
          <w:lang w:eastAsia="pl-PL"/>
        </w:rPr>
        <w:t xml:space="preserve">  (PGN) w ramach IX osi priorytetu </w:t>
      </w:r>
      <w:proofErr w:type="spellStart"/>
      <w:r>
        <w:rPr>
          <w:rFonts w:ascii="Times New Roman" w:eastAsia="Times New Roman" w:hAnsi="Times New Roman"/>
          <w:lang w:eastAsia="pl-PL"/>
        </w:rPr>
        <w:t>POIiŚ</w:t>
      </w:r>
      <w:proofErr w:type="spellEnd"/>
      <w:r>
        <w:rPr>
          <w:rFonts w:ascii="Times New Roman" w:eastAsia="Times New Roman" w:hAnsi="Times New Roman"/>
          <w:lang w:eastAsia="pl-PL"/>
        </w:rPr>
        <w:t xml:space="preserve"> działanie 9.3 „</w:t>
      </w:r>
      <w:r>
        <w:rPr>
          <w:rFonts w:ascii="Times New Roman" w:eastAsia="Times New Roman" w:hAnsi="Times New Roman"/>
          <w:i/>
          <w:lang w:eastAsia="pl-PL"/>
        </w:rPr>
        <w:t>Termomodernizacja obiektów użyteczności publicznej – plany gospodarki niskoemisyjnej</w:t>
      </w:r>
      <w:r>
        <w:rPr>
          <w:rFonts w:ascii="Times New Roman" w:eastAsia="Times New Roman" w:hAnsi="Times New Roman"/>
          <w:lang w:eastAsia="pl-PL"/>
        </w:rPr>
        <w:t>”, organizowanego przez Narodowy Fundusz Ochrony Środowiska i Gospodarki Wodnej.</w:t>
      </w:r>
      <w:r>
        <w:rPr>
          <w:rFonts w:ascii="Times New Roman" w:hAnsi="Times New Roman"/>
        </w:rPr>
        <w:t xml:space="preserve"> W grudniu 2014r. pomiędzy </w:t>
      </w:r>
      <w:proofErr w:type="spellStart"/>
      <w:r>
        <w:rPr>
          <w:rFonts w:ascii="Times New Roman" w:hAnsi="Times New Roman"/>
        </w:rPr>
        <w:t>NFOŚiGW</w:t>
      </w:r>
      <w:proofErr w:type="spellEnd"/>
      <w:r>
        <w:rPr>
          <w:rFonts w:ascii="Times New Roman" w:hAnsi="Times New Roman"/>
        </w:rPr>
        <w:t xml:space="preserve"> a Gminą Wrocław została zawarta umowa o dofinansowanie ww. opracowania.</w:t>
      </w:r>
    </w:p>
    <w:p w:rsidR="00D96357" w:rsidRDefault="00D96357">
      <w:pPr>
        <w:spacing w:line="276" w:lineRule="auto"/>
        <w:jc w:val="both"/>
        <w:rPr>
          <w:sz w:val="22"/>
          <w:szCs w:val="22"/>
        </w:rPr>
      </w:pPr>
    </w:p>
    <w:p w:rsidR="00D96357" w:rsidRDefault="00FD09C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wyniku rozstrzygnięcia postępowania o udzielenie zamówienie publicznego</w:t>
      </w:r>
      <w:r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trybie przetargu nieograniczonego </w:t>
      </w:r>
      <w:r>
        <w:rPr>
          <w:sz w:val="22"/>
          <w:szCs w:val="22"/>
          <w:lang w:eastAsia="ar-SA"/>
        </w:rPr>
        <w:t xml:space="preserve">na opracowanie „Planu gospodarki niskoemisyjnej dla Zintegrowanych Inwestycji Terytorialnych Wrocławskiego Obszaru Funkcjonalnego” </w:t>
      </w:r>
      <w:r>
        <w:rPr>
          <w:sz w:val="22"/>
          <w:szCs w:val="22"/>
        </w:rPr>
        <w:t>wyłoniono wykonawcę i zawarto z nim umowę 4 marca 2014r.</w:t>
      </w:r>
    </w:p>
    <w:p w:rsidR="00D96357" w:rsidRDefault="00D96357">
      <w:pPr>
        <w:spacing w:line="276" w:lineRule="auto"/>
        <w:jc w:val="both"/>
        <w:rPr>
          <w:bCs/>
          <w:sz w:val="22"/>
          <w:szCs w:val="22"/>
        </w:rPr>
      </w:pPr>
    </w:p>
    <w:p w:rsidR="00D96357" w:rsidRDefault="00FD09CD">
      <w:pPr>
        <w:spacing w:line="276" w:lineRule="auto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Ramy merytoryczne Planu Gospodarki Niskoemisyjnej określone są przez międzynarodowe, unijne i krajowe konwencje oraz dokumenty strategiczne, w tym w szczególności Ramową Konwencję Narodów Zjednoczonych w sprawie zmian klimatu. </w:t>
      </w:r>
      <w:r>
        <w:rPr>
          <w:sz w:val="22"/>
          <w:szCs w:val="22"/>
        </w:rPr>
        <w:t>PGN jest spójny z celami i kierunkami działań zawartymi w dokumentach unijnych, krajowych oraz lokalnych takich jak m.in. projekt „Krajowego Programu Ochrony Powietrza w Polsce”, Strategia „Bezpieczeństwo Energetyczne i Środowisko – perspektywa do 2020 r.”, „Program Ochrony Powietrza dla Województwa Dolnośląskiego”, „Regionalny Program Operacyjny Województwa Dolnośląskiego 2014-2020” i „Program Operacyjny Infrastruktura i Środowisko 2014-2020”.</w:t>
      </w:r>
    </w:p>
    <w:p w:rsidR="00D96357" w:rsidRDefault="00D96357">
      <w:pPr>
        <w:spacing w:line="276" w:lineRule="auto"/>
        <w:jc w:val="both"/>
        <w:rPr>
          <w:sz w:val="22"/>
          <w:szCs w:val="22"/>
        </w:rPr>
      </w:pPr>
    </w:p>
    <w:p w:rsidR="00D96357" w:rsidRDefault="00FD09CD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Struktura PGN oparta jest na dobrych praktykach wynikających m.in. z doświadczeń Porozumienia Burmistrzów i </w:t>
      </w:r>
      <w:proofErr w:type="spellStart"/>
      <w:r>
        <w:rPr>
          <w:bCs/>
          <w:sz w:val="22"/>
          <w:szCs w:val="22"/>
        </w:rPr>
        <w:t>Carbon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Disclosure</w:t>
      </w:r>
      <w:proofErr w:type="spellEnd"/>
      <w:r>
        <w:rPr>
          <w:bCs/>
          <w:sz w:val="22"/>
          <w:szCs w:val="22"/>
        </w:rPr>
        <w:t xml:space="preserve"> Project oraz na wytycznych UNFCCC i metodologii IPCC. Ponadto PGN został opracowany zgodnie z wytycznymi </w:t>
      </w:r>
      <w:proofErr w:type="spellStart"/>
      <w:r>
        <w:rPr>
          <w:bCs/>
          <w:sz w:val="22"/>
          <w:szCs w:val="22"/>
        </w:rPr>
        <w:t>NFOŚiGW</w:t>
      </w:r>
      <w:proofErr w:type="spellEnd"/>
      <w:r>
        <w:rPr>
          <w:bCs/>
          <w:sz w:val="22"/>
          <w:szCs w:val="22"/>
        </w:rPr>
        <w:t xml:space="preserve"> określonymi w Załączniku nr 9 do Regulaminu Konkursu nr 2/</w:t>
      </w:r>
      <w:proofErr w:type="spellStart"/>
      <w:r>
        <w:rPr>
          <w:bCs/>
          <w:sz w:val="22"/>
          <w:szCs w:val="22"/>
        </w:rPr>
        <w:t>POIiŚ</w:t>
      </w:r>
      <w:proofErr w:type="spellEnd"/>
      <w:r>
        <w:rPr>
          <w:bCs/>
          <w:sz w:val="22"/>
          <w:szCs w:val="22"/>
        </w:rPr>
        <w:t>/9.3/2013 – Program Operacyjny Infrastruktura i Środowisko 2007-2013, Szczegółowe zalecenia dotyczące struktury planu gospodarki niskoemisyjnej Priorytet IX Infrastruktura energetyczna przyjazna środowisku i efektywność energetyczna, Działanie 9.3. „Termomodernizacja obiektów użyteczności publicznej - plany gospodarki niskoemisyjnej”.</w:t>
      </w:r>
    </w:p>
    <w:p w:rsidR="00D96357" w:rsidRDefault="00D96357">
      <w:pPr>
        <w:spacing w:line="276" w:lineRule="auto"/>
        <w:jc w:val="both"/>
        <w:rPr>
          <w:bCs/>
          <w:sz w:val="22"/>
          <w:szCs w:val="22"/>
        </w:rPr>
      </w:pPr>
    </w:p>
    <w:p w:rsidR="00D96357" w:rsidRDefault="00FD09C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Działania ujęte w PGN przyczynią się do osiągnięcia celów określonych w pakiecie klimatyczno-energetycznym przyjętym przez Komisję Europejską w grudniu 2008r. oraz celów związanych z poprawą jakości powietrza wynikających z dyrektywy CAFE, która określa dopuszczalne wielkości emisji zanieczyszczeń pyłowych i gazowych. </w:t>
      </w:r>
    </w:p>
    <w:p w:rsidR="00D96357" w:rsidRDefault="00D96357">
      <w:pPr>
        <w:spacing w:line="276" w:lineRule="auto"/>
        <w:jc w:val="both"/>
        <w:rPr>
          <w:sz w:val="22"/>
          <w:szCs w:val="22"/>
        </w:rPr>
      </w:pPr>
    </w:p>
    <w:p w:rsidR="00D96357" w:rsidRDefault="00FD09C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PGN określono potencjał możliwych redukcji zużycia energii, ograniczenia emisji gazów cieplarnianych, zwiększenia wykorzystania odnawialnych źródeł energii oraz poprawy jakości powietrza. Wskazano również kierunki działań i przykłady konkretnych zadań w poszczególnych sektorach, których realizacja przyczyni się do osiągnięcia planowanego rezultatu.</w:t>
      </w:r>
    </w:p>
    <w:p w:rsidR="00D96357" w:rsidRDefault="00D96357">
      <w:pPr>
        <w:spacing w:line="276" w:lineRule="auto"/>
        <w:jc w:val="both"/>
        <w:rPr>
          <w:sz w:val="22"/>
          <w:szCs w:val="22"/>
        </w:rPr>
      </w:pPr>
    </w:p>
    <w:p w:rsidR="00D96357" w:rsidRDefault="00FD09CD">
      <w:pPr>
        <w:suppressAutoHyphens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Bilans efektów realizacji działań ujętych w PGN wskazuje że do roku 2020 nastąpi zmniejszenie zużycia energii w stosunku do roku bazowego 1990 o około 7 % oraz redukcja emisji dwutlenku węgla o nieco ponad </w:t>
      </w:r>
      <w:r>
        <w:rPr>
          <w:sz w:val="22"/>
          <w:szCs w:val="22"/>
        </w:rPr>
        <w:lastRenderedPageBreak/>
        <w:t xml:space="preserve">21%. Nastąpi również poprawa stanu jakości powietrza (redukcja emisji pyłów, tlenków azotu i siarki, </w:t>
      </w:r>
      <w:proofErr w:type="spellStart"/>
      <w:r>
        <w:rPr>
          <w:sz w:val="22"/>
          <w:szCs w:val="22"/>
        </w:rPr>
        <w:t>benzo</w:t>
      </w:r>
      <w:proofErr w:type="spellEnd"/>
      <w:r>
        <w:rPr>
          <w:sz w:val="22"/>
          <w:szCs w:val="22"/>
        </w:rPr>
        <w:t>(a)</w:t>
      </w:r>
      <w:proofErr w:type="spellStart"/>
      <w:r>
        <w:rPr>
          <w:sz w:val="22"/>
          <w:szCs w:val="22"/>
        </w:rPr>
        <w:t>pirenu</w:t>
      </w:r>
      <w:proofErr w:type="spellEnd"/>
      <w:r>
        <w:rPr>
          <w:sz w:val="22"/>
          <w:szCs w:val="22"/>
        </w:rPr>
        <w:t>) oraz zwiększenie udziału energii ze źródeł odnawianych w ogólnym bilansie energetycznym do poziomu 1,5-2%  do 2020 r.</w:t>
      </w:r>
    </w:p>
    <w:p w:rsidR="00D96357" w:rsidRDefault="00D96357">
      <w:pPr>
        <w:suppressAutoHyphens/>
        <w:spacing w:line="276" w:lineRule="auto"/>
        <w:jc w:val="both"/>
        <w:rPr>
          <w:sz w:val="22"/>
          <w:szCs w:val="22"/>
        </w:rPr>
      </w:pPr>
    </w:p>
    <w:p w:rsidR="00D96357" w:rsidRDefault="00FD09CD">
      <w:pPr>
        <w:suppressAutoHyphens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Przyjęcie i wdrożenie PGN przełoży się na oszczędności w zakresie kosztów ochrony zdrowia i kosztów energii, przyczyni się do zastosowania nowych bardziej efektywnych technologii w zakresie użytkowania energii, zapewni wzrost konkurencyjności gospodarki, poprawi jakość życia mieszkańców, bezpieczeństwo energetyczne, usprawni mobilność regionalną i transport zbiorowy a także przyczyni się do rozwoju terenów zielonych.</w:t>
      </w:r>
    </w:p>
    <w:p w:rsidR="00D96357" w:rsidRDefault="00D96357">
      <w:pPr>
        <w:spacing w:line="276" w:lineRule="auto"/>
        <w:jc w:val="both"/>
        <w:rPr>
          <w:sz w:val="22"/>
          <w:szCs w:val="22"/>
        </w:rPr>
      </w:pPr>
    </w:p>
    <w:p w:rsidR="00D96357" w:rsidRDefault="00FD09C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Posiadanie przez Gminę Wrocław Planu gospodarki niskoemisyjnej oraz ujęcie w nim zadań wpływających na ograniczenie zużycia energii, redukcję emisji gazów cieplarnianych, wzrost wykorzystania odnawialnych źródeł energii i poprawę jakości powietrza jest również warunkiem niezbędnym do uzyskania dofinansowania w ramach „Programu Operacyjnego Infrastruktura i Środowisko 2014-2020” oraz „Regionalnego Programu Operacyjnego Województwa Dolnośląskiego 2014-2020”.</w:t>
      </w:r>
    </w:p>
    <w:p w:rsidR="00D96357" w:rsidRDefault="00D96357">
      <w:pPr>
        <w:spacing w:line="276" w:lineRule="auto"/>
        <w:jc w:val="both"/>
        <w:rPr>
          <w:sz w:val="22"/>
          <w:szCs w:val="22"/>
        </w:rPr>
      </w:pPr>
    </w:p>
    <w:p w:rsidR="00D96357" w:rsidRDefault="00FD09CD">
      <w:pPr>
        <w:suppressAutoHyphens/>
        <w:spacing w:line="276" w:lineRule="auto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Projekt PGN, przed przeprowadzeniem zgodnie z obowiązującymi przepisami procedury Strategicznej Oceny Oddziaływania na Środowisko, został poddany konsultacjom wewnętrznym i otwartym konsultacjom społecznym. Zgłoszone uwagi zostały przeanalizowane i w miarę możliwości uwzględnione w dokumencie PGN.</w:t>
      </w:r>
    </w:p>
    <w:p w:rsidR="00581374" w:rsidRDefault="00581374">
      <w:pPr>
        <w:suppressAutoHyphens/>
        <w:spacing w:line="276" w:lineRule="auto"/>
        <w:jc w:val="both"/>
        <w:rPr>
          <w:sz w:val="22"/>
          <w:szCs w:val="22"/>
          <w:lang w:eastAsia="ar-SA"/>
        </w:rPr>
      </w:pPr>
    </w:p>
    <w:p w:rsidR="00581374" w:rsidRDefault="00581374">
      <w:pPr>
        <w:suppressAutoHyphens/>
        <w:spacing w:line="276" w:lineRule="auto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Techniczne wykonanie uchwały będzie powierzone Wydziałowi Środowiska i Rolnictwa w Departamencie Nieruchomości i Eksploatacji pod nadzorem Wiceprezydenta Wojciecha Adamskiego.</w:t>
      </w:r>
    </w:p>
    <w:sectPr w:rsidR="00581374" w:rsidSect="00D96357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6357" w:rsidRDefault="00FD09CD">
      <w:r>
        <w:separator/>
      </w:r>
    </w:p>
  </w:endnote>
  <w:endnote w:type="continuationSeparator" w:id="1">
    <w:p w:rsidR="00D96357" w:rsidRDefault="00FD09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6357" w:rsidRDefault="00FD09CD">
      <w:r>
        <w:separator/>
      </w:r>
    </w:p>
  </w:footnote>
  <w:footnote w:type="continuationSeparator" w:id="1">
    <w:p w:rsidR="00D96357" w:rsidRDefault="00FD09CD">
      <w:r>
        <w:continuationSeparator/>
      </w:r>
    </w:p>
  </w:footnote>
  <w:footnote w:id="2">
    <w:p w:rsidR="00D96357" w:rsidRDefault="00FD09CD">
      <w:pPr>
        <w:pStyle w:val="Tekstprzypisudolnego"/>
        <w:rPr>
          <w:sz w:val="18"/>
        </w:rPr>
      </w:pPr>
      <w:r>
        <w:rPr>
          <w:rStyle w:val="Odwoanieprzypisudolnego"/>
          <w:sz w:val="18"/>
        </w:rPr>
        <w:footnoteRef/>
      </w:r>
      <w:r>
        <w:rPr>
          <w:sz w:val="18"/>
          <w:vertAlign w:val="superscript"/>
        </w:rPr>
        <w:t>)</w:t>
      </w:r>
      <w:r>
        <w:rPr>
          <w:sz w:val="18"/>
        </w:rPr>
        <w:t xml:space="preserve"> Zmiany tekstu jednolitego wymienionej ustawy zostały ogłoszone w Dz. U. z 2013 r. </w:t>
      </w:r>
      <w:r>
        <w:rPr>
          <w:bCs/>
          <w:iCs/>
          <w:sz w:val="18"/>
          <w:szCs w:val="22"/>
        </w:rPr>
        <w:t xml:space="preserve">poz. 645 i 1318, z 2014 r. poz. 379 i </w:t>
      </w:r>
      <w:r>
        <w:rPr>
          <w:sz w:val="18"/>
          <w:szCs w:val="22"/>
        </w:rPr>
        <w:t>1072 oraz z 2015 r. poz. 1045.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CC4"/>
    <w:multiLevelType w:val="hybridMultilevel"/>
    <w:tmpl w:val="2158A42C"/>
    <w:lvl w:ilvl="0" w:tplc="DE96C958">
      <w:numFmt w:val="bullet"/>
      <w:lvlText w:val=""/>
      <w:legacy w:legacy="1" w:legacySpace="0" w:legacyIndent="0"/>
      <w:lvlJc w:val="left"/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067E34"/>
    <w:multiLevelType w:val="hybridMultilevel"/>
    <w:tmpl w:val="8E2C9F92"/>
    <w:lvl w:ilvl="0" w:tplc="DE96C958">
      <w:numFmt w:val="bullet"/>
      <w:lvlText w:val=""/>
      <w:legacy w:legacy="1" w:legacySpace="360" w:legacyIndent="0"/>
      <w:lvlJc w:val="left"/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0424DF"/>
    <w:multiLevelType w:val="hybridMultilevel"/>
    <w:tmpl w:val="8E2C9F9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014DE7"/>
    <w:multiLevelType w:val="hybridMultilevel"/>
    <w:tmpl w:val="9BA0D040"/>
    <w:lvl w:ilvl="0" w:tplc="DE96C958">
      <w:numFmt w:val="bullet"/>
      <w:lvlText w:val=""/>
      <w:legacy w:legacy="1" w:legacySpace="0" w:legacyIndent="0"/>
      <w:lvlJc w:val="left"/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F687215"/>
    <w:multiLevelType w:val="hybridMultilevel"/>
    <w:tmpl w:val="AD3C7A30"/>
    <w:lvl w:ilvl="0" w:tplc="DE96C958">
      <w:numFmt w:val="bullet"/>
      <w:lvlText w:val=""/>
      <w:legacy w:legacy="1" w:legacySpace="0" w:legacyIndent="0"/>
      <w:lvlJc w:val="left"/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720D2CBA"/>
    <w:multiLevelType w:val="hybridMultilevel"/>
    <w:tmpl w:val="3EE08B94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421C"/>
    <w:rsid w:val="002D49AB"/>
    <w:rsid w:val="00321A7C"/>
    <w:rsid w:val="0052421C"/>
    <w:rsid w:val="00581374"/>
    <w:rsid w:val="00873E24"/>
    <w:rsid w:val="00D96357"/>
    <w:rsid w:val="00DE1B6F"/>
    <w:rsid w:val="00FD0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635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96357"/>
    <w:pPr>
      <w:keepNext/>
      <w:autoSpaceDE w:val="0"/>
      <w:autoSpaceDN w:val="0"/>
      <w:adjustRightInd w:val="0"/>
      <w:jc w:val="both"/>
      <w:outlineLvl w:val="0"/>
    </w:pPr>
    <w:rPr>
      <w:rFonts w:ascii="Verdana" w:hAnsi="Verdana"/>
      <w:b/>
      <w:bCs/>
      <w:sz w:val="20"/>
    </w:rPr>
  </w:style>
  <w:style w:type="paragraph" w:styleId="Nagwek2">
    <w:name w:val="heading 2"/>
    <w:basedOn w:val="Normalny"/>
    <w:next w:val="Normalny"/>
    <w:qFormat/>
    <w:rsid w:val="00D96357"/>
    <w:pPr>
      <w:keepNext/>
      <w:autoSpaceDE w:val="0"/>
      <w:autoSpaceDN w:val="0"/>
      <w:adjustRightInd w:val="0"/>
      <w:jc w:val="right"/>
      <w:outlineLvl w:val="1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96357"/>
    <w:pPr>
      <w:autoSpaceDE w:val="0"/>
      <w:autoSpaceDN w:val="0"/>
      <w:adjustRightInd w:val="0"/>
      <w:jc w:val="both"/>
    </w:pPr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rsid w:val="00D96357"/>
    <w:pPr>
      <w:autoSpaceDE w:val="0"/>
      <w:autoSpaceDN w:val="0"/>
      <w:adjustRightInd w:val="0"/>
      <w:ind w:firstLine="360"/>
      <w:jc w:val="both"/>
    </w:pPr>
    <w:rPr>
      <w:rFonts w:ascii="Verdana" w:hAnsi="Verdana"/>
      <w:sz w:val="20"/>
    </w:rPr>
  </w:style>
  <w:style w:type="character" w:customStyle="1" w:styleId="TekstpodstawowyZnak">
    <w:name w:val="Tekst podstawowy Znak"/>
    <w:basedOn w:val="Domylnaczcionkaakapitu"/>
    <w:semiHidden/>
    <w:rsid w:val="00D96357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semiHidden/>
    <w:unhideWhenUsed/>
    <w:rsid w:val="00D96357"/>
    <w:rPr>
      <w:sz w:val="16"/>
      <w:szCs w:val="16"/>
    </w:rPr>
  </w:style>
  <w:style w:type="paragraph" w:styleId="Tekstkomentarza">
    <w:name w:val="annotation text"/>
    <w:basedOn w:val="Normalny"/>
    <w:semiHidden/>
    <w:unhideWhenUsed/>
    <w:rsid w:val="00D96357"/>
    <w:rPr>
      <w:sz w:val="20"/>
      <w:szCs w:val="20"/>
    </w:rPr>
  </w:style>
  <w:style w:type="character" w:customStyle="1" w:styleId="TekstkomentarzaZnak">
    <w:name w:val="Tekst komentarza Znak"/>
    <w:basedOn w:val="Domylnaczcionkaakapitu"/>
    <w:semiHidden/>
    <w:rsid w:val="00D96357"/>
  </w:style>
  <w:style w:type="paragraph" w:styleId="Tematkomentarza">
    <w:name w:val="annotation subject"/>
    <w:basedOn w:val="Tekstkomentarza"/>
    <w:next w:val="Tekstkomentarza"/>
    <w:semiHidden/>
    <w:unhideWhenUsed/>
    <w:rsid w:val="00D96357"/>
    <w:rPr>
      <w:b/>
      <w:bCs/>
    </w:rPr>
  </w:style>
  <w:style w:type="character" w:customStyle="1" w:styleId="TematkomentarzaZnak">
    <w:name w:val="Temat komentarza Znak"/>
    <w:basedOn w:val="TekstkomentarzaZnak"/>
    <w:semiHidden/>
    <w:rsid w:val="00D96357"/>
    <w:rPr>
      <w:b/>
      <w:bCs/>
    </w:rPr>
  </w:style>
  <w:style w:type="paragraph" w:styleId="Tekstdymka">
    <w:name w:val="Balloon Text"/>
    <w:basedOn w:val="Normalny"/>
    <w:semiHidden/>
    <w:unhideWhenUsed/>
    <w:rsid w:val="00D963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semiHidden/>
    <w:rsid w:val="00D96357"/>
    <w:rPr>
      <w:rFonts w:ascii="Tahoma" w:hAnsi="Tahoma" w:cs="Tahoma"/>
      <w:sz w:val="16"/>
      <w:szCs w:val="16"/>
    </w:rPr>
  </w:style>
  <w:style w:type="paragraph" w:customStyle="1" w:styleId="wsprawie">
    <w:name w:val="w sprawie"/>
    <w:basedOn w:val="Normalny"/>
    <w:next w:val="Normalny"/>
    <w:rsid w:val="00D96357"/>
    <w:pPr>
      <w:suppressAutoHyphens/>
      <w:spacing w:after="360"/>
      <w:jc w:val="center"/>
    </w:pPr>
    <w:rPr>
      <w:rFonts w:eastAsia="Arial"/>
      <w:szCs w:val="20"/>
      <w:lang w:eastAsia="ar-SA"/>
    </w:rPr>
  </w:style>
  <w:style w:type="paragraph" w:styleId="Bezodstpw">
    <w:name w:val="No Spacing"/>
    <w:qFormat/>
    <w:rsid w:val="00D96357"/>
    <w:rPr>
      <w:rFonts w:ascii="Calibri" w:eastAsia="Calibri" w:hAnsi="Calibri"/>
      <w:sz w:val="22"/>
      <w:szCs w:val="22"/>
      <w:lang w:eastAsia="en-US"/>
    </w:rPr>
  </w:style>
  <w:style w:type="paragraph" w:customStyle="1" w:styleId="Tekst">
    <w:name w:val="Tekst"/>
    <w:basedOn w:val="Normalny"/>
    <w:qFormat/>
    <w:rsid w:val="00D96357"/>
    <w:pPr>
      <w:spacing w:before="120" w:after="120" w:line="276" w:lineRule="auto"/>
      <w:jc w:val="both"/>
    </w:pPr>
    <w:rPr>
      <w:rFonts w:ascii="Verdana" w:eastAsia="Arial" w:hAnsi="Verdana"/>
      <w:sz w:val="20"/>
      <w:szCs w:val="22"/>
    </w:rPr>
  </w:style>
  <w:style w:type="character" w:customStyle="1" w:styleId="TekstZnak">
    <w:name w:val="Tekst Znak"/>
    <w:rsid w:val="00D96357"/>
    <w:rPr>
      <w:rFonts w:ascii="Verdana" w:eastAsia="Arial" w:hAnsi="Verdana" w:cs="Arial"/>
      <w:szCs w:val="22"/>
    </w:rPr>
  </w:style>
  <w:style w:type="character" w:styleId="Hipercze">
    <w:name w:val="Hyperlink"/>
    <w:basedOn w:val="Domylnaczcionkaakapitu"/>
    <w:semiHidden/>
    <w:unhideWhenUsed/>
    <w:rsid w:val="00D96357"/>
    <w:rPr>
      <w:color w:val="0000FF"/>
      <w:u w:val="single"/>
    </w:rPr>
  </w:style>
  <w:style w:type="paragraph" w:styleId="Tekstprzypisudolnego">
    <w:name w:val="footnote text"/>
    <w:basedOn w:val="Normalny"/>
    <w:semiHidden/>
    <w:rsid w:val="00D96357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D9635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k/zalacznik.php?zal_id=87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C32C3-73FB-4CAF-9C89-69B4F3831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701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UMW</Company>
  <LinksUpToDate>false</LinksUpToDate>
  <CharactersWithSpaces>5767</CharactersWithSpaces>
  <SharedDoc>false</SharedDoc>
  <HLinks>
    <vt:vector size="6" baseType="variant">
      <vt:variant>
        <vt:i4>262179</vt:i4>
      </vt:variant>
      <vt:variant>
        <vt:i4>0</vt:i4>
      </vt:variant>
      <vt:variant>
        <vt:i4>0</vt:i4>
      </vt:variant>
      <vt:variant>
        <vt:i4>5</vt:i4>
      </vt:variant>
      <vt:variant>
        <vt:lpwstr>http://www.umk/zalacznik.php?zal_id=8794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umjoki02</dc:creator>
  <cp:lastModifiedBy>umjoki02</cp:lastModifiedBy>
  <cp:revision>2</cp:revision>
  <cp:lastPrinted>2015-09-24T09:39:00Z</cp:lastPrinted>
  <dcterms:created xsi:type="dcterms:W3CDTF">2015-09-25T12:13:00Z</dcterms:created>
  <dcterms:modified xsi:type="dcterms:W3CDTF">2015-09-25T12:13:00Z</dcterms:modified>
</cp:coreProperties>
</file>