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BE9" w:rsidRDefault="003D3BE9">
      <w:pPr>
        <w:pStyle w:val="Subtitle"/>
        <w:jc w:val="center"/>
      </w:pPr>
      <w:r>
        <w:t>Sprawozdanie roczne z realizacji zadań  przez Wydział Bezpieczeństwa i Zarządzania Kryzysowego w 2014 roku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D3BE9" w:rsidRDefault="003D3BE9">
      <w:pPr>
        <w:pStyle w:val="Heading1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CENTRUM ZARZĄDZANIA KRYZYSOWEGO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 zakresie monitorowania występujących zagrożeń i prognozowania rozwoju sytuacji oraz podejmowania działań związanych z bezpieczeństwem mieszkańców w 2014 roku: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D3BE9" w:rsidRDefault="003D3BE9">
      <w:pPr>
        <w:numPr>
          <w:ilvl w:val="1"/>
          <w:numId w:val="1"/>
        </w:numPr>
        <w:tabs>
          <w:tab w:val="clear" w:pos="1440"/>
        </w:tabs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  <w:u w:val="single"/>
        </w:rPr>
        <w:t>Dyspozytorzy służb miejskich</w:t>
      </w:r>
      <w:r>
        <w:rPr>
          <w:rFonts w:ascii="Verdana" w:hAnsi="Verdana" w:cs="Verdana"/>
          <w:sz w:val="20"/>
          <w:szCs w:val="20"/>
        </w:rPr>
        <w:t xml:space="preserve"> przyjęli i podjęli do realizacji </w:t>
      </w:r>
      <w:r>
        <w:rPr>
          <w:rFonts w:ascii="Verdana" w:hAnsi="Verdana" w:cs="Verdana"/>
          <w:b/>
          <w:bCs/>
          <w:sz w:val="20"/>
          <w:szCs w:val="20"/>
        </w:rPr>
        <w:t xml:space="preserve">6887 </w:t>
      </w:r>
      <w:r>
        <w:rPr>
          <w:rFonts w:ascii="Verdana" w:hAnsi="Verdana" w:cs="Verdana"/>
          <w:sz w:val="20"/>
          <w:szCs w:val="20"/>
        </w:rPr>
        <w:t xml:space="preserve">zgłoszeń związanych z przestrzeganiem porządku publicznego i zagrażających bezpieczeństwu mieszkańców na terenie Wrocławia oraz </w:t>
      </w:r>
      <w:r>
        <w:rPr>
          <w:rFonts w:ascii="Verdana" w:hAnsi="Verdana" w:cs="Verdana"/>
          <w:b/>
          <w:bCs/>
          <w:sz w:val="20"/>
          <w:szCs w:val="20"/>
        </w:rPr>
        <w:t xml:space="preserve">3237 </w:t>
      </w:r>
      <w:r>
        <w:rPr>
          <w:rFonts w:ascii="Verdana" w:hAnsi="Verdana" w:cs="Verdana"/>
          <w:sz w:val="20"/>
          <w:szCs w:val="20"/>
        </w:rPr>
        <w:t>podjętych interwencji na wniosek Policji i Straży Miejskiej, Inspekcji Transportu Drogowego oraz kierującego działaniami ratowniczymi dotyczących zadysponowania sprzętu technicznego do usuwania pojazdów po wypadkach lub zaparkowanych w niedozwolonych miejscach.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tbl>
      <w:tblPr>
        <w:tblW w:w="3024" w:type="dxa"/>
        <w:jc w:val="center"/>
        <w:tblCellMar>
          <w:left w:w="0" w:type="dxa"/>
          <w:right w:w="0" w:type="dxa"/>
        </w:tblCellMar>
        <w:tblLook w:val="0000"/>
      </w:tblPr>
      <w:tblGrid>
        <w:gridCol w:w="1354"/>
        <w:gridCol w:w="1670"/>
      </w:tblGrid>
      <w:tr w:rsidR="003D3BE9">
        <w:trPr>
          <w:trHeight w:val="339"/>
          <w:jc w:val="center"/>
        </w:trPr>
        <w:tc>
          <w:tcPr>
            <w:tcW w:w="135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Miesiące</w:t>
            </w:r>
          </w:p>
        </w:tc>
        <w:tc>
          <w:tcPr>
            <w:tcW w:w="1670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00FFFF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Interwencje</w:t>
            </w:r>
          </w:p>
        </w:tc>
      </w:tr>
      <w:tr w:rsidR="003D3BE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Styczeń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512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Luty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505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Marzec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642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Kwiecień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557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Maj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674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Czerwiec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651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Lipiec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544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Sierpień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494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Wrzesień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492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Październik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610</w:t>
            </w:r>
          </w:p>
        </w:tc>
      </w:tr>
      <w:tr w:rsidR="003D3BE9">
        <w:trPr>
          <w:trHeight w:val="27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Listopad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607</w:t>
            </w:r>
          </w:p>
        </w:tc>
      </w:tr>
      <w:tr w:rsidR="003D3BE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Grudzień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00"/>
            <w:noWrap/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599</w:t>
            </w:r>
          </w:p>
        </w:tc>
      </w:tr>
      <w:tr w:rsidR="003D3BE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99CC"/>
            <w:noWrap/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99CC"/>
            <w:noWrap/>
            <w:vAlign w:val="bottom"/>
          </w:tcPr>
          <w:p w:rsidR="003D3BE9" w:rsidRDefault="003D3BE9">
            <w:pPr>
              <w:jc w:val="right"/>
              <w:rPr>
                <w:rFonts w:ascii="Verdana" w:eastAsia="Arial Unicode MS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6887</w:t>
            </w:r>
          </w:p>
        </w:tc>
      </w:tr>
    </w:tbl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Footer"/>
        <w:tabs>
          <w:tab w:val="clear" w:pos="4536"/>
          <w:tab w:val="clear" w:pos="9072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Wykres 1" o:spid="_x0000_i1025" type="#_x0000_t75" style="width:425.25pt;height:213.75pt;visibility:visible">
            <v:imagedata r:id="rId7" o:title=""/>
            <o:lock v:ext="edit" aspectratio="f"/>
          </v:shape>
        </w:pict>
      </w:r>
    </w:p>
    <w:p w:rsidR="003D3BE9" w:rsidRDefault="003D3BE9">
      <w:pPr>
        <w:pStyle w:val="Footer"/>
        <w:tabs>
          <w:tab w:val="clear" w:pos="4536"/>
          <w:tab w:val="clear" w:pos="9072"/>
        </w:tabs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Footer"/>
        <w:tabs>
          <w:tab w:val="clear" w:pos="4536"/>
          <w:tab w:val="clear" w:pos="9072"/>
        </w:tabs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Footer"/>
        <w:tabs>
          <w:tab w:val="clear" w:pos="4536"/>
          <w:tab w:val="clear" w:pos="9072"/>
        </w:tabs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Footer"/>
        <w:tabs>
          <w:tab w:val="clear" w:pos="4536"/>
          <w:tab w:val="clear" w:pos="9072"/>
        </w:tabs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W ramach poprawy bezpieczeństwa, szybkości i właściwej koordynacji działań oraz zapewnienia najlepszych warunków pracy dyspozytorów służb: Komendy Miejskiej Policji we Wrocławiu, Komendy Miejskiej Państwowej Straży Pożarnej we Wrocławiu, Pogotowia Ratunkowego we Wrocławiu, Straży Miejskiej Wrocławia i Dyspozytorów Prezydenta przeprowadzono następujące prace </w:t>
      </w:r>
      <w:r>
        <w:rPr>
          <w:rFonts w:ascii="Verdana" w:hAnsi="Verdana" w:cs="Verdana"/>
          <w:b/>
          <w:bCs/>
          <w:sz w:val="20"/>
          <w:szCs w:val="20"/>
        </w:rPr>
        <w:br/>
        <w:t>i przedsięwzięcia:</w:t>
      </w:r>
    </w:p>
    <w:p w:rsidR="003D3BE9" w:rsidRDefault="003D3BE9">
      <w:pPr>
        <w:pStyle w:val="BodyText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numPr>
          <w:ilvl w:val="0"/>
          <w:numId w:val="6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W 2014 roku zrealizowano kolejny etap </w:t>
      </w:r>
      <w:r>
        <w:rPr>
          <w:rFonts w:ascii="Verdana" w:hAnsi="Verdana" w:cs="Verdana"/>
          <w:b/>
          <w:bCs/>
        </w:rPr>
        <w:t>wirtualizacji</w:t>
      </w:r>
      <w:r>
        <w:rPr>
          <w:rFonts w:ascii="Verdana" w:hAnsi="Verdana" w:cs="Verdana"/>
        </w:rPr>
        <w:t xml:space="preserve"> służb pracujących w sali Centrum Zarządzania Kryzysowego. Na wirtualne maszyny przeniesiono zasoby dyspozytorów Pogotowia Ratunkowego. Od tego momentu CUI zapewnia obsługę pracy stanowisk dyspozytorów. 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Uruchomiono bramki GSM, które mają za zadanie umożliwić łączenie się służb za pomocą linii wewnętrznych GSM w ramach konkretnej instytucji, co w znacznym stopniu pozwoli obniżyć koszty funkcjonowania Centrum.</w:t>
      </w:r>
    </w:p>
    <w:p w:rsidR="003D3BE9" w:rsidRDefault="003D3BE9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celu zapewnienia właściwej i nieprzerwanej pracy służb oraz obsługiwanych numerów alarmowych 997, 998, 999, 986, 71 770 22 22 dokonano zmian </w:t>
      </w:r>
      <w:r>
        <w:rPr>
          <w:rFonts w:ascii="Verdana" w:hAnsi="Verdana" w:cs="Verdana"/>
          <w:sz w:val="20"/>
          <w:szCs w:val="20"/>
        </w:rPr>
        <w:br/>
        <w:t>w centrali telefonicznej poprzez rozszerzenie funkcjonalności central o nowe możliwości. Zmiany mają w szczególności poprawić niezawodność oraz bezpieczeństwo funkcjonowania sytemu łączności telefonicznej Objęły również wymianę zasilacza centrali telefonicznej wraz z wdrożeniem systemu nadzoru nad zasilaniem systemu łączności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celu poprawy warunków pracy dyżurnych służb Centrum Zarządzania Kryzysowego, rozpoczęto wdrażanie systemu KSW wspomagającego pracę dyspozytorów. System będzie zarządzał obsługą telefonów na stanowisku pracy dyspozytorów.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Sala dyspozytorska została wyposażona w </w:t>
      </w:r>
      <w:r>
        <w:rPr>
          <w:rFonts w:ascii="Verdana" w:hAnsi="Verdana" w:cs="Verdana"/>
          <w:b/>
          <w:bCs/>
          <w:sz w:val="20"/>
          <w:szCs w:val="20"/>
        </w:rPr>
        <w:t>dodatkowe klimatyzatory</w:t>
      </w:r>
      <w:r>
        <w:rPr>
          <w:rFonts w:ascii="Verdana" w:hAnsi="Verdana" w:cs="Verdana"/>
          <w:sz w:val="20"/>
          <w:szCs w:val="20"/>
        </w:rPr>
        <w:t xml:space="preserve">, dedykowane poszczególnym boksom służb, niezależne od centralnego systemu klimatyzacji. 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celu zapewnienia bezpieczeństwa na terenie Centrum Zarządzania Kryzysowego wprowadzono </w:t>
      </w:r>
      <w:r>
        <w:rPr>
          <w:rFonts w:ascii="Verdana" w:hAnsi="Verdana" w:cs="Verdana"/>
          <w:b/>
          <w:bCs/>
          <w:sz w:val="20"/>
          <w:szCs w:val="20"/>
        </w:rPr>
        <w:t>elektroniczny dostęp</w:t>
      </w:r>
      <w:r>
        <w:rPr>
          <w:rFonts w:ascii="Verdana" w:hAnsi="Verdana" w:cs="Verdana"/>
          <w:sz w:val="20"/>
          <w:szCs w:val="20"/>
        </w:rPr>
        <w:t xml:space="preserve"> do sali Centrum uniemożliwiający dostęp dla osób postronnych.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Wykonano szereg prac modernizacyjnych i remontowych, które mają wpływ na komfort pracy dyspozytorów(płyta grzejna, szafki kuchenne, płytki ścienne.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Ponadto w celu poprawy komfortu pracy i obsługi klientów dokonano zakupu i wymiany na większe monitorów dla dyspozytorów służb.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celu zapewnienia właściwej pracy wszystkim dyspozytorom oraz właściwej koordynacji przepływu informacji pomiędzy poszczególnymi służbami pracownicy CZK podjęli działania dążące do zintegrowania i uświadomienia dyspozytorom konieczności wymiany informacji o sytuacjach mających wpływ na funkcjonowanie Wrocławia. Odbyło się </w:t>
      </w:r>
      <w:r>
        <w:rPr>
          <w:rFonts w:ascii="Verdana" w:hAnsi="Verdana" w:cs="Verdana"/>
          <w:b/>
          <w:bCs/>
          <w:sz w:val="20"/>
          <w:szCs w:val="20"/>
        </w:rPr>
        <w:t>szkolenie</w:t>
      </w:r>
      <w:r>
        <w:rPr>
          <w:rFonts w:ascii="Verdana" w:hAnsi="Verdana" w:cs="Verdana"/>
          <w:sz w:val="20"/>
          <w:szCs w:val="20"/>
        </w:rPr>
        <w:t xml:space="preserve"> oraz rozmowy i inne działania dążące do podniesienia świadomości dyspozytorów. Efektem prac jest lepszy przepływ informacji o zdarzeniach na drogach w szczególności pomiędzy pracownikami ZDIUM, MPK oraz CZK i Policją, PSP, SM i PR.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Dokonano zakupu map i planów Wrocławia oraz powiatu wrocławskiego dla WBZ, które będą służyły do aktualizacji planów obronnych oraz do zabezpieczenia działań prowadzonych przez CZK.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Podpisano umowę na </w:t>
      </w:r>
      <w:r>
        <w:rPr>
          <w:rFonts w:ascii="Verdana" w:hAnsi="Verdana" w:cs="Verdana"/>
          <w:b/>
          <w:bCs/>
          <w:sz w:val="20"/>
          <w:szCs w:val="20"/>
        </w:rPr>
        <w:t>rozbudowę systemu łączności TETRA</w:t>
      </w:r>
      <w:r>
        <w:rPr>
          <w:rFonts w:ascii="Verdana" w:hAnsi="Verdana" w:cs="Verdana"/>
          <w:sz w:val="20"/>
          <w:szCs w:val="20"/>
        </w:rPr>
        <w:t>, która pozwoli zwiększyć zasięg działania radiotelefonów o nowe obszary Wrocławia. Termin realizacji luty 2015. Na potrzeby tej inwestycji przekazano do CUI środki finansowe na zapewnienie łącza światłowodowego pomiędzy dotychczasowym punktem antenowym a budynkiem łączności radiowej przy CZK</w:t>
      </w:r>
    </w:p>
    <w:p w:rsidR="003D3BE9" w:rsidRDefault="003D3BE9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Dokonano okresowych przeglądów agregatów prądotwórczych znajdujących się przy wieży antenowej i budynku urządzeń radiowych oraz przy budynku Wydziału Bezpieczeństwa i Zarządzania Kryzysowego aby potwierdzić ich sprawność na wypadek braku energii z podstawowych źródeł zasilania w celu zapewnienia ciągłości pracy Centrum Zarządzania Kryzysowego. Ponadto dokonano przeglądów i sprawdzenia pozostałych elementów mających wpływ na funkcjonowanie Centrum (centrali telefonicznych, systemu monitoringu).</w:t>
      </w:r>
    </w:p>
    <w:p w:rsidR="003D3BE9" w:rsidRDefault="003D3BE9">
      <w:pPr>
        <w:pStyle w:val="ListParagraph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 ramach rozwoju systemu monitoringu prewencyjnego Wrocławia: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Zaadoptowano pomieszczenie biurowe na potrzeby </w:t>
      </w:r>
      <w:r>
        <w:rPr>
          <w:rFonts w:ascii="Verdana" w:hAnsi="Verdana" w:cs="Verdana"/>
          <w:b/>
          <w:bCs/>
          <w:sz w:val="20"/>
          <w:szCs w:val="20"/>
        </w:rPr>
        <w:t>Głównego Centrum Monitoringu</w:t>
      </w:r>
      <w:r>
        <w:rPr>
          <w:rFonts w:ascii="Verdana" w:hAnsi="Verdana" w:cs="Verdana"/>
          <w:sz w:val="20"/>
          <w:szCs w:val="20"/>
        </w:rPr>
        <w:t xml:space="preserve">. Wykonano i uruchomiono niezbędną infrastrukturę na potrzeby działania GCM. Wybudowano </w:t>
      </w:r>
      <w:r>
        <w:rPr>
          <w:rFonts w:ascii="Verdana" w:hAnsi="Verdana" w:cs="Verdana"/>
          <w:b/>
          <w:bCs/>
          <w:sz w:val="20"/>
          <w:szCs w:val="20"/>
        </w:rPr>
        <w:t>dwie ściany wizyjne</w:t>
      </w:r>
      <w:r>
        <w:rPr>
          <w:rFonts w:ascii="Verdana" w:hAnsi="Verdana" w:cs="Verdana"/>
          <w:sz w:val="20"/>
          <w:szCs w:val="20"/>
        </w:rPr>
        <w:t xml:space="preserve">, na których można wyświetlić jednocześnie obraz ze 103 kamer systemu monitoringu prewencyjnego. Ponadto przygotowano miejsce do jednoczesnej pracy ośmiu operatorów monitoringu. Dla poprawy komfortu pracy </w:t>
      </w:r>
      <w:r>
        <w:rPr>
          <w:rFonts w:ascii="Verdana" w:hAnsi="Verdana" w:cs="Verdana"/>
          <w:sz w:val="20"/>
          <w:szCs w:val="20"/>
        </w:rPr>
        <w:br/>
        <w:t>i w celach serwisowych wydzielono, i przygotowano pomieszczenia techniczne, w których umieszczono komputery, przewody oraz urządzenia techniczne. Ponadto pomieszczenia wyposażono w nagłośnienie, klimatyzację i automatykę sterującą oświetleniem. Całość inwestycji wyniosła 980.000 zł.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pict>
          <v:shape id="Obraz 28" o:spid="_x0000_i1026" type="#_x0000_t75" alt="20140723_092402.jpg" style="width:444pt;height:249.75pt;visibility:visible">
            <v:imagedata r:id="rId8" o:title=""/>
          </v:shape>
        </w:pict>
      </w:r>
      <w:r>
        <w:rPr>
          <w:rFonts w:ascii="Verdana" w:hAnsi="Verdana" w:cs="Verdana"/>
          <w:noProof/>
          <w:sz w:val="20"/>
          <w:szCs w:val="20"/>
        </w:rPr>
        <w:pict>
          <v:shape id="Obraz 29" o:spid="_x0000_i1027" type="#_x0000_t75" alt="20140723_092410.jpg" style="width:444pt;height:249.75pt;visibility:visible">
            <v:imagedata r:id="rId9" o:title=""/>
          </v:shape>
        </w:pic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Głównego Centrum Monitoringu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Ponadto zainwestowane zostały środki finansowe w rozszerzenie macierzy dyskowej do realizacji archiwizacji nagrań obrazu. Dokonano zakupu i wdrożenia systemu nadzoru </w:t>
      </w:r>
      <w:r>
        <w:rPr>
          <w:rFonts w:ascii="Verdana" w:hAnsi="Verdana" w:cs="Verdana"/>
          <w:sz w:val="20"/>
          <w:szCs w:val="20"/>
        </w:rPr>
        <w:br/>
        <w:t xml:space="preserve">i zarządzania systemami pracującymi w Centrum Zarządzania Kryzysowego </w:t>
      </w:r>
      <w:r>
        <w:rPr>
          <w:rFonts w:ascii="Verdana" w:hAnsi="Verdana" w:cs="Verdana"/>
          <w:sz w:val="20"/>
          <w:szCs w:val="20"/>
        </w:rPr>
        <w:br/>
        <w:t xml:space="preserve">w szczególności monitoringiem. Przebudowano i wymieniono na nowsze elementy systemu monitoringu (kamery, punkty kamerowe). Rozpoczęto podlączanie poszczególnych punktów kamerowych do łączy światłowodowych.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Ponadto pracownik CZK został przeszkolony z zakresu obsługi i funkcjonowania systemu Milestone, obsługującego wrocławski monitoring.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 xml:space="preserve">W zakresie działalności Sekcji ds. Wrocławskiego Węzła Wodnego </w:t>
      </w:r>
      <w:r>
        <w:rPr>
          <w:rFonts w:ascii="Verdana" w:hAnsi="Verdana" w:cs="Verdana"/>
          <w:b/>
          <w:bCs/>
        </w:rPr>
        <w:br/>
        <w:t>i Ochrony Przeciwpowodziowej Miasta w roku 2014: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numPr>
          <w:ilvl w:val="0"/>
          <w:numId w:val="7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Zakończono prace związane z awaryjną zabudową wyrwy na lewym brzegu rzeki Bystrzycy pomiędzy Elektrownią wodną Marszowice a mostem drogowym. Wiosną został wyłoniony wykonawca drugiego etapu wyżej wspomnianych prac. Inwestycja została zakończona odbiorem w maju 2014r. Działania związane </w:t>
      </w:r>
      <w:r>
        <w:rPr>
          <w:rFonts w:ascii="Verdana" w:hAnsi="Verdana" w:cs="Verdana"/>
        </w:rPr>
        <w:br/>
        <w:t>z rozliczeniem przedsięwzięcia zakończono w grudniu 2014r.</w:t>
      </w:r>
    </w:p>
    <w:p w:rsidR="003D3BE9" w:rsidRDefault="003D3BE9">
      <w:pPr>
        <w:pStyle w:val="BodyText"/>
        <w:numPr>
          <w:ilvl w:val="0"/>
          <w:numId w:val="7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Przeprowadzono spotkania z przedstawicielami Rad Osiedli. W styczniu odbyły się dwa spotkania z </w:t>
      </w:r>
      <w:r>
        <w:rPr>
          <w:rFonts w:ascii="Verdana" w:hAnsi="Verdana" w:cs="Verdana"/>
          <w:b/>
          <w:bCs/>
        </w:rPr>
        <w:t>liderami powodziowymi osiedli</w:t>
      </w:r>
      <w:r>
        <w:rPr>
          <w:rFonts w:ascii="Verdana" w:hAnsi="Verdana" w:cs="Verdana"/>
        </w:rPr>
        <w:t xml:space="preserve"> położonych przy zlewni rzek Bystrzycy i Ślęzy. Była to kontynuacja szkoleń teoretycznych rozpoczętych </w:t>
      </w:r>
      <w:r>
        <w:rPr>
          <w:rFonts w:ascii="Verdana" w:hAnsi="Verdana" w:cs="Verdana"/>
        </w:rPr>
        <w:br/>
        <w:t>w 2013r.</w:t>
      </w:r>
    </w:p>
    <w:p w:rsidR="003D3BE9" w:rsidRDefault="003D3BE9">
      <w:pPr>
        <w:pStyle w:val="BodyText"/>
        <w:numPr>
          <w:ilvl w:val="0"/>
          <w:numId w:val="7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W kwietniu na terenie Wydziału Bezpieczeństwa i Zarządzania Kryzysowego odbyły się </w:t>
      </w:r>
      <w:r>
        <w:rPr>
          <w:rFonts w:ascii="Verdana" w:hAnsi="Verdana" w:cs="Verdana"/>
          <w:b/>
          <w:bCs/>
        </w:rPr>
        <w:t>ćwiczenia praktyczne</w:t>
      </w:r>
      <w:r>
        <w:rPr>
          <w:rFonts w:ascii="Verdana" w:hAnsi="Verdana" w:cs="Verdana"/>
        </w:rPr>
        <w:t xml:space="preserve"> związane z prowadzeniem akcji przeciwpowodziowej. W ćwiczeniach poza liderami powodziowymi wszystkich osiedli, wzięli udział strażacy z komendy Miejskiej PSP i przedstawiciele instytucji współpracujących m.in. RZGW i ZZM.</w: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  <w:r>
        <w:rPr>
          <w:rFonts w:ascii="Verdana" w:hAnsi="Verdana" w:cs="Verdana"/>
          <w:noProof/>
        </w:rPr>
        <w:pict>
          <v:shape id="Obraz 5" o:spid="_x0000_i1028" type="#_x0000_t75" alt="DSCF2918.JPG" style="width:166.5pt;height:93pt;visibility:visible">
            <v:imagedata r:id="rId10" o:title=""/>
          </v:shape>
        </w:pict>
      </w:r>
      <w:r>
        <w:rPr>
          <w:rFonts w:ascii="Verdana" w:hAnsi="Verdana" w:cs="Verdana"/>
        </w:rPr>
        <w:t xml:space="preserve">  </w:t>
      </w:r>
      <w:r>
        <w:rPr>
          <w:rFonts w:ascii="Verdana" w:hAnsi="Verdana" w:cs="Verdana"/>
          <w:noProof/>
        </w:rPr>
        <w:pict>
          <v:shape id="Obraz 6" o:spid="_x0000_i1029" type="#_x0000_t75" alt="DSCF2931.JPG" style="width:166.5pt;height:93pt;visibility:visible">
            <v:imagedata r:id="rId11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  <w:r>
        <w:rPr>
          <w:rFonts w:ascii="Verdana" w:hAnsi="Verdana" w:cs="Verdana"/>
          <w:noProof/>
        </w:rPr>
        <w:pict>
          <v:shape id="Obraz 7" o:spid="_x0000_i1030" type="#_x0000_t75" alt="DSCF2944.JPG" style="width:169.5pt;height:95.25pt;visibility:visible">
            <v:imagedata r:id="rId12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Udział w przeglądach wałów przeciwpowodziowych organizowanych przez Dolnośląski Zarząd Melioracji i Urządzeń Wodnych w okresie wiosennym </w:t>
      </w:r>
      <w:r>
        <w:rPr>
          <w:rFonts w:ascii="Verdana" w:hAnsi="Verdana" w:cs="Verdana"/>
        </w:rPr>
        <w:br/>
        <w:t>i jesiennym. Pracownicy Sekcji po zapoznaniu się z protokółami z poprzednich przeglądów zwracali szczególną uwagę na realizację zaleceń z ubiegłego roku. W 2014 roku przeglądy miały wyjątkowy charakter, gdyż na wielu odcinkach wałów trwały roboty związane z modernizacją WWW. Pozwoliło to pracownikom Sekcji zapoznać się z zaawansowaniem prowadzonych prac. Dodatkowo przedstawiciele sekcji wzięli udział w prezentacjach zaawansowania prac na WWW organizowanych przez inwestorów ww. inwestycji.</w:t>
      </w: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Udział w posiedzeniach Zespołu Specjalistów Opiniujących Projekty Inwestycyjne dotyczących modernizacji Wrocławskiego Węzła Wodnego.</w:t>
      </w:r>
      <w:r>
        <w:rPr>
          <w:rFonts w:ascii="Verdana" w:hAnsi="Verdana" w:cs="Verdana"/>
        </w:rPr>
        <w:br/>
        <w:t>Szczególnie zwracano uwagę na projekty modernizacji wału Opatowice, Osobowice oraz projekt związany z przebudową obiektów hydrotechnicznych i drogowych rzeki Widawy i kanału Odra-Widawa.</w:t>
      </w: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Udział w pracach związanych ze sprawą map zagrożenia i ryzyka powodziowego.</w:t>
      </w:r>
      <w:r>
        <w:rPr>
          <w:rFonts w:ascii="Verdana" w:hAnsi="Verdana" w:cs="Verdana"/>
        </w:rPr>
        <w:br/>
        <w:t xml:space="preserve">Po otrzymaniu w styczniu 2014r. map ryzyka i zagrożenia powodziowego, sekcja wspólnie z Biurem Rozwoju Wrocławia prowadziła konsultacje (spotkania) </w:t>
      </w:r>
      <w:r>
        <w:rPr>
          <w:rFonts w:ascii="Verdana" w:hAnsi="Verdana" w:cs="Verdana"/>
        </w:rPr>
        <w:br/>
        <w:t>z RZGW, IMGW dotyczące prawidłowości otrzymanych dokumentów. Jesienią pracownicy sekcji zostali włączeni do Zespołu Planistycznego Zlewni Odry (ujście Nysy Kłodzkiej – ujście Kaczawy), Oławy, Ślęzy, Widawy, w której prowadzą działania związane ze sporządzeniem Planów Ryzyka Powodziowego.</w:t>
      </w: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Zakończono prace nad Planem Operacyjnym Ochrony przed Powodzią. </w:t>
      </w:r>
      <w:r>
        <w:rPr>
          <w:rFonts w:ascii="Verdana" w:hAnsi="Verdana" w:cs="Verdana"/>
          <w:sz w:val="24"/>
          <w:szCs w:val="24"/>
        </w:rPr>
        <w:br/>
      </w:r>
      <w:r>
        <w:rPr>
          <w:rFonts w:ascii="Verdana" w:hAnsi="Verdana" w:cs="Verdana"/>
        </w:rPr>
        <w:t>Plan został podpisany przez Prezydenta Wrocławia i przekazany jednostkom, które brały udział w konsultacjach nad jego stworzeniem.</w:t>
      </w: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Prowadzenie korespondencji, interwencji przychodzących do Wydziału </w:t>
      </w:r>
      <w:r>
        <w:rPr>
          <w:rFonts w:ascii="Verdana" w:hAnsi="Verdana" w:cs="Verdana"/>
        </w:rPr>
        <w:br/>
        <w:t>w sprawach Wrocławskiego Węzła Wodnego. Wiele spraw wymagało przeprowadzenia konsultacji i wypracowania wspólnego stanowiska z innymi jednostkami Urzędu Miejskiego a przede wszystkim z Wydziałem Inżynierii Miejskiej i Wydziałem Środowiska i Rolnictwa.</w:t>
      </w:r>
    </w:p>
    <w:p w:rsidR="003D3BE9" w:rsidRDefault="003D3BE9">
      <w:pPr>
        <w:pStyle w:val="BodyText"/>
        <w:numPr>
          <w:ilvl w:val="0"/>
          <w:numId w:val="8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Udział w cyklicznych spotkaniach Rady Gospodarki Wodnej Regionu Wodnego Środkowej Odry oraz pracach prezydium Rady.</w:t>
      </w:r>
    </w:p>
    <w:p w:rsidR="003D3BE9" w:rsidRDefault="003D3BE9">
      <w:pPr>
        <w:pStyle w:val="BodyText"/>
        <w:ind w:left="7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Przygotowywanie tematyki poszczególnych spotkań Rady oraz projektów korespondencji sygnowanych przez Radę kierowanych do organów władzy państwowej.</w: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  <w:r>
        <w:rPr>
          <w:rFonts w:ascii="Verdana" w:hAnsi="Verdana" w:cs="Verdana"/>
          <w:noProof/>
        </w:rPr>
        <w:pict>
          <v:shape id="Obraz 0" o:spid="_x0000_i1031" type="#_x0000_t75" alt="IMAG0069.jpg" style="width:189pt;height:108pt;visibility:visible">
            <v:imagedata r:id="rId13" o:title=""/>
          </v:shape>
        </w:pict>
      </w:r>
      <w:r>
        <w:rPr>
          <w:rFonts w:ascii="Verdana" w:hAnsi="Verdana" w:cs="Verdana"/>
        </w:rPr>
        <w:t xml:space="preserve"> </w:t>
      </w:r>
      <w:r>
        <w:rPr>
          <w:rFonts w:ascii="Verdana" w:hAnsi="Verdana" w:cs="Verdana"/>
          <w:noProof/>
        </w:rPr>
        <w:pict>
          <v:shape id="Obraz 1" o:spid="_x0000_i1032" type="#_x0000_t75" alt="IMAG0067.jpg" style="width:192.75pt;height:108pt;visibility:visible">
            <v:imagedata r:id="rId14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  <w:r>
        <w:rPr>
          <w:rFonts w:ascii="Verdana" w:hAnsi="Verdana" w:cs="Verdana"/>
          <w:noProof/>
        </w:rPr>
        <w:pict>
          <v:shape id="Obraz 2" o:spid="_x0000_i1033" type="#_x0000_t75" alt="IMAG0068.jpg" style="width:189pt;height:108pt;visibility:visible">
            <v:imagedata r:id="rId15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numPr>
          <w:ilvl w:val="0"/>
          <w:numId w:val="9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Informowanie mieszkańców miasta o wszelkich sprawach dotyczących ochrony przeciwpowodziowej Wrocławia. Szczególnie dużo pytań dotyczy ewentualnego zagrożenia powodziowego na obszarach przeznaczonych pod nowe inwestycje.</w:t>
      </w:r>
    </w:p>
    <w:p w:rsidR="003D3BE9" w:rsidRDefault="003D3BE9">
      <w:pPr>
        <w:pStyle w:val="BodyText"/>
        <w:numPr>
          <w:ilvl w:val="0"/>
          <w:numId w:val="9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Zaangażowanie się Sekcji w sprawę zwiększenia bezpieczeństwa powodziowego </w:t>
      </w:r>
      <w:r>
        <w:rPr>
          <w:rFonts w:ascii="Verdana" w:hAnsi="Verdana" w:cs="Verdana"/>
        </w:rPr>
        <w:br/>
        <w:t>w rejonie ul. Ślęzoujście. Doprowadzono do oczyszczenia skarp nasypu drogowego co umożliwi sprawne prowadzenie ewentualnej akcji powodziowej w tym miejscu. Zlecono wykonanie studium dotyczącego stopnia zagrożenia przyległego terenu oraz wynikających z tego potrzeb modernizacyjnych. Sprawę prowadzi zespół ekspertów NOT.</w:t>
      </w:r>
    </w:p>
    <w:p w:rsidR="003D3BE9" w:rsidRDefault="003D3BE9">
      <w:pPr>
        <w:pStyle w:val="BodyText"/>
        <w:numPr>
          <w:ilvl w:val="0"/>
          <w:numId w:val="9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Sekcja brała udział w sprawach dotyczących powiązania nowego wału z obiektami położonymi na terenie Komendy Wojewódzkiej Policji oraz w sprawach związanych z dalszym funkcjonowaniem całego obiektu.</w:t>
      </w:r>
    </w:p>
    <w:p w:rsidR="003D3BE9" w:rsidRDefault="003D3BE9">
      <w:pPr>
        <w:pStyle w:val="BodyText"/>
        <w:numPr>
          <w:ilvl w:val="0"/>
          <w:numId w:val="10"/>
        </w:numPr>
        <w:ind w:left="709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Sekcja pilotowała sprawę wydzielenia i przekazania działki biegnącej wzdłuż muru oporowego dla firmy Rank-Progress.</w:t>
      </w:r>
    </w:p>
    <w:p w:rsidR="003D3BE9" w:rsidRDefault="003D3BE9">
      <w:pPr>
        <w:pStyle w:val="BodyText"/>
        <w:numPr>
          <w:ilvl w:val="0"/>
          <w:numId w:val="10"/>
        </w:numPr>
        <w:ind w:left="709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Udział w rozwiązywaniu kwestii spornych wynikłych w toku wdrażania dokumentacji drugiego etapu Projektu Modernizacji WWW (kanał Odra-Widawa oraz odcinek Widawy od kanału do ujścia). Szczególnie dużo działań dotyczyło odcinaka robót w obrębie osiedla Widawa oraz spornego przepustu w wale pomiędzy mostem kolejowym trasy Wrocław – Poznań a ulicą Pęgowską. </w: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numPr>
          <w:ilvl w:val="0"/>
          <w:numId w:val="10"/>
        </w:numPr>
        <w:ind w:left="709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Prowadzenie szkoleń o charakterze przeciwpowodziowym z uczestnikami Uniwersytetu Dziecięcego.</w: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ab/>
      </w:r>
      <w:r>
        <w:rPr>
          <w:rFonts w:ascii="Verdana" w:hAnsi="Verdana" w:cs="Verdana"/>
          <w:b/>
          <w:bCs/>
          <w:noProof/>
        </w:rPr>
        <w:pict>
          <v:shape id="Obraz 3" o:spid="_x0000_i1034" type="#_x0000_t75" alt="uni dziecięcy.jpg" style="width:224.25pt;height:149.25pt;visibility:visible">
            <v:imagedata r:id="rId16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ind w:left="284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           </w:t>
      </w:r>
      <w:r>
        <w:rPr>
          <w:rFonts w:ascii="Verdana" w:hAnsi="Verdana" w:cs="Verdana"/>
          <w:b/>
          <w:bCs/>
          <w:noProof/>
        </w:rPr>
        <w:pict>
          <v:shape id="Obraz 4" o:spid="_x0000_i1035" type="#_x0000_t75" alt="uni dziecięcy1.jpg" style="width:239.25pt;height:159pt;visibility:visible">
            <v:imagedata r:id="rId17" o:title=""/>
          </v:shape>
        </w:pict>
      </w:r>
    </w:p>
    <w:p w:rsidR="003D3BE9" w:rsidRDefault="003D3BE9">
      <w:pPr>
        <w:pStyle w:val="BodyText"/>
        <w:ind w:left="284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numPr>
          <w:ilvl w:val="0"/>
          <w:numId w:val="11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Przygotowanie prezentacji dotyczącą pracy WBZK, CZK oraz sekcji w kontekście działań przeciwpowodziowych w obrębie miasta dla członków Lobby Odrzańskiego przy Civitas Christiana oddział Wrocław.</w:t>
      </w:r>
    </w:p>
    <w:p w:rsidR="003D3BE9" w:rsidRDefault="003D3BE9">
      <w:pPr>
        <w:pStyle w:val="BodyText"/>
        <w:numPr>
          <w:ilvl w:val="0"/>
          <w:numId w:val="11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Udział w rozwiązywaniu problemów związanych z wykorzystaniem nabrzeży w WWW. Sprawy dotyczyły lokalizacji istniejących i planowanych obiektów cumowanych przy wrocławskich nabrzeżach przez prywatnych inwestorów a także planowanej zabudowy nabrzeży przez deweloperów.</w:t>
      </w:r>
    </w:p>
    <w:p w:rsidR="003D3BE9" w:rsidRDefault="003D3BE9">
      <w:pPr>
        <w:pStyle w:val="BodyText"/>
        <w:numPr>
          <w:ilvl w:val="0"/>
          <w:numId w:val="11"/>
        </w:numP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Nadzór i koordynacja pierwszego etapu prac związanych z </w:t>
      </w:r>
      <w:r>
        <w:rPr>
          <w:rFonts w:ascii="Verdana" w:hAnsi="Verdana" w:cs="Verdana"/>
          <w:b/>
          <w:bCs/>
        </w:rPr>
        <w:t>modernizacją Systemu Monitorowania WWW</w:t>
      </w:r>
      <w:r>
        <w:rPr>
          <w:rFonts w:ascii="Verdana" w:hAnsi="Verdana" w:cs="Verdana"/>
        </w:rPr>
        <w:t>.</w:t>
      </w:r>
    </w:p>
    <w:p w:rsidR="003D3BE9" w:rsidRDefault="003D3BE9">
      <w:pPr>
        <w:pStyle w:val="BodyText"/>
        <w:ind w:left="7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Wyremontowano 6 stacji w lokalizacjach Trestno, Urząd Wojewódzki, Siechnice, Śleza, Jarnołtów i Wilczyce. Przeprowadzono prace rozbiórkowe i zdemontowano stacje w Brzegu, Bartoszowicach, Niskich Łąkach, Szczytnikach, Moście Warszawskim i Kępie Mieszczańskiej.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ab/>
      </w:r>
    </w:p>
    <w:p w:rsidR="003D3BE9" w:rsidRDefault="003D3BE9">
      <w:pPr>
        <w:pStyle w:val="BodyText"/>
        <w:jc w:val="both"/>
        <w:rPr>
          <w:rFonts w:ascii="Verdana" w:hAnsi="Verdana" w:cs="Verdana"/>
          <w:b/>
          <w:bCs/>
          <w:noProof/>
        </w:rPr>
      </w:pPr>
      <w:r>
        <w:rPr>
          <w:rFonts w:ascii="Verdana" w:hAnsi="Verdana" w:cs="Verdana"/>
        </w:rPr>
        <w:tab/>
      </w:r>
      <w:r>
        <w:rPr>
          <w:rFonts w:ascii="Verdana" w:hAnsi="Verdana" w:cs="Verdana"/>
          <w:b/>
          <w:bCs/>
          <w:noProof/>
        </w:rPr>
        <w:pict>
          <v:shape id="Obraz 8" o:spid="_x0000_i1036" type="#_x0000_t75" alt="DSCF3412.JPG" style="width:195pt;height:111pt;visibility:visible">
            <v:imagedata r:id="rId18" o:title=""/>
          </v:shape>
        </w:pict>
      </w:r>
      <w:r>
        <w:rPr>
          <w:rFonts w:ascii="Verdana" w:hAnsi="Verdana" w:cs="Verdana"/>
        </w:rPr>
        <w:t xml:space="preserve"> </w:t>
      </w:r>
      <w:r>
        <w:rPr>
          <w:rFonts w:ascii="Verdana" w:hAnsi="Verdana" w:cs="Verdana"/>
          <w:b/>
          <w:bCs/>
          <w:noProof/>
        </w:rPr>
        <w:pict>
          <v:shape id="Obraz 9" o:spid="_x0000_i1037" type="#_x0000_t75" alt="DSCF3414.JPG" style="width:195.75pt;height:110.25pt;visibility:visible">
            <v:imagedata r:id="rId19" o:title=""/>
          </v:shape>
        </w:pict>
      </w:r>
      <w:r>
        <w:rPr>
          <w:rFonts w:ascii="Verdana" w:hAnsi="Verdana" w:cs="Verdana"/>
          <w:b/>
          <w:bCs/>
          <w:noProof/>
        </w:rPr>
        <w:t xml:space="preserve">   </w:t>
      </w:r>
    </w:p>
    <w:p w:rsidR="003D3BE9" w:rsidRDefault="003D3BE9">
      <w:pPr>
        <w:pStyle w:val="BodyText"/>
        <w:jc w:val="both"/>
        <w:rPr>
          <w:rFonts w:ascii="Verdana" w:hAnsi="Verdana" w:cs="Verdana"/>
          <w:b/>
          <w:bCs/>
          <w:noProof/>
        </w:rPr>
      </w:pP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  <w:b/>
          <w:bCs/>
          <w:noProof/>
        </w:rPr>
        <w:pict>
          <v:shape id="Obraz 10" o:spid="_x0000_i1038" type="#_x0000_t75" alt="DSCF3421.JPG" style="width:120.75pt;height:3in;visibility:visible">
            <v:imagedata r:id="rId20" o:title=""/>
          </v:shape>
        </w:pict>
      </w:r>
    </w:p>
    <w:p w:rsidR="003D3BE9" w:rsidRDefault="003D3BE9">
      <w:pPr>
        <w:pStyle w:val="BodyText"/>
        <w:jc w:val="both"/>
        <w:rPr>
          <w:rFonts w:ascii="Verdana" w:hAnsi="Verdana" w:cs="Verdana"/>
          <w:b/>
          <w:bCs/>
        </w:rPr>
      </w:pPr>
    </w:p>
    <w:p w:rsidR="003D3BE9" w:rsidRDefault="003D3BE9">
      <w:pPr>
        <w:pStyle w:val="BodyText"/>
        <w:numPr>
          <w:ilvl w:val="0"/>
          <w:numId w:val="12"/>
        </w:numPr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Przeglądy pogwarancyjne i okresowe górek piaskowych.</w:t>
      </w:r>
    </w:p>
    <w:p w:rsidR="003D3BE9" w:rsidRDefault="003D3BE9">
      <w:pPr>
        <w:pStyle w:val="BodyText"/>
        <w:ind w:left="720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</w:rPr>
        <w:t>Przeprowadzono przeglądy wszystkich górek, zamknięto kwestie gwarancji górek wybudowanych i częściowo odtwarzanych po powodzi w roku 2010.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 zakresie opracowywania i aktualizowania planów zarządzania kryzysowego: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zaktualizowano Powiatowy Plan Zarządzania Kryzysowego zgodnie </w:t>
      </w:r>
      <w:r>
        <w:rPr>
          <w:rFonts w:ascii="Verdana" w:hAnsi="Verdana" w:cs="Verdana"/>
          <w:sz w:val="20"/>
          <w:szCs w:val="20"/>
        </w:rPr>
        <w:br/>
        <w:t xml:space="preserve">z postanowieniami Ustawy z dnia 17 lipca 2009 r. </w:t>
      </w:r>
      <w:r>
        <w:rPr>
          <w:rFonts w:ascii="Verdana" w:hAnsi="Verdana" w:cs="Verdana"/>
          <w:b/>
          <w:bCs/>
          <w:sz w:val="20"/>
          <w:szCs w:val="20"/>
        </w:rPr>
        <w:t xml:space="preserve">„o zmianie ustawy o zarządzaniu kryzysowym” </w:t>
      </w:r>
      <w:r>
        <w:rPr>
          <w:rFonts w:ascii="Verdana" w:hAnsi="Verdana" w:cs="Verdana"/>
          <w:sz w:val="20"/>
          <w:szCs w:val="20"/>
        </w:rPr>
        <w:t xml:space="preserve">(Dz. U. z dnia 19 sierpnia 2009 r.). </w:t>
      </w:r>
    </w:p>
    <w:p w:rsidR="003D3BE9" w:rsidRDefault="003D3BE9">
      <w:pPr>
        <w:ind w:left="144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 ramach realizacji zadań Powiatowego Zespołu Zarządzania Kryzysowego</w:t>
      </w:r>
      <w:r>
        <w:rPr>
          <w:rFonts w:ascii="Verdana" w:hAnsi="Verdana" w:cs="Verdana"/>
          <w:sz w:val="20"/>
          <w:szCs w:val="20"/>
        </w:rPr>
        <w:t>.</w:t>
      </w:r>
    </w:p>
    <w:p w:rsidR="003D3BE9" w:rsidRDefault="003D3BE9">
      <w:pPr>
        <w:ind w:left="345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numPr>
          <w:ilvl w:val="1"/>
          <w:numId w:val="2"/>
        </w:numPr>
        <w:tabs>
          <w:tab w:val="clear" w:pos="1440"/>
        </w:tabs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Opracowanie i przygotowanie materiałów oraz sporządzanie protokołów </w:t>
      </w:r>
      <w:r>
        <w:rPr>
          <w:rFonts w:ascii="Verdana" w:hAnsi="Verdana" w:cs="Verdana"/>
          <w:sz w:val="20"/>
          <w:szCs w:val="20"/>
        </w:rPr>
        <w:br/>
        <w:t>z posiedzeń Powiatowego Zespołu Zarządzania Kryzysowego.</w:t>
      </w:r>
    </w:p>
    <w:p w:rsidR="003D3BE9" w:rsidRDefault="003D3BE9">
      <w:pPr>
        <w:numPr>
          <w:ilvl w:val="1"/>
          <w:numId w:val="2"/>
        </w:numPr>
        <w:tabs>
          <w:tab w:val="clear" w:pos="1440"/>
        </w:tabs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2014 roku w związku z potencjalnym zagrożeniem odbyło się jedno </w:t>
      </w:r>
      <w:r>
        <w:rPr>
          <w:rFonts w:ascii="Verdana" w:hAnsi="Verdana" w:cs="Verdana"/>
          <w:b/>
          <w:bCs/>
          <w:sz w:val="20"/>
          <w:szCs w:val="20"/>
        </w:rPr>
        <w:t>spotkanie Zespołu Zarządzania Kryzysowego.</w:t>
      </w:r>
    </w:p>
    <w:p w:rsidR="003D3BE9" w:rsidRDefault="003D3BE9">
      <w:pPr>
        <w:ind w:left="709" w:hanging="36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BodyTextIndent2"/>
        <w:ind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 ramach realizowania polityki informacyjnej związanej </w:t>
      </w:r>
      <w:r>
        <w:rPr>
          <w:rFonts w:ascii="Arial" w:hAnsi="Arial" w:cs="Arial"/>
          <w:b/>
          <w:bCs/>
          <w:sz w:val="20"/>
          <w:szCs w:val="20"/>
        </w:rPr>
        <w:br/>
        <w:t>z wprowadzaniem stanu klęski żywiołowej oraz sytuacjami nadzwyczajnych zagrożeń.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numPr>
          <w:ilvl w:val="0"/>
          <w:numId w:val="3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Opracowywanie,  przesyłanie do Biura Informacji Prasowych Prezydenta Wrocławia oraz zamieszczanie na stronie internetowej CZK komunikatów </w:t>
      </w:r>
      <w:r>
        <w:rPr>
          <w:rFonts w:ascii="Verdana" w:hAnsi="Verdana" w:cs="Verdana"/>
          <w:sz w:val="20"/>
          <w:szCs w:val="20"/>
        </w:rPr>
        <w:br/>
        <w:t>i ostrzeżeń związanych  z występowaniem niebezpiecznych zjawisk meteorologicznych,</w:t>
      </w:r>
    </w:p>
    <w:p w:rsidR="003D3BE9" w:rsidRDefault="003D3BE9">
      <w:pPr>
        <w:numPr>
          <w:ilvl w:val="0"/>
          <w:numId w:val="3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Udzielanie uczniom szkół średnich informacji a na bieżąco konsultacji dla studentów wyższych uczelni opracowujących prace magisterskie, licencjackie </w:t>
      </w:r>
      <w:r>
        <w:rPr>
          <w:rFonts w:ascii="Verdana" w:hAnsi="Verdana" w:cs="Verdana"/>
          <w:sz w:val="20"/>
          <w:szCs w:val="20"/>
        </w:rPr>
        <w:br/>
        <w:t>i opracowania z zakresu zarządzania kryzysowego. 9 osób</w:t>
      </w:r>
    </w:p>
    <w:p w:rsidR="003D3BE9" w:rsidRDefault="003D3BE9">
      <w:pPr>
        <w:numPr>
          <w:ilvl w:val="0"/>
          <w:numId w:val="3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Sprawowanie nadzoru merytorycznego nad odbywaniem stażu  absolwentów Uczelni Wrocławskich specjalizujących się w zakresie hydrologii,  ochrony przeciwpowodziowej i zarządzania kryzysowego.</w:t>
      </w:r>
    </w:p>
    <w:p w:rsidR="003D3BE9" w:rsidRDefault="003D3BE9">
      <w:pPr>
        <w:numPr>
          <w:ilvl w:val="0"/>
          <w:numId w:val="3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Przeprowadzanie pokazów i omówienie zasad  działania i funkcjonowania Centrum Zarządzania Kryzysowego dla młodzieży szkolnej i studentów uczelni Wrocławia. Około 221 osób.</w:t>
      </w:r>
    </w:p>
    <w:p w:rsidR="003D3BE9" w:rsidRDefault="003D3BE9">
      <w:pPr>
        <w:pStyle w:val="ListParagraph"/>
        <w:numPr>
          <w:ilvl w:val="0"/>
          <w:numId w:val="3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Udział wraz z Policją i Strażą Miejską oraz Wydziałem Inżynierii Miejskiej Urzędu Miejskiego w opracowaniu i  wykonywaniu okresowych sprawozdań z realizacji programów „Bezpieczne Ferie 2014”  oraz „Bezpieczne Wakacje 2014” a także </w:t>
      </w:r>
      <w:r>
        <w:rPr>
          <w:rFonts w:ascii="Verdana" w:hAnsi="Verdana" w:cs="Verdana"/>
          <w:sz w:val="20"/>
          <w:szCs w:val="20"/>
        </w:rPr>
        <w:br/>
        <w:t xml:space="preserve">w ogólnopolskiej  akcji  „Wszystkich  Świętych 2014”. </w:t>
      </w:r>
    </w:p>
    <w:p w:rsidR="003D3BE9" w:rsidRDefault="003D3BE9">
      <w:pPr>
        <w:numPr>
          <w:ilvl w:val="0"/>
          <w:numId w:val="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udział pracowników CZK w pracach Komisji Bezpieczeństwa Ruchu Drogowego</w:t>
      </w:r>
    </w:p>
    <w:p w:rsidR="003D3BE9" w:rsidRDefault="003D3BE9">
      <w:pPr>
        <w:numPr>
          <w:ilvl w:val="0"/>
          <w:numId w:val="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uczestniczenie w posiedzeniach zespołu Społecznych Inspektorów Pracy oraz komisji BHP, zajmujących się problematyką warunków pracy w Urzędzie Miejskim i opracowywaniem protokołów powypadkowych.</w:t>
      </w: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D3BE9" w:rsidRDefault="003D3BE9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Udział w ćwiczeniach w 2014r.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ind w:firstLine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Pracownicy Centrum Zarządzania Kryzysowego Urzędu Miejskiego Wrocławia brali udział w zintegrowanym ćwiczeniu pod tytułem </w:t>
      </w:r>
      <w:r>
        <w:rPr>
          <w:rFonts w:ascii="Verdana" w:hAnsi="Verdana" w:cs="Verdana"/>
          <w:b/>
          <w:bCs/>
          <w:sz w:val="20"/>
          <w:szCs w:val="20"/>
        </w:rPr>
        <w:t>„Zatrzymaj się i żyj ”</w:t>
      </w:r>
      <w:r>
        <w:rPr>
          <w:rFonts w:ascii="Verdana" w:hAnsi="Verdana" w:cs="Verdana"/>
          <w:sz w:val="20"/>
          <w:szCs w:val="20"/>
        </w:rPr>
        <w:t xml:space="preserve"> przeprowadzonym w dn. 23.05.2014r. przez Zakład Linii Kolejowych we Wrocławiu  z udziałem :</w:t>
      </w:r>
    </w:p>
    <w:p w:rsidR="003D3BE9" w:rsidRDefault="003D3BE9">
      <w:pPr>
        <w:numPr>
          <w:ilvl w:val="0"/>
          <w:numId w:val="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Pogotowia Ratunkowego, </w:t>
      </w:r>
    </w:p>
    <w:p w:rsidR="003D3BE9" w:rsidRDefault="003D3BE9">
      <w:pPr>
        <w:numPr>
          <w:ilvl w:val="0"/>
          <w:numId w:val="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Policji, </w:t>
      </w:r>
    </w:p>
    <w:p w:rsidR="003D3BE9" w:rsidRDefault="003D3BE9">
      <w:pPr>
        <w:numPr>
          <w:ilvl w:val="0"/>
          <w:numId w:val="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Państwowej Straży Pożarnej, </w:t>
      </w:r>
    </w:p>
    <w:p w:rsidR="003D3BE9" w:rsidRDefault="003D3BE9">
      <w:pPr>
        <w:numPr>
          <w:ilvl w:val="0"/>
          <w:numId w:val="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Straży Miejskiej,  </w:t>
      </w:r>
    </w:p>
    <w:p w:rsidR="003D3BE9" w:rsidRDefault="003D3BE9">
      <w:pPr>
        <w:numPr>
          <w:ilvl w:val="0"/>
          <w:numId w:val="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Straży Ochrony Kolei,</w:t>
      </w:r>
    </w:p>
    <w:p w:rsidR="003D3BE9" w:rsidRDefault="003D3BE9">
      <w:pPr>
        <w:pStyle w:val="BodyText"/>
        <w:ind w:firstLine="360"/>
        <w:rPr>
          <w:rFonts w:ascii="Verdana" w:hAnsi="Verdana" w:cs="Verdana"/>
        </w:rPr>
      </w:pPr>
      <w:r>
        <w:rPr>
          <w:rFonts w:ascii="Verdana" w:hAnsi="Verdana" w:cs="Verdana"/>
        </w:rPr>
        <w:t xml:space="preserve">Zadanie zostało zrealizowane  na przejeździe kolejowo-drogowym na ul. Traktatowej przy stacji Wrocław - Muchobór. Podczas symulacji zdarzenia lokomotywa jadąca z minimalną prędkością uderzyła w samochód osobowy.  </w:t>
      </w:r>
    </w:p>
    <w:p w:rsidR="003D3BE9" w:rsidRDefault="003D3BE9">
      <w:pPr>
        <w:pStyle w:val="BodyText"/>
        <w:rPr>
          <w:rFonts w:ascii="Verdana" w:hAnsi="Verdana" w:cs="Verdana"/>
        </w:rPr>
      </w:pPr>
    </w:p>
    <w:p w:rsidR="003D3BE9" w:rsidRDefault="003D3BE9">
      <w:pPr>
        <w:pStyle w:val="BodyText"/>
        <w:rPr>
          <w:rFonts w:ascii="Verdana" w:hAnsi="Verdana" w:cs="Verdana"/>
        </w:rPr>
      </w:pP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pict>
          <v:shape id="_x0000_i1039" type="#_x0000_t75" alt="zdjęcia ćw. Zatrzymaj się i żyj-23.05.14\zatrzymaj się i żyj-23.05.14 012.jpg" style="width:453pt;height:206.25pt;visibility:visible">
            <v:imagedata r:id="rId21" o:title=""/>
          </v:shape>
        </w:pict>
      </w:r>
    </w:p>
    <w:p w:rsidR="003D3BE9" w:rsidRDefault="003D3BE9">
      <w:pPr>
        <w:pStyle w:val="BodyText"/>
        <w:rPr>
          <w:rFonts w:ascii="Verdana" w:hAnsi="Verdana" w:cs="Verdana"/>
        </w:rPr>
      </w:pP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pict>
          <v:shape id="_x0000_i1040" type="#_x0000_t75" alt="zdjęcia ćw. Zatrzymaj się i żyj-23.05.14\zatrzymaj się i żyj-23.05.14 015.jpg" style="width:453pt;height:227.25pt;visibility:visible">
            <v:imagedata r:id="rId22" o:title=""/>
          </v:shape>
        </w:pict>
      </w:r>
    </w:p>
    <w:p w:rsidR="003D3BE9" w:rsidRDefault="003D3BE9">
      <w:pPr>
        <w:ind w:left="435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ListParagraph"/>
        <w:numPr>
          <w:ilvl w:val="0"/>
          <w:numId w:val="13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Ponadto odbyły się ćwiczenia z funkcjonowania systemu Alarmowania i ostrzegania jednostek Województwa Dolnośląskiego. Pracownicy CZK ćwiczyli i analizowali działanie Platformy Operacyjnej Zarządzania Kryzysowego.</w:t>
      </w:r>
    </w:p>
    <w:p w:rsidR="003D3BE9" w:rsidRDefault="003D3BE9">
      <w:pPr>
        <w:pStyle w:val="ListParagraph"/>
        <w:ind w:left="360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ListParagraph"/>
        <w:ind w:left="360"/>
        <w:rPr>
          <w:rFonts w:ascii="Verdana" w:hAnsi="Verdana" w:cs="Verdana"/>
          <w:b/>
          <w:bCs/>
          <w:sz w:val="20"/>
          <w:szCs w:val="20"/>
        </w:rPr>
      </w:pPr>
    </w:p>
    <w:p w:rsidR="003D3BE9" w:rsidRDefault="003D3BE9">
      <w:pPr>
        <w:pStyle w:val="ListParagraph"/>
        <w:ind w:left="0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BEZPIECZEŃSTWO PUBLICZNE</w:t>
      </w:r>
    </w:p>
    <w:p w:rsidR="003D3BE9" w:rsidRDefault="003D3BE9">
      <w:pPr>
        <w:autoSpaceDE w:val="0"/>
        <w:autoSpaceDN w:val="0"/>
        <w:adjustRightInd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Wykonanie „Programu Poprawy Bezpiecze</w:t>
      </w:r>
      <w:r>
        <w:rPr>
          <w:rFonts w:ascii="Verdana-Bold" w:hAnsi="Verdana-Bold" w:cs="Verdana-Bold"/>
          <w:b/>
          <w:bCs/>
          <w:sz w:val="20"/>
          <w:szCs w:val="20"/>
        </w:rPr>
        <w:t>ń</w:t>
      </w:r>
      <w:r>
        <w:rPr>
          <w:rFonts w:ascii="Verdana" w:hAnsi="Verdana" w:cs="Verdana"/>
          <w:b/>
          <w:bCs/>
          <w:sz w:val="20"/>
          <w:szCs w:val="20"/>
        </w:rPr>
        <w:t>stwa we Wroc</w:t>
      </w:r>
      <w:r>
        <w:rPr>
          <w:rFonts w:ascii="Verdana-Bold" w:hAnsi="Verdana-Bold" w:cs="Verdana-Bold"/>
          <w:b/>
          <w:bCs/>
          <w:sz w:val="20"/>
          <w:szCs w:val="20"/>
        </w:rPr>
        <w:t>ł</w:t>
      </w:r>
      <w:r>
        <w:rPr>
          <w:rFonts w:ascii="Verdana" w:hAnsi="Verdana" w:cs="Verdana"/>
          <w:b/>
          <w:bCs/>
          <w:sz w:val="20"/>
          <w:szCs w:val="20"/>
        </w:rPr>
        <w:t>awiu” w 2014 roku.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Realizując „Program Poprawy Bezpieczeństwa we Wrocławiu w latach 2013- 2016”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(przyjęty 18 października 2012 r., uchwałą  nr XXXII/724/12  Rady  Miejskiej  Wrocławia) Wydział Bezpieczeństwa i Zarządzania Kryzysowego w 2014 r. podjął działania mające istotne znaczenie dla mieszkańców Wrocławia, jak również osób odwiedzających miasto.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ramach współpracy z Komendą Miejską Policji realizowano programy prewencyjne, zainicjowane w latach wcześniejszych, których celem jest ograniczenie przestępczości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wśród nieletnich, organizacja wypoczynku dla dzieci z rodzin ubogich i patologicznych, edukacja dzieci i młodzieży w zakresie bezpieczeństwa w domu, w szkole, na drodze,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zapobieganie patologiom społecznym, ograniczenie drobnych kradzieży w środkach komunikacji miejskiej, instytucjach publicznych, centrach handlowych, lokalach gastronomicznych. Programami tymi są: "Stop kradzieżom", "STOP 24", „Pomagajmy sobie wzajemnie”, „Karta rowerowa", „Działania profilaktyczne skierowane przeciwko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narkomanii”, „Bezpieczna droga do szkoły", "Komisarz Lew". Na realizację powyższych programów zostało przekazane 200 000 zł. Na budowę bazy lokalowej i techniczno – obsługowej – przebudowę  Komisariatu Policji Wrocław Krzyki przeznaczono 2.536.795 zł. Natomiast celem doposażenia  w sprzęt komputerowy KMP i komisariatów policji wydatkowano 750 000 zł. Osobną pozycją w budżecie Wydziału były środki finansowe na działania koordynacyjno – zabezpieczające w mieście. Dzięki nim na przeprowadzenie dodatkowych patroli policyjnych wydano 200.000 zł. W minionym roku w ramach akcji „Sponsoring 2014” dofinansowano zakup pojazdów dla jednostek policji w kwocie 601.500 zł. W 2014 r. wdrożono nowy program prewencyjny  pod nazwą „Certyfikat Bezpieczeństwa” . Certyfikat ten  będzie  przyznawany instytucjom, które w znaczący sposób podnoszą standard zabezpieczeń istniejących na zarządzanym przez nie terenie i pomieszczeniach. Wyboru certyfikowanej instytucji (po spełnieni przez nią wymagań określonych w regulaminie programu) dokonuje wspólnie Komenda Miejska Policji, Straż Miejska Wrocławia, Komenda miejska Państwowej Straży Pożąrnej oraz Wydział Bezpieczeństwa i Zarządzania Kryzysowego. Aktualnie przyznano certyfikat Międzyzakładowej Spółdzielni Mieszkaniowej „Energetyk”. 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 wykonanie zadań związanych z realizacją  „Programu” Straż Miejska Wrocławia (kontynuacja przedsięwzięć z lat ubiegłych: Bezpieczne Osiedle, Bezpieczna szkoła, Czyste miasto, Bezpieczne ferie i wakacje) otrzymała 80 000 zł, natomiast Komenda Miejska Państwowej Straży Pożarnej – 80 000 zł. W minionym roku Ochotnicza Straż Pożarna – Jednostka Ratownictwa Specjalistycznego otrzymała 33 000 zł z przeznaczeniem na pokrycie kosztów wyposażenia, utrzymania, wyszkolenia i zapewnienia gotowości bojowej jednostki. Gmina Wrocław zawarła też porozumienie dotyczące włączenia  OSP – JRS do Krajowego Systemu Ratowniczo – Gaśniczego. Inne jednostki ochotniczych straży pożarnych: OSP-ORW i OSP-Lazarus także zostały finansowo wsparte w wysokości 44 000 zł. Środki na utrzymanie uzyskała również nowa jednostka OSP – Grupa Ratownictwa Specjalistycznego „Starówka” w wysokości 9.000 zł.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Verdana" w:hAnsi="Verdana" w:cs="Verdana"/>
          <w:sz w:val="20"/>
          <w:szCs w:val="20"/>
        </w:rPr>
        <w:t>Jak co roku, w okresie letnim,  zapewniono funkcjonowanie patroli wodnych WOPR na terenie Wrocławia dzięki dotacji w wysokości 40 000 zł. Realizujące program „Wrocławska Bezpieczna Szkoła” gimnazja nr 4, 5, 11, 13 przyjęły  40.000 zł na sfinansowanie szkoleń nauczycieli i policjantów działających na rzecz w poprawy bezpieczeństwa w szkołach oraz na nagrody  dla dzieci i młodzieży uczestniczących w konkursach z zakresu bezpieczeństwa</w:t>
      </w:r>
      <w:r>
        <w:rPr>
          <w:rFonts w:cs="Times New Roman"/>
        </w:rPr>
        <w:t>.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mprezy masowe i zgromadzenia</w:t>
      </w:r>
    </w:p>
    <w:p w:rsidR="003D3BE9" w:rsidRDefault="003D3BE9">
      <w:pPr>
        <w:pStyle w:val="BodyText"/>
        <w:rPr>
          <w:rFonts w:ascii="Verdana" w:hAnsi="Verdana" w:cs="Verdana"/>
        </w:rPr>
      </w:pPr>
      <w:r>
        <w:rPr>
          <w:rFonts w:ascii="Verdana" w:hAnsi="Verdana" w:cs="Verdana"/>
        </w:rPr>
        <w:t>Realizacja  ustawy z dnia 5 lipca 1990r. Prawo o zgromadzeniach</w:t>
      </w:r>
      <w:r>
        <w:rPr>
          <w:rFonts w:ascii="Verdana" w:hAnsi="Verdana" w:cs="Verdana"/>
          <w:i/>
          <w:iCs/>
        </w:rPr>
        <w:t xml:space="preserve"> </w:t>
      </w:r>
      <w:r>
        <w:rPr>
          <w:rFonts w:ascii="Verdana" w:hAnsi="Verdana" w:cs="Verdana"/>
        </w:rPr>
        <w:t xml:space="preserve">(Dz.U. z 2013 r., poz. 397, j.t.) oraz  ustawy z dnia 20 marca 2009 roku </w:t>
      </w:r>
      <w:r>
        <w:rPr>
          <w:rFonts w:ascii="Verdana" w:hAnsi="Verdana" w:cs="Verdana"/>
          <w:i/>
          <w:iCs/>
        </w:rPr>
        <w:t xml:space="preserve">o </w:t>
      </w:r>
      <w:r>
        <w:rPr>
          <w:rFonts w:ascii="Verdana" w:hAnsi="Verdana" w:cs="Verdana"/>
        </w:rPr>
        <w:t xml:space="preserve">bezpieczeństwie imprez masowych(Dz.U. z 2013 r., poz. 611, j.t.)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okresie od 1 stycznia 2014r. do 31 grudnia 2014r. przyjęto 132 zawiadomienia                              o zgromadzeniach publicznych organizowanych na terenie miasta Wrocławia.                            Wydano 1 decyzję zakazującą przeprowadzenia zgromadzenia publicznego                                 z wykorzystaniem jezdni (dotyczyło to zgromadzenia publicznego organizowanego przez uczestników Krucjaty Różańcowej za Ojczyznę, którzy protestowali przeciwko występowi zespołu muzycznego „Behemoth” pod kierownictwem Nergala - Adama Darskiego). Zgromadzenie mogło odbyć się na chodniku przed Klubem Eter przy ul. Kazimierza Wielkiego 19. Od decyzji zakazującej organizator nie odwołał się do Wojewody Dolnośląskiego. </w:t>
      </w:r>
    </w:p>
    <w:p w:rsidR="003D3BE9" w:rsidRDefault="003D3BE9">
      <w:pPr>
        <w:pStyle w:val="BodyText"/>
        <w:ind w:left="-180"/>
        <w:jc w:val="both"/>
      </w:pPr>
    </w:p>
    <w:p w:rsidR="003D3BE9" w:rsidRDefault="003D3BE9">
      <w:pPr>
        <w:pStyle w:val="BodyText"/>
        <w:ind w:left="-18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Przedstawiciele tut. Wydziału posiadający upoważnienie Prezydenta uczestniczyli                              w 15 zgromadzeniach publicznych. Każdorazowo przewodniczący zgromadzeń byli pouczani przez przedstawiciela organu gminy (w obecności funkcjonariusza Komendy Miejskiej Policji) o przysługujących im prawach i obowiązkach wynikających z ustawy „Prawo                                  o zgromadzeniach”. We wskazanym okresie nie było przypadku rozwiązania zgromadzenia podczas jego trwania.</w:t>
      </w:r>
    </w:p>
    <w:p w:rsidR="003D3BE9" w:rsidRDefault="003D3BE9">
      <w:pPr>
        <w:pStyle w:val="BodyText"/>
        <w:ind w:left="-180"/>
        <w:jc w:val="both"/>
        <w:rPr>
          <w:rFonts w:ascii="Verdana" w:hAnsi="Verdana" w:cs="Verdana"/>
        </w:rPr>
      </w:pPr>
    </w:p>
    <w:p w:rsidR="003D3BE9" w:rsidRDefault="003D3BE9">
      <w:pPr>
        <w:pStyle w:val="BodyText"/>
        <w:ind w:left="-18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wymienionym okresie zgromadzenia przebiegały spokojnie, pokojowo, zgodnie                        ze złożonym wcześniej zawiadomieniem. Podczas zgromadzeń publicznych przedstawiciele Prezydenta byli w stałym w kontakcie z funkcjonariuszami zabezpieczającymi zgromadzenia. W dniu 18 września 2014 r. Trybunał Konstytucyjny uznał za niekonstytucyjne kilka artykułów ustawy „Prawo o zgromadzeniach”. Wyrok Trybunału został opublikowany  3 października 2014 r. w Dzienniku Ustaw (Dz.U. z 2014 r., poz. 1327). Dwa zakwestionowane zapisy weszły w życie z dniem publikacji w Dzienniku Ustaw. Dotyczy to:</w:t>
      </w:r>
    </w:p>
    <w:p w:rsidR="003D3BE9" w:rsidRDefault="003D3BE9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definicji zgromadzenia (art. 1 ust. 2 ustawy). </w:t>
      </w:r>
      <w:r>
        <w:rPr>
          <w:rFonts w:ascii="Verdana" w:hAnsi="Verdana" w:cs="Verdana"/>
          <w:color w:val="15191B"/>
          <w:sz w:val="20"/>
          <w:szCs w:val="20"/>
        </w:rPr>
        <w:t>TK uznał za niekonstytucyjny zapis, że zgromadzeniem jest "zgrupowanie co najmniej 15 osób".</w:t>
      </w:r>
    </w:p>
    <w:p w:rsidR="003D3BE9" w:rsidRDefault="003D3BE9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wydania przez organ gminy zakazu zgromadzenia zgłoszonego później, jeżeli organizator takiego zgromadzenia nie dokonał zmiany jego czasu lub miejsca albo trasy przejścia uczestników (art. 8 ust. 2 ustawy). TK uznał ten zapis za niekonstytucyjny.</w:t>
      </w:r>
    </w:p>
    <w:p w:rsidR="003D3BE9" w:rsidRDefault="003D3BE9">
      <w:pPr>
        <w:ind w:left="360"/>
        <w:jc w:val="both"/>
        <w:rPr>
          <w:rFonts w:cs="Times New Roman"/>
        </w:rPr>
      </w:pPr>
    </w:p>
    <w:p w:rsidR="003D3BE9" w:rsidRDefault="003D3BE9">
      <w:pPr>
        <w:ind w:left="-18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Pozostałe zakwestionowane zapisy stracą moc po upływie 12 miesięcy od dnia ogłoszenia wyroku w Dzienniku Ustaw (czyli 3 października 2015 r.). W okresie od 01 stycznia 2014 r. do 31 grudnia 2014 r.  wpłynęło 109 wniosków o wydanie zezwolenia na przeprowadzenie imprezy masowej i 17 wniosków o zmianę wydanego już zezwolenia. W wyniku ich rozpatrzenia wydanych zostało:</w:t>
      </w:r>
    </w:p>
    <w:p w:rsidR="003D3BE9" w:rsidRDefault="003D3BE9">
      <w:pPr>
        <w:numPr>
          <w:ilvl w:val="1"/>
          <w:numId w:val="15"/>
        </w:numPr>
        <w:suppressAutoHyphens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66 zezwoleń jednorazowych</w:t>
      </w:r>
    </w:p>
    <w:p w:rsidR="003D3BE9" w:rsidRDefault="003D3BE9">
      <w:pPr>
        <w:numPr>
          <w:ilvl w:val="1"/>
          <w:numId w:val="15"/>
        </w:numPr>
        <w:suppressAutoHyphens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26 zezwoleń na imprezy odbywające się według ustalonego terminarza</w:t>
      </w:r>
    </w:p>
    <w:p w:rsidR="003D3BE9" w:rsidRDefault="003D3BE9">
      <w:pPr>
        <w:numPr>
          <w:ilvl w:val="1"/>
          <w:numId w:val="15"/>
        </w:numPr>
        <w:suppressAutoHyphens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17 zezwoleń zmieniających</w:t>
      </w:r>
    </w:p>
    <w:p w:rsidR="003D3BE9" w:rsidRDefault="003D3BE9">
      <w:pPr>
        <w:pStyle w:val="11Trescpisma"/>
        <w:tabs>
          <w:tab w:val="left" w:pos="-180"/>
        </w:tabs>
        <w:spacing w:before="0"/>
      </w:pPr>
      <w:r>
        <w:t xml:space="preserve">       z tego: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24 zezwolenia na przeprowadzenie imprez sportowych,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43 zezwoleń na przeprowadzenie imprez artystyczno-rozrywkowych,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12 zezwoleń na przeprowadzenie imprez artystycznych,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12 zezwoleń na przeprowadzenie imprez rozrywkowych,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1 zezwolenie na przeprowadzenie imprezy rozrywkowo-sportowej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Decyzje wydane w powyższym okresie zezwalają na przeprowadzenie około 270 imprez masowych, w tym 4 imprez podwyższonego ryzyka. Imprezy masowe podwyższonego ryzyka to głównie mecze piłki nożnej z udziałem drużyny Śląsk Wrocław.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omawianym okresie nie wydawano decyzji zakazujących przeprowadzenia imprezy masowej. </w:t>
      </w:r>
    </w:p>
    <w:p w:rsidR="003D3BE9" w:rsidRDefault="003D3BE9">
      <w:pPr>
        <w:pStyle w:val="11Trescpisma"/>
        <w:spacing w:before="0"/>
      </w:pPr>
      <w:r>
        <w:t>W związku z naruszeniem porządku publicznego przez kibiców Śląska Wrocław                           i Zagłębia Lubin podczas meczu podwyższonego ryzyka rozegranego we Wrocławiu                 w dniu 26 kwietnia 2014 r. Wojewoda Dolnośląski na wniosek Komendanta Wojewódzkiego Policji zakazał przeprowadzenia imprezy masowej z udziałem publiczności na trybunach „B” i „X” Stadionu Miejskiego przy al. Śląskiej – podczas meczu piłki nożnej Śląsk Wrocław – Widzew Łódź w dniu 12 maja 2014 r.  oraz  podczas meczu piłki nożnej Śląsk Wrocław – Cracovia Kraków w dniu 27 maja 2014 r.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Incydenty, do których doszło podczas meczu Śląsk Wrocław-Zagłębie Lubin w dniu                         26 kwietnia 2014 r. na Stadionie Miejskim przy al. Śląskiej: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pierwszej połowie meczu odpalanie 9 rac świetlnych, 4 rac dymnych                     i 15 petard hukowych na trybunie „X” (sektor zajmowany przez kibiców Zagłębia Lubin),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rozwieszenie „sektorówki” na linach, pod osłoną której odpalono 8 rac dymnych i 15 petard hukowych na trybunie „B” (sektor zajmowany przez najbardziej zagorzałych kibiców Śląska Wrocław)</w:t>
      </w:r>
    </w:p>
    <w:p w:rsidR="003D3BE9" w:rsidRDefault="003D3BE9">
      <w:pPr>
        <w:numPr>
          <w:ilvl w:val="1"/>
          <w:numId w:val="1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wykorzystywanie tzw. „sektorówki” do uniemożliwienia identyfikacji sprawców czynów zabronionych.</w:t>
      </w:r>
    </w:p>
    <w:p w:rsidR="003D3BE9" w:rsidRDefault="003D3BE9">
      <w:pPr>
        <w:pStyle w:val="BlockText"/>
        <w:ind w:lef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 imprez skupiających największą ilość uczestników  w omawianym okresie zaliczyć   należy: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Mistrzostwa Świata w Piłce Siatkowej Mężczyzn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Mecze piłki nożnej z udziałem drużyny Śląska Wrocław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Mecz WKS Śląsk Wrocław-Borussia Dortmund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Mecz Polska-Szwajcaria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Mecze żużlowe z udziałem drużyny Betard Sparta Wrocław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en-US"/>
        </w:rPr>
      </w:pPr>
      <w:r>
        <w:rPr>
          <w:rFonts w:ascii="Verdana" w:hAnsi="Verdana" w:cs="Verdana"/>
          <w:sz w:val="20"/>
          <w:szCs w:val="20"/>
          <w:lang w:val="en-US"/>
        </w:rPr>
        <w:t>Koncert Linkin Park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en-US"/>
        </w:rPr>
      </w:pPr>
      <w:r>
        <w:rPr>
          <w:rFonts w:ascii="Verdana" w:hAnsi="Verdana" w:cs="Verdana"/>
          <w:sz w:val="20"/>
          <w:szCs w:val="20"/>
          <w:lang w:val="en-US"/>
        </w:rPr>
        <w:t>Monster X Tour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Młodzieżowe Igrzyska Sportowe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Mistrzostwa Europy Juniorów U 23 w Judo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de-DE"/>
        </w:rPr>
      </w:pPr>
      <w:r>
        <w:rPr>
          <w:rFonts w:ascii="Verdana" w:hAnsi="Verdana" w:cs="Verdana"/>
          <w:sz w:val="20"/>
          <w:szCs w:val="20"/>
          <w:lang w:val="de-DE"/>
        </w:rPr>
        <w:t>Cirque Du Soleil Dralion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Juwenalia 2014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Makbet – widowisko operowe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en-US"/>
        </w:rPr>
      </w:pPr>
      <w:r>
        <w:rPr>
          <w:rFonts w:ascii="Verdana" w:hAnsi="Verdana" w:cs="Verdana"/>
          <w:sz w:val="20"/>
          <w:szCs w:val="20"/>
          <w:lang w:val="en-US"/>
        </w:rPr>
        <w:t>Wielka Majówka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en-US"/>
        </w:rPr>
      </w:pPr>
      <w:r>
        <w:rPr>
          <w:rFonts w:ascii="Verdana" w:hAnsi="Verdana" w:cs="Verdana"/>
          <w:sz w:val="20"/>
          <w:szCs w:val="20"/>
          <w:lang w:val="en-US"/>
        </w:rPr>
        <w:t>WROCK for FREEDOM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  <w:lang w:val="en-US"/>
        </w:rPr>
      </w:pPr>
      <w:r>
        <w:rPr>
          <w:rFonts w:ascii="Verdana" w:hAnsi="Verdana" w:cs="Verdana"/>
          <w:sz w:val="20"/>
          <w:szCs w:val="20"/>
          <w:lang w:val="en-US"/>
        </w:rPr>
        <w:t>Meet UP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32 Wrocław Maraton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Santo Subito/Księga Aniołów i Ludzi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Kult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Ireny Santor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Wrocławski Dzień Przedszkolaka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Perfect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Lady Pank</w:t>
      </w:r>
    </w:p>
    <w:p w:rsidR="003D3BE9" w:rsidRDefault="003D3BE9">
      <w:pPr>
        <w:pStyle w:val="BodyText2"/>
        <w:numPr>
          <w:ilvl w:val="1"/>
          <w:numId w:val="15"/>
        </w:num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Koncert Sylwestrowy 2014</w:t>
      </w:r>
    </w:p>
    <w:p w:rsidR="003D3BE9" w:rsidRDefault="003D3BE9">
      <w:pPr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</w:p>
    <w:p w:rsidR="003D3BE9" w:rsidRDefault="003D3BE9">
      <w:pPr>
        <w:tabs>
          <w:tab w:val="left" w:pos="7200"/>
        </w:tabs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Zgodnie z art. 31 ust. 1 i 2  ustawy o bezpieczeństwie imprez masowych przeprowadzono kontrolę 23 imprez masowych.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Kontrolą objęto :</w:t>
      </w:r>
    </w:p>
    <w:p w:rsidR="003D3BE9" w:rsidRDefault="003D3BE9">
      <w:pPr>
        <w:numPr>
          <w:ilvl w:val="0"/>
          <w:numId w:val="1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liczebność, uprawnienia, oznakowanie, wyposażenie i rozmieszczenie służby porządkowej i informacyjnej,</w:t>
      </w:r>
    </w:p>
    <w:p w:rsidR="003D3BE9" w:rsidRDefault="003D3BE9">
      <w:pPr>
        <w:numPr>
          <w:ilvl w:val="0"/>
          <w:numId w:val="1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organizację zabezpieczenia i ewakuacji wynikającą z planu graficznego,</w:t>
      </w:r>
    </w:p>
    <w:p w:rsidR="003D3BE9" w:rsidRDefault="003D3BE9">
      <w:pPr>
        <w:numPr>
          <w:ilvl w:val="0"/>
          <w:numId w:val="1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umieszczenie regulaminu imprezy i regulaminu obiektu,</w:t>
      </w:r>
    </w:p>
    <w:p w:rsidR="003D3BE9" w:rsidRDefault="003D3BE9">
      <w:pPr>
        <w:numPr>
          <w:ilvl w:val="0"/>
          <w:numId w:val="1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funkcjonowanie monitoringu,</w:t>
      </w:r>
    </w:p>
    <w:p w:rsidR="003D3BE9" w:rsidRDefault="003D3BE9">
      <w:pPr>
        <w:numPr>
          <w:ilvl w:val="0"/>
          <w:numId w:val="14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spełnienie warunków wynikających z opinii organów, o których mowa w art. 26 ust. 2 ustawy o bezpieczeństwie imprez masowych.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Stwierdzone odstępstwa nie powodowały zagrożenia dla bezpieczeństwa uczestników imprezy, dlatego nie było przypadku jej przerwania.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 najczęstszych nieprawidłowości podczas imprez masowych dochodziło na stadionie podczas meczy piłki nożnej, było to odpalanie rac świetlnych i hukowych przez kibiców oraz rozkładanie tzw. sektorówek. </w:t>
      </w:r>
    </w:p>
    <w:p w:rsidR="003D3BE9" w:rsidRDefault="003D3BE9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omawianym okresie wysoko należy ocenić współpracę organu gminy ze służbami zaangażowanych w procedurę administracyjną dotyczącą imprez masowych i zgromadzeń publicznych (KMP, KMPSP, SM, Pogotowie Ratunkowe, Sanepid). Na bieżąco omawiano zaistniałe problemy i wymieniano poglądy (podczas wielu spotkań).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</w:p>
    <w:p w:rsidR="003D3BE9" w:rsidRDefault="003D3BE9">
      <w:pPr>
        <w:pStyle w:val="BodyText2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3D3BE9" w:rsidRDefault="003D3BE9">
      <w:pPr>
        <w:pStyle w:val="BodyText2"/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Ponadto przedstawiciele Wydziału Bezpieczeństwa i Zarządzania Kryzysowego                              w omawianym okresie uczestniczyli w pracach Zespołu ds. organizacji imprez masowych przy Wojewodzie Dolnośląskim. Głównym zadaniem Zespołu była ocena występujących zagrożeń w związku z planowaną lub odbytą masową imprezą sportową oraz opracowywanie i realizacja strategii bezpieczeństwa imprez masowych, która była stosowana przez wszystkie podmioty zaangażowane i współpracujące dla wyeliminowania chuligańskich zachowań na stadionach.</w:t>
      </w:r>
    </w:p>
    <w:p w:rsidR="003D3BE9" w:rsidRDefault="003D3BE9">
      <w:pPr>
        <w:pStyle w:val="BodyText2"/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3D3BE9" w:rsidRDefault="003D3BE9">
      <w:pPr>
        <w:pStyle w:val="Title"/>
        <w:jc w:val="left"/>
        <w:rPr>
          <w:sz w:val="22"/>
          <w:szCs w:val="22"/>
        </w:rPr>
      </w:pPr>
      <w:r>
        <w:rPr>
          <w:rFonts w:ascii="Verdana" w:hAnsi="Verdana" w:cs="Verdana"/>
        </w:rPr>
        <w:t>Komisja Bezpieczeństwa i Porządku</w:t>
      </w:r>
      <w:r>
        <w:t xml:space="preserve">  </w:t>
      </w:r>
    </w:p>
    <w:p w:rsidR="003D3BE9" w:rsidRDefault="003D3BE9">
      <w:pPr>
        <w:pStyle w:val="11Trescpisma"/>
        <w:spacing w:before="0"/>
      </w:pPr>
      <w:r>
        <w:t>Realizacja art. 38b., art. 3 ustawy z dnia 5 czerwca 1998r.o samorządzie powiatowym (Dz. U. z 2013 r., poz.595).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Komisję Bezpieczeństwa i Porządku utworzono na mocy ustawy o Policji, ustawy o działalności ubezpieczeniowej, ustawy – prawo bankowe, ustawy o samorządzie powiatowym.</w:t>
      </w:r>
    </w:p>
    <w:p w:rsidR="003D3BE9" w:rsidRDefault="003D3BE9">
      <w:pPr>
        <w:pStyle w:val="BodyText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</w:rPr>
        <w:t xml:space="preserve">Komisja Bezpieczeństwa i Porządku jest w myśl art. 38a ust. 1 ustawy o samorządzie powiatowym organem powołanym w celu realizacji zadań starosty powiatowego (prezydenta miasta na prawach powiatu) w zakresie zwierzchnictwa nad powiatowymi służbami, inspekcjami i strażami (stanowiącymi tzw. powiatową administrację zespoloną) oraz zadań określonych w ustawach w zakresie porządku publicznego i bezpieczeństwa obywateli. </w:t>
      </w:r>
      <w:r>
        <w:rPr>
          <w:rFonts w:ascii="Verdana" w:hAnsi="Verdana" w:cs="Verdana"/>
          <w:color w:val="000000"/>
        </w:rPr>
        <w:t>Do podstawowych zadań i kompetencji Komisji Bezpieczeństwa i Porządku (określonych w art. 38a ust. 2) należy m.in.: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ocena zagrożeń porządku publicznego i bezpieczeństwa obywateli na terenie powiatu,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opiniowanie pracy Policji i innych powiatowych służb, inspekcji i straży, a także jednostek organizacyjnych wykonujących na terenie powiatu zadania z zakresu porządku publicznego i bezpieczeństwa obywateli, 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przygotowywanie projektu powiatowego programu zapobiegania przestępczości oraz porządku publicznego i bezpieczeństwa obywateli (Wrocław przyjął w formie uchwał Rady Miejskiej z dnia 07.12.2000r „Program Poprawy Bezpieczeństwa we Wrocławiu w latach 2001-2004”, dnia 9 grudnia 2004 r. na lata 2005-2008, z dnia 16 października 2008 roku na lata 2009-2012 i na lata 2013-2016 z 18 października 2012 r.), zapewniając jednocześnie środki finansowe na jego realizację. 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opiniowanie projektów innych programów współdziałania Policji i innych powiatowych służb, inspekcji i straży oraz jednostek,                                           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organizacyjnych wykonujących na terenie powiatu zadania z zakresu porządku publicznego i bezpieczeństwa obywateli,</w:t>
      </w:r>
    </w:p>
    <w:p w:rsidR="003D3BE9" w:rsidRDefault="003D3BE9">
      <w:pPr>
        <w:pStyle w:val="NormalWeb"/>
        <w:numPr>
          <w:ilvl w:val="0"/>
          <w:numId w:val="17"/>
        </w:num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opiniowanie projektów aktów prawa miejscowego i innych dokumentów w sprawach związanych z wykonywaniem zadań, o których mowa jak wyżej.</w:t>
      </w:r>
    </w:p>
    <w:p w:rsidR="003D3BE9" w:rsidRDefault="003D3BE9">
      <w:pPr>
        <w:pStyle w:val="NormalWeb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Zgodnie z art. 38b. ust. 1 Przewodniczący komisji, w celu wykonania zadań komisji, może żądać od Policji oraz innych powiatowych służb, inspekcji i straży, a także od powiatowych i gminnych jednostek organizacyjnych wykonujących zadania z zakresu porządku publicznego i bezpieczeństwa obywateli, dokumentów i informacji o ich pracy, z wyjątkiem akt personalnych pracowników i funkcjonariuszy, materiałów operacyjno-rozpoznawczych lub dochodzeniowo-śledczych oraz akt w indywidualnych sprawach administracyjnych. W roku 2014 Komisja Bezpieczeństwa i Porządku  pracowała w następującym składzie: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Rafał Dutkiewicz – Prezydent Wrocławia, Przewodniczący Komisji;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Wojciech Adamski – Wiceprezydent Wrocławia z głosem doradczym;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Tomasz Newlaczyl – Komendant Miejski Państwowej Straży Pożarnej we Wrocławiu;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Zbigniew Słysz – Komendant Straży Miejskiej Wrocławia;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Stanisław Kosiarczyk – Dyrektor Wydziału Bezpieczeństwa i Zarządzania   Kryzysowego Urzędu Miejskiego Wrocławia;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przedstawiciele delegowani przez Radę Miejską:</w:t>
      </w:r>
    </w:p>
    <w:p w:rsidR="003D3BE9" w:rsidRDefault="003D3BE9">
      <w:pPr>
        <w:numPr>
          <w:ilvl w:val="1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Krzysztof Kilarski,</w:t>
      </w:r>
    </w:p>
    <w:p w:rsidR="003D3BE9" w:rsidRDefault="003D3BE9">
      <w:pPr>
        <w:numPr>
          <w:ilvl w:val="1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Andrzej Nabzdyk;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przedstawiciele delegowani przez Komendanta Miejskiego Policji: </w:t>
      </w:r>
    </w:p>
    <w:p w:rsidR="003D3BE9" w:rsidRDefault="003D3BE9">
      <w:pPr>
        <w:numPr>
          <w:ilvl w:val="1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Jacek Kaczmarek – Komendant Miejski Policji we Wrocławiu,</w:t>
      </w:r>
    </w:p>
    <w:p w:rsidR="003D3BE9" w:rsidRDefault="003D3BE9">
      <w:pPr>
        <w:numPr>
          <w:ilvl w:val="1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Arkadiusz Małecki – Zastępca Komendanta Miejskiego Policji we Wrocławiu;</w:t>
      </w:r>
    </w:p>
    <w:p w:rsidR="003D3BE9" w:rsidRDefault="003D3BE9">
      <w:pPr>
        <w:numPr>
          <w:ilvl w:val="0"/>
          <w:numId w:val="18"/>
        </w:numPr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przedstawiciel wskazany przez Prokuratora Okręgowego we Wrocławiu – Katarzyna Kwiatkowska – prokurator Prokuratury Okręgowej we Wrocławiu.</w:t>
      </w:r>
    </w:p>
    <w:p w:rsidR="003D3BE9" w:rsidRDefault="003D3BE9">
      <w:pPr>
        <w:pStyle w:val="Body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roku 2014 odbyły się dwa posiedzenia Komisji. Pierwsze posiedzenie miało miejsce dnia 30 maja 2014 roku we Wrocławiu przy placu Nowy Targ 1-8.</w:t>
      </w:r>
    </w:p>
    <w:p w:rsidR="003D3BE9" w:rsidRDefault="003D3BE9">
      <w:pPr>
        <w:pStyle w:val="11Trescpisma"/>
      </w:pPr>
      <w:r>
        <w:t>Na posiedzeniu poruszano następujące zagadnienia:</w:t>
      </w:r>
    </w:p>
    <w:p w:rsidR="003D3BE9" w:rsidRDefault="003D3BE9">
      <w:pPr>
        <w:pStyle w:val="11Trescpisma"/>
      </w:pPr>
      <w:r>
        <w:t>-informacja o ocenie stanu bezpieczeństwa na terenie miasta Wrocławia za pierwszy kwartał 2014 roku – wystąpienia Komendantów Policji, Straży Miejskiej i Straży Pożarnej,</w:t>
      </w:r>
    </w:p>
    <w:p w:rsidR="003D3BE9" w:rsidRDefault="003D3BE9">
      <w:pPr>
        <w:pStyle w:val="11Trescpisma"/>
      </w:pPr>
      <w:r>
        <w:t xml:space="preserve">-krótka informacja na temat zaawansowania prac w ramach „Projektu Ochrony Przeciwpowodziowej Dorzecza Odry” - wystąpienie Dyrektora Wydziału Bezpieczeństwa i Zarządzania Kryzysowego Pana Stanisława Kosiarczyka. </w:t>
      </w:r>
    </w:p>
    <w:p w:rsidR="003D3BE9" w:rsidRDefault="003D3BE9">
      <w:pPr>
        <w:pStyle w:val="11Trescpisma"/>
      </w:pPr>
      <w:r>
        <w:t>W dniu 17 czerwca 2014 r. w siedzibie Centrum Zarządzania Kryzysowego Wydziału Bezpieczeństwa i Zarządzania Kryzysowego przy ul. Strzegomskiej 148, odbyło się posiedzenie Powiatowego Zespołu Zarządzania Kryzysowego pod przewodnictwem  wiceprezydenta Wrocławia Wojciecha Adamskiego, w obecności wszystkich służb, które są reprezentowane w Komisji Bezpieczeństwa i Porządku. Dotyczyło ono zapewnienia bezpieczeństwa wypoczywającym w okresie letnim 2014 r.</w:t>
      </w:r>
    </w:p>
    <w:p w:rsidR="003D3BE9" w:rsidRDefault="003D3BE9">
      <w:pPr>
        <w:pStyle w:val="BodyText"/>
      </w:pPr>
      <w:r>
        <w:rPr>
          <w:rFonts w:ascii="Verdana" w:hAnsi="Verdana" w:cs="Verdana"/>
        </w:rPr>
        <w:t>Drugie posiedzenie Komisji  odbyło się dnia 8 października 2014 roku we Wrocławiu przy placu Nowy Targ 1-8. Na posiedzeniu poruszano następujące zagadnienia</w:t>
      </w:r>
      <w:r>
        <w:t>:</w:t>
      </w:r>
    </w:p>
    <w:p w:rsidR="003D3BE9" w:rsidRDefault="003D3BE9">
      <w:pPr>
        <w:pStyle w:val="11Trescpisma"/>
      </w:pPr>
      <w:r>
        <w:t>-informacja o ocenie stanu bezpieczeństwa na terenie miasta Wrocławia po trzecim kwartale 2014 roku – wystąpienia Komendantów Policji, Straży Miejskiej i Straży Pożarnej,</w:t>
      </w:r>
    </w:p>
    <w:p w:rsidR="003D3BE9" w:rsidRDefault="003D3BE9">
      <w:pPr>
        <w:pStyle w:val="11Trescpisma"/>
      </w:pPr>
      <w:r>
        <w:t>-Mistrzostwa Świata w piłce siatkowej, ocena przebiegu imprezy we Wrocławiu pod kątem bezpieczeństwa - wystąpienia przedstawicieli Policji i Straży Miejskiej.</w:t>
      </w:r>
    </w:p>
    <w:p w:rsidR="003D3BE9" w:rsidRDefault="003D3BE9">
      <w:pPr>
        <w:pStyle w:val="Style3"/>
        <w:widowControl/>
        <w:spacing w:before="38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związku z ustaniem członkostwa jednego z członków komisji przed upływem kadencji, spowodowanym wygaśnięciem mandatu radnego, nie doszło do grudniowego spotkania komisji, która zbierze się ponownie po przeprowadzeniu stosownych procedur formalnych.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pStyle w:val="Heading6"/>
        <w:tabs>
          <w:tab w:val="left" w:pos="5085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SPRAWY OBRONNE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minionym roku główny wysiłek był skierowany na:</w:t>
      </w:r>
    </w:p>
    <w:p w:rsidR="003D3BE9" w:rsidRDefault="003D3BE9">
      <w:pPr>
        <w:ind w:left="720" w:hanging="1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prowadzenie spraw związanych z przygotowaniem oraz przeprowadzeniem rejestracji osób na potrzeby kwalifikacji wojskowej oraz  samej kwalifikacji,</w:t>
      </w:r>
    </w:p>
    <w:p w:rsidR="003D3BE9" w:rsidRDefault="003D3BE9">
      <w:pPr>
        <w:ind w:left="720" w:hanging="1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prowadzeniu spraw z zakresu świadczeń na rzecz obrony, w tym świadczeń osobistych i rzeczowych,</w:t>
      </w:r>
    </w:p>
    <w:p w:rsidR="003D3BE9" w:rsidRDefault="003D3BE9">
      <w:pPr>
        <w:ind w:left="720" w:hanging="1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aktualizacji „Planu Operacyjnego Funkcjonowania Urzędu Miejskiego Wrocławia w czasie zagrożenia bezpieczeństwa państwa i w czasie wojny, </w:t>
      </w:r>
    </w:p>
    <w:p w:rsidR="003D3BE9" w:rsidRDefault="003D3BE9">
      <w:pPr>
        <w:ind w:left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aktualizacji dokumentacji „Stałego Dyżuru” Prezydenta Wrocławia na wypadek zagrożenia bezpieczeństwa państwa i na czas wojny,</w:t>
      </w:r>
    </w:p>
    <w:p w:rsidR="003D3BE9" w:rsidRDefault="003D3BE9">
      <w:pPr>
        <w:ind w:left="708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0"/>
          <w:szCs w:val="20"/>
        </w:rPr>
        <w:t>- aktualizacji „Planu Przygotowań podmiotów leczniczych Wrocławia na potrzeby obronne miasta”.</w:t>
      </w:r>
    </w:p>
    <w:p w:rsidR="003D3BE9" w:rsidRDefault="003D3BE9">
      <w:pPr>
        <w:pStyle w:val="BodyText3"/>
        <w:jc w:val="both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Rozpoczęto szeroko pojętą aktualizację dokumentów dotyczących realizacji zadań obronnych, a w szczególności „Planu Operacyjnego Funkcjonowania Urzędu Miejskiego Wrocławia w czasie zagrożenia bezpieczeństwa państwa i w czasie wojny”. Dokonano rozdziału zadań operacyjnych na poszczególne komórki organizacyjne Urzędu Miejskiego Wrocławia oraz jednostki organizacyjne miasta i opracowano dla nich karty realizacji zadań operacyjnych. Ponadto, kontynuowane są działania związane z opracowaniem „Regulaminu organizacyjnego funkcjonowania Urzędu Miejskiego Wrocławia w czasie zagrożenia bezpieczeństwa państwa i w czasie wojny”. </w:t>
      </w:r>
    </w:p>
    <w:p w:rsidR="003D3BE9" w:rsidRDefault="003D3BE9">
      <w:pPr>
        <w:pStyle w:val="BodyText3"/>
        <w:tabs>
          <w:tab w:val="left" w:pos="1440"/>
        </w:tabs>
        <w:jc w:val="both"/>
        <w:rPr>
          <w:sz w:val="20"/>
          <w:szCs w:val="20"/>
        </w:rPr>
      </w:pPr>
      <w:r>
        <w:rPr>
          <w:sz w:val="20"/>
          <w:szCs w:val="20"/>
        </w:rPr>
        <w:t>Zgodnie z wytycznymi Wojewody Dolnośląskiego w sprawie realizacji zadań obronnych na 2014 rok aktualizowano dokumentację „Stałego Dyżuru” Prezydenta Wrocławia na wypadek zagrożenia bezpieczeństwa państwa i na czas wojny oraz Instrukcję Postępowania Dyspozytora Miejskiego Centrum Zarządzania Kryzysowego Wrocławia w przypadku otrzymania sygnału o</w:t>
      </w:r>
      <w:r>
        <w:t xml:space="preserve"> </w:t>
      </w:r>
      <w:r>
        <w:rPr>
          <w:sz w:val="20"/>
          <w:szCs w:val="20"/>
        </w:rPr>
        <w:t xml:space="preserve">zagrożeniu lub uruchomieniu określonej akcji (kurierskiej, rozplakatowania obwieszczeń, inne). </w:t>
      </w:r>
    </w:p>
    <w:p w:rsidR="003D3BE9" w:rsidRDefault="003D3BE9">
      <w:pPr>
        <w:pStyle w:val="BodyText3"/>
        <w:tabs>
          <w:tab w:val="left" w:pos="1440"/>
        </w:tabs>
        <w:jc w:val="both"/>
        <w:rPr>
          <w:sz w:val="20"/>
          <w:szCs w:val="20"/>
        </w:rPr>
      </w:pPr>
      <w:r>
        <w:rPr>
          <w:sz w:val="20"/>
          <w:szCs w:val="20"/>
        </w:rPr>
        <w:t>W 2014 roku zaktualizowano oraz kontynuowano czynności w zakresie opracowania dokumentacji Punktu Kontaktowego HNS (PK) – z uwzględnieniem potrzeb przygotowania zespołów i osób przewidywanych do realizacji zadań cywilno – wojskowych (Civil- Military Cooperation – CIMIC), uruchomianych przez właściwych dowódców NATO w rejonie Wrocławia.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Zgodnie z wytycznymi Wojewody Dolnośląskiego w sprawie zasad przygotowań obronnych i ochrony zdrowia do działań w roku 2014, w przypadku wystąpienia zdarzeń nadzwyczajnych, sytuacji kryzysowych, zagrożenia bezpieczeństwa państwa i w czasie wojny dokonano aktualizacji „Planu przygotowań podmiotów leczniczych Wrocławia na potrzeby obronne miasta”.</w:t>
      </w:r>
    </w:p>
    <w:p w:rsidR="003D3BE9" w:rsidRDefault="003D3BE9">
      <w:pPr>
        <w:pStyle w:val="BodyText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 zakresie przeprowadzenia kwalifikacji wojskowej: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Realizując plan za rok 2014 dział przygotował i przeprowadził kwalifikację</w:t>
      </w:r>
      <w:r>
        <w:rPr>
          <w:sz w:val="20"/>
          <w:szCs w:val="20"/>
        </w:rPr>
        <w:br/>
        <w:t>wojskową rocznika 1995 i roczników 1990-94 dla miasta Wrocławia. W roku sprawozdawczym we Wrocławiu działały trzy Powiatowe Komisje Lekarskie.</w:t>
      </w:r>
    </w:p>
    <w:p w:rsidR="003D3BE9" w:rsidRDefault="003D3BE9">
      <w:pPr>
        <w:pStyle w:val="BodyText3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W celu ich prawidłowego działania w terminie od 3 lutego 2014 roku</w:t>
      </w:r>
      <w:r>
        <w:rPr>
          <w:sz w:val="20"/>
          <w:szCs w:val="20"/>
        </w:rPr>
        <w:br/>
        <w:t>do 25 kwietnia 2014 roku :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- użyczono pomieszczeń w placówkach kulturalnych,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- zabezpieczono składy lekarzy i średniego personelu medycznego,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- zawarto umowę z wybraną przychodnią lekarską na wykonanie badań  specjalistycznych osobom podlegającym kwalifikacji wojskowej.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W 2014 roku wezwano 2525 mężczyzn podlegających kwalifikacji wojskowej rocznika podstawowego, z czego zgłosiło się 2161, wezwano również 760</w:t>
      </w:r>
      <w:r>
        <w:rPr>
          <w:sz w:val="20"/>
          <w:szCs w:val="20"/>
        </w:rPr>
        <w:br/>
        <w:t>mężczyzn roczników starszych a zgłosiło się 182. Wszyscy otrzymali orzeczenia</w:t>
      </w:r>
      <w:r>
        <w:rPr>
          <w:sz w:val="20"/>
          <w:szCs w:val="20"/>
        </w:rPr>
        <w:br/>
        <w:t>o zdolności do czynnej służby wojskowej a zgłaszający się po raz pierwszy</w:t>
      </w:r>
      <w:r>
        <w:rPr>
          <w:sz w:val="20"/>
          <w:szCs w:val="20"/>
        </w:rPr>
        <w:br/>
        <w:t>książeczkę wojskową. Przebadano również 52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kobiety.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Na badania specjalistyczne skierowano 42 osób podlegających kwalifikacji</w:t>
      </w:r>
      <w:r>
        <w:rPr>
          <w:sz w:val="20"/>
          <w:szCs w:val="20"/>
        </w:rPr>
        <w:br/>
        <w:t>wojskowej.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Skierowano 851 wniosków o przymusowe doprowadzenie przez Policję, </w:t>
      </w:r>
      <w:r>
        <w:rPr>
          <w:sz w:val="20"/>
          <w:szCs w:val="20"/>
        </w:rPr>
        <w:br/>
        <w:t>z czego doprowadzono 170 osób. W pozostałych przypadkach sporządzono notatki podające przyczyny nie zgłoszenia się osób podlegających kwalifikacji wojskowej.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 orzeczenia Powiatowej Komisji Lekarskiej odwołanie złożyła 1 osoba. 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W roku sprawozdawczym przygotowano i wydano 4 decyzje o uznaniu żołnierza za posiadającego na wyłącznym utrzymaniu członków rodziny.</w:t>
      </w:r>
    </w:p>
    <w:p w:rsidR="003D3BE9" w:rsidRDefault="003D3BE9">
      <w:pPr>
        <w:pStyle w:val="BodyText3"/>
        <w:jc w:val="both"/>
        <w:rPr>
          <w:sz w:val="20"/>
          <w:szCs w:val="20"/>
        </w:rPr>
      </w:pPr>
      <w:r>
        <w:rPr>
          <w:sz w:val="20"/>
          <w:szCs w:val="20"/>
        </w:rPr>
        <w:t>Sporządzono 108 notatek służbowych w sprawie wymeldowania decyzją administracyjną osób, które opuściły miejsce pobytu stałego lub czasowego trwającego ponad trzy miesiące i nie dopełniły obowiązku wymeldowania się oraz zaktualizowano rejestry osób o nieuregulowanym stosunku do czynnej służby wojskowej obejmujące roczniki 1990-1994.</w:t>
      </w:r>
    </w:p>
    <w:p w:rsidR="003D3BE9" w:rsidRDefault="003D3BE9">
      <w:pPr>
        <w:pStyle w:val="BodyTextIndent2"/>
        <w:ind w:firstLine="0"/>
        <w:rPr>
          <w:sz w:val="20"/>
          <w:szCs w:val="20"/>
        </w:rPr>
      </w:pPr>
      <w:r>
        <w:rPr>
          <w:sz w:val="20"/>
          <w:szCs w:val="20"/>
        </w:rPr>
        <w:t>Pracownicy Działu Bezpieczeństwa i Spraw Obronnych a także pracownicy Wojskowej Komendy Uzupełnień we Wrocławiu wykazali się dużym zaangażowaniem w przygotowaniu i przeprowadzeniu kwalifikacji wojskowej zarówno pod względem organizacyjnym jak i merytorycznym.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 zakresie świadczeń na rzecz obrony.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Realizowano na bieżąco zadania związane z nakładaniem świadczeń osobistych i rzeczowych na rzecz Sił Zbrojnych, oraz jednostek organizacyjnych wykonujących zadania na potrzeby obrony Państwa.</w:t>
      </w:r>
    </w:p>
    <w:p w:rsidR="003D3BE9" w:rsidRDefault="003D3BE9">
      <w:pPr>
        <w:pStyle w:val="BodyTextIndent2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W 2014 roku wydano 257 decyzji administracyjnych, w tym :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nakładające świadczenia rzeczowe - 95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nakładające świadczenia osobiste - 93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nakładające świadczenia na nieruchomości - 1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zmieniające świadczenia rzeczowe - 3</w:t>
      </w:r>
    </w:p>
    <w:p w:rsidR="003D3BE9" w:rsidRDefault="003D3BE9">
      <w:pPr>
        <w:pStyle w:val="11Trescpisma"/>
        <w:spacing w:before="0"/>
      </w:pPr>
      <w:r>
        <w:t>zmieniające świadczenia osobiste - 1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uchylające świadczenia rzeczowe - 57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uchylające świadczenia osobiste - 6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uchylające świadczenia na nieruchomości - 1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Od jednej z w/w decyzji wniesiono odwołanie</w:t>
      </w:r>
      <w:r>
        <w:rPr>
          <w:rFonts w:ascii="Verdana" w:hAnsi="Verdana" w:cs="Verdana"/>
          <w:color w:val="000000"/>
          <w:sz w:val="20"/>
          <w:szCs w:val="20"/>
        </w:rPr>
        <w:t>. Decyzja została utrzymana w mocy przez organ wyższej instancji.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Realizację zadań z zakresu oględzin nieruchomości i rzeczy ruchomych, które, stosownie do zgłoszonych wniosków i własnych potrzeb były przedmiotem świadczeń rzeczowych, prowadzono zgodnie z „Planem oględzin stanu utrzymania nieruchomości i rzeczy ruchomych przeznaczonych na cele świadczeń proponowanych do przeprowadzenia w 2014 roku” przesłanym przez Wojskową Komendę Uzupełnień we Wrocławiu, oraz wybiórczo przez</w:t>
      </w:r>
      <w:r>
        <w:rPr>
          <w:rFonts w:ascii="Verdana" w:hAnsi="Verdana" w:cs="Verdana"/>
          <w:color w:val="FF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osobę prowadzącą świadczenia na rzecz obrony.</w:t>
      </w:r>
      <w:r>
        <w:rPr>
          <w:rFonts w:ascii="Verdana" w:hAnsi="Verdana" w:cs="Verdana"/>
          <w:color w:val="FF0000"/>
          <w:sz w:val="20"/>
          <w:szCs w:val="20"/>
        </w:rPr>
        <w:t xml:space="preserve">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2014 roku w 10 przedsiębiorstwach i jednostkach organizacyjnych Wrocławia przeprowadzono oględziny nieruchomości i rzeczy ruchomych. W oględzinach uczestniczyli przedstawiciele Wojskowej Komendy Uzupełnień we Wrocławiu oraz przedstawiciele jednostek wojskowych Sił Zbrojnych RP a także jednostek organizacyjnych wykonujących zadania na potrzeby obrony Państwa.</w:t>
      </w:r>
    </w:p>
    <w:p w:rsidR="003D3BE9" w:rsidRDefault="003D3BE9">
      <w:pPr>
        <w:jc w:val="both"/>
        <w:rPr>
          <w:rFonts w:cs="Times New Roman"/>
        </w:rPr>
      </w:pPr>
      <w:r>
        <w:rPr>
          <w:rFonts w:ascii="Verdana" w:hAnsi="Verdana" w:cs="Verdana"/>
          <w:sz w:val="20"/>
          <w:szCs w:val="20"/>
        </w:rPr>
        <w:t>Większość kierowników jednostek organizacyjnych oraz przedsiębiorców akceptuje i widzi potrzebę realizacji zadań obronnych, w tym wykonywania świadczeń na rzecz obrony Państwa. Na uwagę zasługuje firma Dolnośląskie Linie Autobusowe oraz Szkoła Podstawowa nr 118. Jednostki te sprawy obronne traktują jako element niezbędny i korzystny dla firmy, który może pełnić ważną rolę w sytuacjach związanych z powstaniem różnego rodzaju zagrożeń.</w:t>
      </w:r>
      <w:r>
        <w:rPr>
          <w:rFonts w:cs="Times New Roman"/>
        </w:rPr>
        <w:t xml:space="preserve"> </w:t>
      </w:r>
    </w:p>
    <w:p w:rsidR="003D3BE9" w:rsidRDefault="003D3BE9">
      <w:pPr>
        <w:pStyle w:val="BodyText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</w:rPr>
        <w:t>Współpraca z Wojskową Komendą Uzupełnień we Wrocławiu układa się bez większych zastrzeżeń. Wspomnieć też należy o bardzo dobrej współpracy w zakresie świadczeń na rzecz obrony z Polskim Radiem Regionalną Rozgłośnią we Wrocławiu „Radio Wrocław S.A.”</w:t>
      </w:r>
    </w:p>
    <w:p w:rsidR="003D3BE9" w:rsidRDefault="003D3BE9">
      <w:pPr>
        <w:pStyle w:val="Heading6"/>
      </w:pPr>
      <w:r>
        <w:rPr>
          <w:sz w:val="22"/>
          <w:szCs w:val="22"/>
        </w:rPr>
        <w:t>OCHRONA PRZECIWPOŻAROWA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Dział ochrony przeciwpożarowej realizował w roku 2014 zadania dotyczące: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ochrony przeciwpożarowej w obiektach własnych,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kontroli realizacji zaleceń wydanych w związku z uchybieniami stwierdzonymi w poprzednim okresie,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uczestnictwo w praktycznym sprawdzeniu organizacji i warunków ewakuacji. i w obiektach użyteczności publicznej,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kontroli obiektów w których organizowany był wypoczynek dzieci w okresie ferii zimowych i wakacji,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okresowych analiz stanu ochrony przeciwpożarowej,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szkoleń pracowników działu ochrony przeciwpożarowej.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Realizacja zadań związanych z ochroną przeciwpożarową w obiektach własnych gminy.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Zaplanowano i przeprowadzono 67 kontroli w obiektach użyteczności publicznej.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Podczas kontroli obiektów własnych gminy skupiono się na tych, w których w myśl rozporządzenia Ministra Spraw Wewnętrznych i Administracji z dnia 7.06.2010 r., w sprawie ochrony ppoż. budynków, innych obiektów budowlanych i terenów (Dz. U. nr 109 poz.719) mogły wystąpić warunki stanowiące podstawę do uznania użytkowanych budynków za zagrażające życiu ludzi, kontrolowanych w stosunkowo odległym okresie czasu oraz w tych, w których realizowano wypoczynek dla dzieci i młodzieży w okresie ferii zimowych i letnich.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Zakres tematyczny kontroli obejmował zapewnienie przez zarządzających obiektami ochrony przeciwpożarowej, a w szczególności: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1) przestrzeganie przeciwpożarowych wymagań techniczno-budowlanych, instalacyjnych i technologicznych;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2) wyposażenie budynku, obiektu budowlanego lub terenu w wymagane urządzenia przeciwpożarowe i gaśnice;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3) konserwację oraz naprawy urządzeń przeciwpożarowych i gaśnic w sposób gwarantujący ich sprawne i niezawodne funkcjonowanie;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4) zapewnienie osobom przebywającym w budynku, obiekcie budowlanym lub na terenie, bezpieczeństwa i możliwość ewakuacji;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5) przygotowanie budynku, obiektu budowlanego lub terenu do prowadzenia akcji ratowniczej;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6) zapoznanie pracowników z przepisami przeciwpożarowymi;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7) ustalenie sposobów postępowania na wypadek powstania pożaru, klęski żywiołowej lub innego miejscowego zagrożenia.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Kontrola realizacji zaleceń wydanych w związku z uchybieniami stwierdzonymi w poprzednim okresie.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Kontrole takie dokonywane były także podczas treningów ewakuacji.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O stanie bezpieczeństwa pożarowego szkól i przedszkoli powiadomiono Wydział Edukacji. W informacji tej ujęto min. wykaz placówek które nie zaplanowały sprawdzenia praktycznego warunków i organizacji ewakuacji.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Uczestnictwo w praktycznym sprawdzeniu organizacji i warunków ewakuacji i w obiektach użyteczności publicznej.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Pracownicy działu uczestniczyli w kontroli organizacji i warunków ewakuacji 307 obiektów zawierających strefę pożarową przeznaczoną dla ponad 50 osób, będących jej stałymi użytkownikami. W liczbie tej ujęte są również ewakuacje z 10 obiektów Urzędu Miejskiego Wrocławia.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roku 2014 ogółem zgłoszonych zostało 414 treningów ewakuacji, przy czym 5 z nich zgłoszono po terminie, a 5 odwołano. Bez udziału pracowników działu odbyło się 97 próbnych ewakuacji.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Ponadto uczestniczono w próbach ewakuacji w obiektach nie podległych Urzędowi Miejskiemu Wrocławia tj.: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Ekologiczne Przedszkole Niepubliczne,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Columbus,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Logikus,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Pitagoras,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Omnibus,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Galileo,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Cogito,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Przedszkole Leonardo,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Wrocław International School,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Szkoła Policealna Vademecum,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Społeczne Gimnazjum Amigo,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Policealna Szkoła Cosinus.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Z każdego uczestnictwa sporządzono protokół, a wnioski przekazano na bieżąco dyrektorom poszczególnych placówek. Zawierały one min: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- przypomnienie dyrektorom placówek oświatowych i kulturalnych podległych Wydziałowi Edukacji, o obowiązku przeprowadzenia praktycznego sprawdzenia organizacji i warunków ewakuacji 2 razy do roku, po jednej w każdym półroczu /ze względu na zmieniający się stan osobowy/. 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zwrócenie uwagi obowiązek oznakowania znakami zgodnymi z Polskimi Normami dotyczącymi znaków bezpieczeństwa: dróg ewakuacyjnych, miejsc usytuowania urządzeń przeciwpożarowych, elementów sterujących urządzeniami przeciwpożarowymi, przeciwpożarowych wyłączników prądu, kurków głównych instalacji gazowej i gaśnic.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Kontrola obiektów, w których organizowany był wypoczynek dzieci w okresie ferii zimowych i wakacji.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związku z organizowanym wypoczynkiem dla dzieci i młodzieży w okresie ferii zimowych i letnich dokonano oceny zabezpieczenia ppoż. szkól i placówek w: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-styczniu 38,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-czerwcu 4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-grudniu 12.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Informację przesłano do Komendy Miejskiej Państwowej Straży Pożarnej we Wrocławiu.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Kontrole obejmowały min. następujące zagadnienia: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-aktualność instrukcji bezpieczeństwa pożarowego,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-aktualność przeglądów gaśnic i hydrantów,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-prawidłowość oznakowania obiektu znakami ewakuacji i bezpieczeństwa,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-aktualność badań instalacji elektrycznej,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-aktualność badań instalacji odgromowej,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-aktualność badań instalacji gazowej,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-zapoznanie pracowników z instrukcją bezpieczeństwa pożarowego,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</w:rPr>
        <w:t>-prowadzenie praktycznego sprawdzenia organizacji i warunków ewakuacji.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Wykonano 2 analizy stanu ochrony przeciwpożarowej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Szkolenie pracowników działu ochrony przeciwpożarowej.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Niezależnie od szkoleń wewnętrznych pracownicy działu uczestniczyli w szkoleniach organizowanych przez Komendę Wojewódzką Państwowej Straży Pożarnej, Komendę Miejską PSP, Naczelnej Organizacji Technicznej, Stowarzyszenie Inżynierów i Techników Pożarnictwa, Stowarzyszenie Inżynierów Budownictwa, itp.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Uczestniczono w seminariach i konferencjach o tematyce: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1.Instalacje elektryczne i Automatyka Budowlana-instalacje sygnalizacji alarmu pożaru, wentylacja pożarowa - listopad 2014.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2.Instalacje sanitarne i technika grzewcza- październik 2014.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3. Ochrona przeciwpożarowa – organizator – Siemens - Stowarzyszenie Inżynierów i Techników Pożarnictwa- wrzesień 2014.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4.Architektura i Budownictwo – systemy bezpieczeństwa, ochrona przed przepięciami- sierpień 2014.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5.Instalacje elektryczne i automatyka przemysłowa-nowoczesne systemy detekcji gazów w przemyśle, garażach obiektach publicznych- czerwiec 2014</w:t>
      </w:r>
    </w:p>
    <w:p w:rsidR="003D3BE9" w:rsidRDefault="003D3BE9">
      <w:pPr>
        <w:pStyle w:val="BodyText"/>
        <w:suppressAutoHyphens/>
        <w:jc w:val="both"/>
        <w:rPr>
          <w:rFonts w:ascii="Verdana" w:hAnsi="Verdana" w:cs="Verdana"/>
        </w:rPr>
      </w:pPr>
    </w:p>
    <w:p w:rsidR="003D3BE9" w:rsidRDefault="003D3BE9">
      <w:pPr>
        <w:pStyle w:val="Heading4"/>
      </w:pPr>
      <w:r>
        <w:t>OBRONA CYWILNA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Zadania z zakresu obrony cywilnej realizowano zgodnie z Rocznym Planem Działania Szefa Obrony Cywilnej Wrocławia w 2014 roku.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2014 roku na zaplanowane 22 kontrole w instytucjach państwowych,                              u przedsiębiorców i innych jednostkach organizacyjnych zrealizowano 19. Przełożono na 2015 rok 1 z powodu zmiany właściciela a od 2 z powodu restrukturyzacji zakładu pracy.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Przeprowadzone kontrole wykazały wiele pozytywnych zmian w realizacji zadań obrony cywilnej. Wynikają one z ich akceptacji przez pracodawców, potrzeb związanych               z ochroną ludności, tworzeniem zakładowych formacji obrony cywilnej spełniających ważną rolę w sytuacjach związanych z reagowaniem na różnego rodzaju zagrożenia.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Występują jednak zakłady pracy, których kierownictwo bez przekonania wykonują zadania obrony cywilnej, a do prowadzenia wyznaczają osoby przypadkowe, często nie znające tej problematyki.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Uzgodniono 139 Rocznych Planów Działania Obrony Cywilnej na 2014 r.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ramach szkolenia z obrony cywilnej i powszechnej samoobrony ludności we Wrocławiu (według przysłanych sprawozdań) zostało przeszkolonych 15 297 osób.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2014 roku w budowlach ochronnych przeprowadzono: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- 27 kontroli interwencyjnych,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wykonano 10 rekontroli budowli ochronnych w zakładach pracy,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- 17 oględzin obiektów przeznaczonych do użyczenia lub dzierżawy,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- 5 kontroli budowli ochronnych będących w dzierżawie i użyczeniu,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- 59 wizji lokalnych oraz ocen stanów technicznych obiektów,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- 107 informacji i konsultacji dotyczących  budowli ochronnych,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- 11 budowli zdjęto ze stanu ze względu na zły stan techniczny,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- 3 budowle ochronne w 2014 r. były wydzierżawione,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- 5 budowle ochronne były użyczone.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Zawarto 3 nowe umowy użyczenia budowli ochronnych, 1 umowę dzierżawy oraz                  2 aneksy użyczenia.</w:t>
      </w:r>
    </w:p>
    <w:p w:rsidR="003D3BE9" w:rsidRDefault="003D3BE9">
      <w:pPr>
        <w:pStyle w:val="BodyText"/>
        <w:rPr>
          <w:rFonts w:ascii="Verdana" w:hAnsi="Verdana" w:cs="Verdana"/>
        </w:rPr>
      </w:pPr>
      <w:r>
        <w:rPr>
          <w:rFonts w:ascii="Verdana" w:hAnsi="Verdana" w:cs="Verdana"/>
        </w:rPr>
        <w:t>Wykonano prace budowlane remontowe, zabezpieczające i konserwacyjne na kwotę brutto 15,000 zł.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ramach utrzymania w stałej gotowości powszechnego systemu o zagrożeniach              i stanach kryzysowych dokonano konserwacji syren alarmowych i urządzeń sterujących     w 28  foniczno-dźwiękowych punktach alarmowych 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Zdemontowano trzy syreny mechaniczne ze względu na zły stan techniczny i brak części zamiennych. Uczestniczono w jednym ogólnopolskim treningu systemu ostrzegania i alarmowania. Dokonano zmian w elementach struktury w systemie wykrywania i alarmowania (drużyny łączności i alarmowania, sekcje łączności i alarmowania, punkty alarmowania) w 63 jednostkach administracyjnych, zakładach pracy i instytucjach).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Zaktualizowano Powiatowy Plan Ochrony Zabytków Wrocławia.</w:t>
      </w:r>
    </w:p>
    <w:p w:rsidR="003D3BE9" w:rsidRDefault="003D3BE9">
      <w:pPr>
        <w:pStyle w:val="BodyText"/>
      </w:pPr>
      <w:r>
        <w:rPr>
          <w:rFonts w:ascii="Verdana" w:hAnsi="Verdana" w:cs="Verdana"/>
        </w:rPr>
        <w:t>Udzielono 15 konsultacji jednostkom organizacyjnym w zakresie opracowania planów ochrony zabytków</w:t>
      </w:r>
      <w:r>
        <w:t>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Magazyny sprzętu przeciwpowodziowego i obrony cywilnej utrzymywane są                    w 4 obiektach na terenie Wrocławia. W magazynach przeciwpowodziowych przy            ul. Strzegomskiej 180 wykonano naprawę i konserwację dachu na kwotę 27 723,00 zł.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Kontrolę przechowywania i utrzymania sprzętu obrony cywilnej przeprowadzono                     w 13 instytucjach, przedsiębiorstwach i jednostkach organizacyjnych Wrocławia,              sprzęt przechowywany jest w dobrych warunkach. </w:t>
      </w:r>
    </w:p>
    <w:p w:rsidR="003D3BE9" w:rsidRDefault="003D3BE9">
      <w:pPr>
        <w:pStyle w:val="11Trescpisma"/>
        <w:spacing w:before="0"/>
      </w:pPr>
      <w:r>
        <w:t>Uzupełniono sprzęt w 15 instytucjach przedsiębiorstwach i jednostkach organizacyjnych           a w 8 zredukowano.  Wybrakowany sprzęt z lat ubiegłych przekazano do magazynu Wydziału Bezpieczeństwa  i Zarządzania Kryzysowego Dolnośląskiego Urzędu Wojewódzkiego celem jego utylizacji.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Udzielono 114 konsultacji w zakresie konserwacji i prowadzenia dokumentacji materiałowej sprzętu obrony cywilnej.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Wystawiono 9 dokumentów przyjęcia środków trwałych OT (dowód księgowy nowego środka trwałego). Były to środki zakupione a także nieodpłatnie przyjęte na podstawie decyzji sądu. Środki te przyjęto na stan Wydziału i zostały ujęte w księgach inwentarzowych.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Dodatkowo zakupiono środki trwałe niskocenne o łącznej wartości 15 501,77 zł., które ujęto w ewidencji ilościowo-wartościowej.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Dokonano zakupu jednej licencji na potrzeby zintegrowania systemu monitorowania wizyjnego CCTV (od ang. </w:t>
      </w:r>
      <w:r>
        <w:rPr>
          <w:rFonts w:ascii="Verdana" w:hAnsi="Verdana" w:cs="Verdana"/>
          <w:sz w:val="20"/>
          <w:szCs w:val="20"/>
          <w:lang w:val="en-US"/>
        </w:rPr>
        <w:t xml:space="preserve">Closed-circuit television, dosł. </w:t>
      </w:r>
      <w:r>
        <w:rPr>
          <w:rFonts w:ascii="Verdana" w:hAnsi="Verdana" w:cs="Verdana"/>
          <w:sz w:val="20"/>
          <w:szCs w:val="20"/>
        </w:rPr>
        <w:t xml:space="preserve">Telewizja o zamkniętym obwodzie) Miasta Wrocławia o wartości 12 300,00 zł.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 stan WBiZK przyjęto również Modyfikację Systemu EZD (Elektroniczne Zarządzanie Dokumentacją) o wartości 661 740,00 zł. zakupioną w ramach „Projektu współfinansowanego przez Unię Europejską ze środków Europejskiego Funduszu Rozwoju Regionalnego w ramach Regionalnego Programu Operacyjnego Województwa Dolnośląskiego na lata 2007-2013”.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Wszystkie środki zostały odpowiednio opisane i oznakowane wg obowiązujących przepisów.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Dokonano nieodpłatnego przekazania na podstawie protokołu przekazania-przyjęcia PT (środka trwałego) samochodu osobowego NISSAN QASHQAI do Straży Miejskiej Wrocławia. Podpisano trzy umowy użyczenia na sprzęt będący własnością Gminy Wrocław. W ramach inwentaryzacji składników majątku dokonano w wydziale inwentaryzacji gruntów, wartości niematerialnych i prawnych oraz trudno dostępnych oglądowi środków trwałych przez powołane komisje spisowe. </w:t>
      </w:r>
    </w:p>
    <w:p w:rsidR="003D3BE9" w:rsidRDefault="003D3BE9">
      <w:pPr>
        <w:pStyle w:val="BodyText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Dokonano przeglądu środków trwałych będących na stanie Wydziału i zlikwidowano trzy pary noszy ze względu na ich duże zużycie i uszkodzenia w czasie ćwiczeń i akcji ratowniczych. Aby uniknąć kosztów związanych ze złomowaniem ww. sprzętu został on nieodpłatnie przekazany Grupie Ratownictwa Medycznego Polskiego Czerwonego Krzyża „Wrocław” do celów szkoleniowych.</w:t>
      </w: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Główny wysiłek w akcji kurierskiej skierowano na:</w:t>
      </w: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zaktualizowanie dokumentacji Planu Akcji Kurierskiej, </w:t>
      </w: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zaktualizowanie Planu rozplakatowania obwieszczeń na wypadek mobilizacji i na wypadek wojny na teranie Wrocławia,</w:t>
      </w: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aktualizację dokumentacji w zakresie  świadczeń osobistych,</w:t>
      </w:r>
    </w:p>
    <w:p w:rsidR="003D3BE9" w:rsidRDefault="003D3BE9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prowadzeniu spraw z zakresu świadczeń osobistych na rzecz obrony, w zakresie akcji kurierskiej.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Opracowano „Plan akcji kurierskiej” oraz aktualizacji zadań związanych z nakładaniem świadczeń osobistych na rzecz Sił Zbrojnych.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-1"/>
          <w:sz w:val="20"/>
          <w:szCs w:val="20"/>
        </w:rPr>
        <w:t xml:space="preserve">Przeprowadzono dwuetapowe szkolenie osób, biorących udział w akcji kurierskiej. </w:t>
      </w:r>
      <w:r>
        <w:rPr>
          <w:rFonts w:ascii="Verdana" w:hAnsi="Verdana" w:cs="Verdana"/>
          <w:spacing w:val="-1"/>
          <w:sz w:val="20"/>
          <w:szCs w:val="20"/>
        </w:rPr>
        <w:br/>
        <w:t xml:space="preserve">W dniach od 24 października do 14 listopada 2014 roku było szkolenie w formie elektronicznej (program Lotus) szkolenie kurierów przewidzianych do doręczania kart powołania żołnierzom rezerwy do czynnej służby wojskowej oraz wezwań do wykonania świadczeń na rzecz Sił Zbrojnych. </w:t>
      </w:r>
      <w:r>
        <w:rPr>
          <w:rFonts w:ascii="Verdana" w:hAnsi="Verdana" w:cs="Verdana"/>
          <w:sz w:val="20"/>
          <w:szCs w:val="20"/>
        </w:rPr>
        <w:t>Przeszkolonych zostało 336 osób. Szkolenie praktyczne kurierów-wykonawców, kurierów-łączników, kurierów oraz osób wyznaczonych do bezpośredniego rozplakatowania obwieszczeń na wypadek ogłoszenia mobilizacji lub wypadek wojny odbyło się w dniach od 2 grudnia do dnia 4 grudnia 2014 roku. Przeszkolonych zostało 76 osób. Łącznie przeszkolono 402 osoby.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Wydano 144 decyzje administracyjne: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- 87 decyzji w sprawie przeznaczenia do wykonania świadczeń osobistych na rzecz obrony,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- 57  decyzji w sprawie uchylenia przeznaczenia do wykonania świadczeń osobistych na rzecz obrony.</w:t>
      </w:r>
    </w:p>
    <w:p w:rsidR="003D3BE9" w:rsidRDefault="003D3BE9">
      <w:pPr>
        <w:jc w:val="both"/>
        <w:rPr>
          <w:rFonts w:cs="Times New Roman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Wydano 1 postanowienie o zawieszeniu postępowania administracyjnego w sprawie </w:t>
      </w:r>
      <w:r>
        <w:rPr>
          <w:rFonts w:ascii="Verdana" w:hAnsi="Verdana" w:cs="Verdana"/>
          <w:snapToGrid w:val="0"/>
          <w:sz w:val="20"/>
          <w:szCs w:val="20"/>
        </w:rPr>
        <w:t>zwolnienia z obowiązku świadczenia osobistego</w:t>
      </w:r>
      <w:r>
        <w:rPr>
          <w:rFonts w:ascii="Verdana" w:hAnsi="Verdana" w:cs="Verdana"/>
          <w:sz w:val="20"/>
          <w:szCs w:val="20"/>
        </w:rPr>
        <w:t>. Od żadnej z ww. decyzji nie wniesiono odwołania. Współpraca z Wojskową Komendą Uzupełnień we Wrocławiu i Komendą Miejską Policji we Wrocławiu układa się bardzo dobrze.</w:t>
      </w:r>
      <w:r>
        <w:rPr>
          <w:rFonts w:cs="Times New Roman"/>
          <w:sz w:val="20"/>
          <w:szCs w:val="20"/>
        </w:rPr>
        <w:t xml:space="preserve"> </w:t>
      </w:r>
    </w:p>
    <w:p w:rsidR="003D3BE9" w:rsidRDefault="003D3BE9">
      <w:pPr>
        <w:pStyle w:val="CommentText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Utrzymanie obiektu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ramach realizacji zadań wyznaczonych harmonogramem prac w roku 2014 dotyczących utrzymania obiektu przy ul. Strzegomskiej 148 wykonano szereg czynności, które kształtują się następująco:</w:t>
      </w:r>
    </w:p>
    <w:p w:rsidR="003D3BE9" w:rsidRDefault="003D3BE9">
      <w:pPr>
        <w:ind w:left="720"/>
        <w:jc w:val="both"/>
        <w:rPr>
          <w:rFonts w:ascii="Verdana" w:hAnsi="Verdana" w:cs="Verdana"/>
          <w:color w:val="FF0000"/>
          <w:sz w:val="20"/>
          <w:szCs w:val="20"/>
          <w:highlight w:val="darkBlue"/>
        </w:rPr>
      </w:pPr>
      <w:r>
        <w:rPr>
          <w:rFonts w:ascii="Verdana" w:hAnsi="Verdana" w:cs="Verdana"/>
          <w:sz w:val="20"/>
          <w:szCs w:val="20"/>
        </w:rPr>
        <w:t xml:space="preserve">podjęto realizację zadania inwestycyjnego obejmującego prace instalacyjno-   budowlane dotyczące powiększenia obszaru wewnętrznego </w:t>
      </w:r>
      <w:r>
        <w:rPr>
          <w:rFonts w:ascii="Verdana" w:hAnsi="Verdana" w:cs="Verdana"/>
          <w:color w:val="000000"/>
          <w:sz w:val="20"/>
          <w:szCs w:val="20"/>
        </w:rPr>
        <w:t>na zaplecze parkingowe,</w:t>
      </w:r>
    </w:p>
    <w:p w:rsidR="003D3BE9" w:rsidRDefault="003D3BE9">
      <w:pPr>
        <w:numPr>
          <w:ilvl w:val="0"/>
          <w:numId w:val="27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wykonano   nowe oświetlenie  terenu  latarniami  z nowoczesnym oświetleniem energooszczędnym,   </w:t>
      </w:r>
    </w:p>
    <w:p w:rsidR="003D3BE9" w:rsidRDefault="003D3BE9">
      <w:pPr>
        <w:numPr>
          <w:ilvl w:val="0"/>
          <w:numId w:val="27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wykonano prace poprawiające funkcjonalność i estetykę obiektu - między innymi: podjazd dla niepełnosprawnych, nowy klomb z nasadzeniami, rozbudowano   zaplecze socjalne dla dyżurnych służb Centrum Zarządzania Kryzysowego i podstacji Pogotowia Ratunkowego, pomalowano i odnowiono niektóre pomieszczenia, położono nową nawierzchnię bitumiczną na terenie dróg wewnętrznych, </w:t>
      </w:r>
    </w:p>
    <w:p w:rsidR="003D3BE9" w:rsidRDefault="003D3BE9">
      <w:pPr>
        <w:numPr>
          <w:ilvl w:val="0"/>
          <w:numId w:val="27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przygotowano instalację elektryczną pod przyszłą modernizację systemu monitoringu zewnętrznego i wewnętrznego. </w:t>
      </w:r>
    </w:p>
    <w:p w:rsidR="003D3BE9" w:rsidRDefault="003D3BE9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Podpisano  nowe  umowy  z kontrahentami zapewniające ciągłość funkcjonowania obiektu:</w:t>
      </w:r>
    </w:p>
    <w:p w:rsidR="003D3BE9" w:rsidRDefault="003D3BE9">
      <w:pPr>
        <w:numPr>
          <w:ilvl w:val="0"/>
          <w:numId w:val="28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serwis  węzła   cieplnego,</w:t>
      </w:r>
    </w:p>
    <w:p w:rsidR="003D3BE9" w:rsidRDefault="003D3BE9">
      <w:pPr>
        <w:numPr>
          <w:ilvl w:val="0"/>
          <w:numId w:val="28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serwis bram: wjazdowej, garażowych Podstacji Pogotowia Ratunkowego i magazynowych.</w:t>
      </w:r>
    </w:p>
    <w:p w:rsidR="003D3BE9" w:rsidRDefault="003D3BE9">
      <w:pPr>
        <w:jc w:val="both"/>
        <w:rPr>
          <w:rFonts w:cs="Times New Roman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Realizację zadań z zakresu utrzymania obiektu realizowano zgodnie z Rocznym Planem Zamówień Publicznych. W ramach inwentaryzacji składników majątku dokonano inwentaryzacji gruntów, wartości niematerialnych i prawnych oraz trudno dostępnych oglądowi środków trwałych poprzez powołane komisje. Dokonano przeglądów i pomiarów instalacji wraz urządzeniami niezbędnymi do prawidłowego funkcjonowania obiektu zgodnie z przepisami ustawy Prawo Budowlane.</w:t>
      </w:r>
    </w:p>
    <w:p w:rsidR="003D3BE9" w:rsidRDefault="003D3BE9">
      <w:pPr>
        <w:jc w:val="both"/>
        <w:rPr>
          <w:rFonts w:cs="Times New Roman"/>
          <w:sz w:val="20"/>
          <w:szCs w:val="20"/>
        </w:rPr>
      </w:pPr>
    </w:p>
    <w:p w:rsidR="003D3BE9" w:rsidRDefault="003D3BE9">
      <w:pPr>
        <w:pStyle w:val="Heading3"/>
        <w:rPr>
          <w:sz w:val="22"/>
          <w:szCs w:val="22"/>
        </w:rPr>
      </w:pPr>
      <w:r>
        <w:rPr>
          <w:sz w:val="22"/>
          <w:szCs w:val="22"/>
        </w:rPr>
        <w:t>INSPEKCJA</w:t>
      </w:r>
    </w:p>
    <w:p w:rsidR="003D3BE9" w:rsidRDefault="003D3BE9">
      <w:pPr>
        <w:pStyle w:val="11Trescpisma"/>
        <w:spacing w:before="0"/>
      </w:pPr>
      <w:r>
        <w:t>Realizacja zadań wynikających z art. 50a i 130a ustawy Prawo o ruchu drogowym:</w:t>
      </w:r>
    </w:p>
    <w:p w:rsidR="003D3BE9" w:rsidRDefault="003D3BE9">
      <w:pPr>
        <w:ind w:left="360"/>
        <w:jc w:val="both"/>
        <w:rPr>
          <w:rFonts w:ascii="Verdana" w:hAnsi="Verdana" w:cs="Verdana"/>
          <w:sz w:val="20"/>
          <w:szCs w:val="20"/>
        </w:rPr>
      </w:pP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74 pojazdy przejęte na własność Gminy Wrocław na podstawie art. 50a ustawy Prawo o ruchu drogowym;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78 pojazdów przejętych na własność Gminy Wrocław na podstawie art. 130a ustawy Prawo o ruchu drogowym;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152 pojazdy przekazane do stacji demontażu;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62 pojazdy wycenione przez rzeczoznawców;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61 spraw skierowanych do Wydziału Prawnego w celu przygotowania wniosku do sądu o orzeczenie przepadku pojazdu na rzecz Gminy Wrocław;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90 wysłanych wezwań do zapłaty za usunięcie pojazdu z art. 50a ustawy Prawo o ruchu drogowym;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24 rozpatrzone wnioski;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579 pism wychodzących;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718 pism przychodzących;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wprowadzenie druku opłaty za odstąpienie od usunięcia pojazdu;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przygotowanie projektu uchwały w sprawie opłat za usunięcie i przechowywanie pojazdów.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wydatki związane z usuwaniem i przechowywaniem pojazdów  – 671.363,97 zł;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wydatki związane z wyceną rzeczoznawców samochodowych   -     9.151,20 zł;                                                                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dochody uzyskane z usuwania i przechowywania pojazdów    – 1.352.898,00 zł;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dochody uzyskane z tytułu odpłatnego przekazywania pojazdów do demontażu - 21.075,10 zł;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dochody - dotacja otrzymana z Narodowego Funduszu Ochrony Środowiska i Gospodarki Wodnej z tytułu zbierania pojazdów wycofanych z eksploatacji - 576.000,00 zł</w:t>
      </w:r>
    </w:p>
    <w:p w:rsidR="003D3BE9" w:rsidRDefault="003D3BE9">
      <w:pPr>
        <w:numPr>
          <w:ilvl w:val="0"/>
          <w:numId w:val="25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13 prowadzonych postępowań administracyjnych zakończonych wydaniem decyzji w sprawie ustalenia kosztów usunięcia i przechowywania pojazdów na kwotę </w:t>
      </w:r>
      <w:r>
        <w:rPr>
          <w:rFonts w:ascii="Arial" w:hAnsi="Arial" w:cs="Arial"/>
          <w:sz w:val="20"/>
          <w:szCs w:val="20"/>
        </w:rPr>
        <w:t>28. 848,93 zł</w:t>
      </w:r>
      <w:r>
        <w:rPr>
          <w:rFonts w:ascii="Verdana" w:hAnsi="Verdana" w:cs="Verdana"/>
          <w:sz w:val="20"/>
          <w:szCs w:val="20"/>
        </w:rPr>
        <w:t>;</w:t>
      </w:r>
    </w:p>
    <w:p w:rsidR="003D3BE9" w:rsidRDefault="003D3BE9">
      <w:pPr>
        <w:pStyle w:val="verdana"/>
        <w:jc w:val="both"/>
      </w:pPr>
    </w:p>
    <w:p w:rsidR="003D3BE9" w:rsidRDefault="003D3BE9">
      <w:pPr>
        <w:rPr>
          <w:rFonts w:ascii="Verdana" w:hAnsi="Verdana" w:cs="Verdana"/>
          <w:sz w:val="20"/>
          <w:szCs w:val="20"/>
        </w:rPr>
      </w:pPr>
    </w:p>
    <w:p w:rsidR="003D3BE9" w:rsidRDefault="003D3BE9">
      <w:pPr>
        <w:rPr>
          <w:rFonts w:ascii="Verdana" w:hAnsi="Verdana" w:cs="Verdana"/>
          <w:sz w:val="20"/>
          <w:szCs w:val="20"/>
        </w:rPr>
        <w:sectPr w:rsidR="003D3BE9">
          <w:footerReference w:type="default" r:id="rId23"/>
          <w:type w:val="oddPage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Y="158"/>
        <w:tblW w:w="15140" w:type="dxa"/>
        <w:tblCellMar>
          <w:left w:w="0" w:type="dxa"/>
          <w:right w:w="0" w:type="dxa"/>
        </w:tblCellMar>
        <w:tblLook w:val="0000"/>
      </w:tblPr>
      <w:tblGrid>
        <w:gridCol w:w="1580"/>
        <w:gridCol w:w="940"/>
        <w:gridCol w:w="740"/>
        <w:gridCol w:w="720"/>
        <w:gridCol w:w="960"/>
        <w:gridCol w:w="980"/>
        <w:gridCol w:w="980"/>
        <w:gridCol w:w="960"/>
        <w:gridCol w:w="960"/>
        <w:gridCol w:w="760"/>
        <w:gridCol w:w="960"/>
        <w:gridCol w:w="960"/>
        <w:gridCol w:w="960"/>
        <w:gridCol w:w="960"/>
        <w:gridCol w:w="960"/>
        <w:gridCol w:w="760"/>
      </w:tblGrid>
      <w:tr w:rsidR="003D3BE9">
        <w:trPr>
          <w:trHeight w:val="510"/>
        </w:trPr>
        <w:tc>
          <w:tcPr>
            <w:tcW w:w="1514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pStyle w:val="Heading1"/>
              <w:rPr>
                <w:rFonts w:eastAsia="Arial Unicode MS"/>
              </w:rPr>
            </w:pPr>
            <w:r>
              <w:t xml:space="preserve">DECYZJE ADMINISTRACYJNE WYDANE PRZEZ KOMÓRKĘ ORGANIZACYJNĄ URZĘDU  /  MIEJSKĄ JEDNOSTKĘ ORGANIZACYJNĄ </w:t>
            </w:r>
          </w:p>
        </w:tc>
      </w:tr>
      <w:tr w:rsidR="003D3BE9">
        <w:trPr>
          <w:cantSplit/>
          <w:trHeight w:val="1050"/>
        </w:trPr>
        <w:tc>
          <w:tcPr>
            <w:tcW w:w="1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komórki organizacyjnej Urzędu/miejskiej jednostki organizacyjnej Gminy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Ilość wydanych decyzji ogółem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Ilość decyzji zaskarżonych</w:t>
            </w:r>
          </w:p>
        </w:tc>
        <w:tc>
          <w:tcPr>
            <w:tcW w:w="56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Ilość decyzji zaskarżonych                                                                            do Samorządowego Kolegium Odwoławczego</w:t>
            </w:r>
          </w:p>
        </w:tc>
        <w:tc>
          <w:tcPr>
            <w:tcW w:w="556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Ilość decyzji zaskarżonych                                                             do Wojewody</w:t>
            </w:r>
          </w:p>
        </w:tc>
      </w:tr>
      <w:tr w:rsidR="003D3BE9">
        <w:trPr>
          <w:cantSplit/>
          <w:trHeight w:val="2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6"/>
                <w:szCs w:val="16"/>
              </w:rPr>
            </w:pP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4"/>
                <w:szCs w:val="14"/>
              </w:rPr>
            </w:pPr>
            <w:r>
              <w:rPr>
                <w:rFonts w:ascii="Verdana" w:hAnsi="Verdana" w:cs="Verdana"/>
                <w:sz w:val="14"/>
                <w:szCs w:val="14"/>
              </w:rPr>
              <w:t>ogółem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4"/>
                <w:szCs w:val="14"/>
              </w:rPr>
            </w:pPr>
            <w:r>
              <w:rPr>
                <w:rFonts w:ascii="Verdana" w:hAnsi="Verdana" w:cs="Verdana"/>
                <w:sz w:val="14"/>
                <w:szCs w:val="14"/>
              </w:rPr>
              <w:t>udział%</w:t>
            </w:r>
          </w:p>
        </w:tc>
        <w:tc>
          <w:tcPr>
            <w:tcW w:w="5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Udział procentowy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Udział procentowy</w:t>
            </w:r>
          </w:p>
        </w:tc>
      </w:tr>
      <w:tr w:rsidR="003D3BE9">
        <w:trPr>
          <w:cantSplit/>
          <w:trHeight w:val="8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utrzymanych    w mocy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      i zmienionych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i przekazanych do ponownego rozpoznania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i umarzających postępowanie I instancji lub odwoławcze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stwierdzenie nieważności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54" w:type="dxa"/>
              <w:bottom w:w="0" w:type="dxa"/>
              <w:right w:w="13" w:type="dxa"/>
            </w:tcMar>
            <w:vAlign w:val="center"/>
          </w:tcPr>
          <w:p w:rsidR="003D3BE9" w:rsidRDefault="003D3BE9" w:rsidP="003D3BE9">
            <w:pPr>
              <w:ind w:firstLineChars="100" w:firstLine="31680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inne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utrzymanych    w mocy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     i zmienionych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i przekazanych do ponownego rozpoznania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uchylonych i umarzających postępowanie I instancji lub odwoławcze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stwierdzenie nieważności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12"/>
                <w:szCs w:val="12"/>
              </w:rPr>
            </w:pPr>
            <w:r>
              <w:rPr>
                <w:rFonts w:ascii="Verdana" w:hAnsi="Verdana" w:cs="Verdana"/>
                <w:sz w:val="12"/>
                <w:szCs w:val="12"/>
              </w:rPr>
              <w:t>inne</w:t>
            </w:r>
          </w:p>
        </w:tc>
      </w:tr>
      <w:tr w:rsidR="003D3BE9">
        <w:trPr>
          <w:cantSplit/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WBZ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2690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0,04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 0,04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  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jc w:val="center"/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  <w:tr w:rsidR="003D3BE9">
        <w:trPr>
          <w:cantSplit/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3D3BE9" w:rsidRDefault="003D3BE9">
            <w:pPr>
              <w:rPr>
                <w:rFonts w:ascii="Verdana" w:eastAsia="Arial Unicode MS" w:hAnsi="Verdana" w:cs="Times New Roman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</w:tbl>
    <w:p w:rsidR="003D3BE9" w:rsidRDefault="003D3BE9">
      <w:pPr>
        <w:rPr>
          <w:rFonts w:cs="Times New Roman"/>
        </w:rPr>
      </w:pPr>
    </w:p>
    <w:p w:rsidR="003D3BE9" w:rsidRDefault="003D3BE9">
      <w:pPr>
        <w:rPr>
          <w:rFonts w:cs="Times New Roman"/>
        </w:rPr>
      </w:pPr>
    </w:p>
    <w:sectPr w:rsidR="003D3BE9" w:rsidSect="003D3BE9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BE9" w:rsidRDefault="003D3BE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3D3BE9" w:rsidRDefault="003D3BE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BE9" w:rsidRDefault="003D3BE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3D3BE9" w:rsidRDefault="003D3B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BE9" w:rsidRDefault="003D3BE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3D3BE9" w:rsidRDefault="003D3BE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E63C28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>
    <w:nsid w:val="03AB5EF1"/>
    <w:multiLevelType w:val="hybridMultilevel"/>
    <w:tmpl w:val="13F05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5D735EC"/>
    <w:multiLevelType w:val="hybridMultilevel"/>
    <w:tmpl w:val="EDFC8E42"/>
    <w:lvl w:ilvl="0" w:tplc="A1C696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F42266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08194702"/>
    <w:multiLevelType w:val="hybridMultilevel"/>
    <w:tmpl w:val="DC66B992"/>
    <w:lvl w:ilvl="0" w:tplc="E8F48478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085A0CDC"/>
    <w:multiLevelType w:val="hybridMultilevel"/>
    <w:tmpl w:val="1B306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A0F0217"/>
    <w:multiLevelType w:val="hybridMultilevel"/>
    <w:tmpl w:val="F06E6510"/>
    <w:lvl w:ilvl="0" w:tplc="9BCA2E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A905EB9"/>
    <w:multiLevelType w:val="hybridMultilevel"/>
    <w:tmpl w:val="BA167634"/>
    <w:lvl w:ilvl="0" w:tplc="6D6AFC9C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</w:rPr>
    </w:lvl>
  </w:abstractNum>
  <w:abstractNum w:abstractNumId="7">
    <w:nsid w:val="0CE266F9"/>
    <w:multiLevelType w:val="hybridMultilevel"/>
    <w:tmpl w:val="5B903100"/>
    <w:lvl w:ilvl="0" w:tplc="691027FE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913"/>
        </w:tabs>
        <w:ind w:left="2913" w:hanging="180"/>
      </w:pPr>
      <w:rPr>
        <w:rFonts w:ascii="Times New Roman" w:hAnsi="Times New Roman" w:cs="Times New Roman"/>
      </w:rPr>
    </w:lvl>
    <w:lvl w:ilvl="3" w:tplc="AE22C33E">
      <w:start w:val="5"/>
      <w:numFmt w:val="decimal"/>
      <w:lvlText w:val="%4."/>
      <w:lvlJc w:val="left"/>
      <w:pPr>
        <w:tabs>
          <w:tab w:val="num" w:pos="3633"/>
        </w:tabs>
        <w:ind w:left="3633" w:hanging="360"/>
      </w:pPr>
      <w:rPr>
        <w:rFonts w:ascii="Times New Roman" w:hAnsi="Times New Roman" w:cs="Times New Roman" w:hint="default"/>
      </w:rPr>
    </w:lvl>
    <w:lvl w:ilvl="4" w:tplc="1766289E">
      <w:numFmt w:val="bullet"/>
      <w:lvlText w:val="-"/>
      <w:lvlJc w:val="left"/>
      <w:pPr>
        <w:tabs>
          <w:tab w:val="num" w:pos="4353"/>
        </w:tabs>
        <w:ind w:left="4353" w:hanging="360"/>
      </w:pPr>
      <w:rPr>
        <w:rFonts w:ascii="Times New Roman" w:eastAsia="Times New Roman" w:hAnsi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5073"/>
        </w:tabs>
        <w:ind w:left="507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93"/>
        </w:tabs>
        <w:ind w:left="579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513"/>
        </w:tabs>
        <w:ind w:left="651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33"/>
        </w:tabs>
        <w:ind w:left="7233" w:hanging="180"/>
      </w:pPr>
      <w:rPr>
        <w:rFonts w:ascii="Times New Roman" w:hAnsi="Times New Roman" w:cs="Times New Roman"/>
      </w:rPr>
    </w:lvl>
  </w:abstractNum>
  <w:abstractNum w:abstractNumId="8">
    <w:nsid w:val="0ED53F79"/>
    <w:multiLevelType w:val="hybridMultilevel"/>
    <w:tmpl w:val="38A463D4"/>
    <w:lvl w:ilvl="0" w:tplc="AC023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93E83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>
    <w:nsid w:val="1404034C"/>
    <w:multiLevelType w:val="hybridMultilevel"/>
    <w:tmpl w:val="07B8A0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168939CC"/>
    <w:multiLevelType w:val="hybridMultilevel"/>
    <w:tmpl w:val="A6407700"/>
    <w:lvl w:ilvl="0" w:tplc="7D744952">
      <w:start w:val="1"/>
      <w:numFmt w:val="decimal"/>
      <w:lvlText w:val="%1)"/>
      <w:lvlJc w:val="left"/>
      <w:pPr>
        <w:tabs>
          <w:tab w:val="num" w:pos="1578"/>
        </w:tabs>
        <w:ind w:left="1578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A66E441E">
      <w:start w:val="7"/>
      <w:numFmt w:val="decimal"/>
      <w:lvlText w:val="%3."/>
      <w:lvlJc w:val="left"/>
      <w:pPr>
        <w:tabs>
          <w:tab w:val="num" w:pos="3303"/>
        </w:tabs>
        <w:ind w:left="3303" w:hanging="465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738"/>
        </w:tabs>
        <w:ind w:left="373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458"/>
        </w:tabs>
        <w:ind w:left="445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178"/>
        </w:tabs>
        <w:ind w:left="517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898"/>
        </w:tabs>
        <w:ind w:left="589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618"/>
        </w:tabs>
        <w:ind w:left="661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338"/>
        </w:tabs>
        <w:ind w:left="7338" w:hanging="180"/>
      </w:pPr>
      <w:rPr>
        <w:rFonts w:ascii="Times New Roman" w:hAnsi="Times New Roman" w:cs="Times New Roman"/>
      </w:rPr>
    </w:lvl>
  </w:abstractNum>
  <w:abstractNum w:abstractNumId="11">
    <w:nsid w:val="16F8692E"/>
    <w:multiLevelType w:val="hybridMultilevel"/>
    <w:tmpl w:val="E8828898"/>
    <w:lvl w:ilvl="0" w:tplc="6A5EF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73200B2"/>
    <w:multiLevelType w:val="hybridMultilevel"/>
    <w:tmpl w:val="CDA86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FB630B7"/>
    <w:multiLevelType w:val="hybridMultilevel"/>
    <w:tmpl w:val="7E3AD420"/>
    <w:lvl w:ilvl="0" w:tplc="4F26D8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0174E2D"/>
    <w:multiLevelType w:val="hybridMultilevel"/>
    <w:tmpl w:val="6A469646"/>
    <w:lvl w:ilvl="0" w:tplc="6E0A15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75107A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D50AC"/>
    <w:multiLevelType w:val="hybridMultilevel"/>
    <w:tmpl w:val="D0CEE816"/>
    <w:lvl w:ilvl="0" w:tplc="5EC2A6F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1FD234D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25E4493D"/>
    <w:multiLevelType w:val="hybridMultilevel"/>
    <w:tmpl w:val="6EA4FEE0"/>
    <w:lvl w:ilvl="0" w:tplc="00228B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2CF7285A"/>
    <w:multiLevelType w:val="hybridMultilevel"/>
    <w:tmpl w:val="6BF4DB9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C068009C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2D096D56"/>
    <w:multiLevelType w:val="hybridMultilevel"/>
    <w:tmpl w:val="9BD6E548"/>
    <w:lvl w:ilvl="0" w:tplc="E8F4847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384"/>
        </w:tabs>
        <w:ind w:left="3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104"/>
        </w:tabs>
        <w:ind w:left="110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24"/>
        </w:tabs>
        <w:ind w:left="182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44"/>
        </w:tabs>
        <w:ind w:left="25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64"/>
        </w:tabs>
        <w:ind w:left="326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84"/>
        </w:tabs>
        <w:ind w:left="398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704"/>
        </w:tabs>
        <w:ind w:left="47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24"/>
        </w:tabs>
        <w:ind w:left="5424" w:hanging="360"/>
      </w:pPr>
      <w:rPr>
        <w:rFonts w:ascii="Wingdings" w:hAnsi="Wingdings" w:cs="Wingdings" w:hint="default"/>
      </w:rPr>
    </w:lvl>
  </w:abstractNum>
  <w:abstractNum w:abstractNumId="19">
    <w:nsid w:val="30753733"/>
    <w:multiLevelType w:val="hybridMultilevel"/>
    <w:tmpl w:val="C3AA04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0CF2846"/>
    <w:multiLevelType w:val="hybridMultilevel"/>
    <w:tmpl w:val="314C958A"/>
    <w:lvl w:ilvl="0" w:tplc="AC92E4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>
    <w:nsid w:val="331277F6"/>
    <w:multiLevelType w:val="hybridMultilevel"/>
    <w:tmpl w:val="C124F6FC"/>
    <w:lvl w:ilvl="0" w:tplc="5F1ABE14">
      <w:start w:val="1"/>
      <w:numFmt w:val="bullet"/>
      <w:lvlText w:val=""/>
      <w:lvlJc w:val="left"/>
      <w:pPr>
        <w:tabs>
          <w:tab w:val="num" w:pos="907"/>
        </w:tabs>
        <w:ind w:left="907" w:hanging="397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332F4FBC"/>
    <w:multiLevelType w:val="hybridMultilevel"/>
    <w:tmpl w:val="D272FE50"/>
    <w:lvl w:ilvl="0" w:tplc="3398BFC0">
      <w:start w:val="1"/>
      <w:numFmt w:val="decimal"/>
      <w:lvlText w:val="%1)"/>
      <w:lvlJc w:val="left"/>
      <w:pPr>
        <w:tabs>
          <w:tab w:val="num" w:pos="1485"/>
        </w:tabs>
        <w:ind w:left="1485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ascii="Times New Roman" w:hAnsi="Times New Roman" w:cs="Times New Roman"/>
      </w:rPr>
    </w:lvl>
  </w:abstractNum>
  <w:abstractNum w:abstractNumId="23">
    <w:nsid w:val="35984107"/>
    <w:multiLevelType w:val="hybridMultilevel"/>
    <w:tmpl w:val="970045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4">
    <w:nsid w:val="376E4761"/>
    <w:multiLevelType w:val="hybridMultilevel"/>
    <w:tmpl w:val="E2DCD316"/>
    <w:lvl w:ilvl="0" w:tplc="3B5CB7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39292A3F"/>
    <w:multiLevelType w:val="hybridMultilevel"/>
    <w:tmpl w:val="D2D00F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904E2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19CEE5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>
    <w:nsid w:val="3BE62E50"/>
    <w:multiLevelType w:val="hybridMultilevel"/>
    <w:tmpl w:val="644E5E02"/>
    <w:lvl w:ilvl="0" w:tplc="FF10A6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7">
    <w:nsid w:val="3C250940"/>
    <w:multiLevelType w:val="hybridMultilevel"/>
    <w:tmpl w:val="C044A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3CB369A7"/>
    <w:multiLevelType w:val="hybridMultilevel"/>
    <w:tmpl w:val="9DA69516"/>
    <w:lvl w:ilvl="0" w:tplc="B5A6579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9">
    <w:nsid w:val="3DB4671F"/>
    <w:multiLevelType w:val="hybridMultilevel"/>
    <w:tmpl w:val="60B6B39A"/>
    <w:lvl w:ilvl="0" w:tplc="7CE860E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3BA6BA7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B5CCE65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0">
    <w:nsid w:val="4332140A"/>
    <w:multiLevelType w:val="hybridMultilevel"/>
    <w:tmpl w:val="0FAA5560"/>
    <w:lvl w:ilvl="0" w:tplc="00228B16"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31">
    <w:nsid w:val="43B36A04"/>
    <w:multiLevelType w:val="hybridMultilevel"/>
    <w:tmpl w:val="D2D00F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119CEE5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2">
    <w:nsid w:val="445A620E"/>
    <w:multiLevelType w:val="hybridMultilevel"/>
    <w:tmpl w:val="155CCC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3">
    <w:nsid w:val="447A36D9"/>
    <w:multiLevelType w:val="hybridMultilevel"/>
    <w:tmpl w:val="695C6022"/>
    <w:lvl w:ilvl="0" w:tplc="9D148CD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ascii="Times New Roman" w:hAnsi="Times New Roman" w:cs="Times New Roman"/>
      </w:rPr>
    </w:lvl>
  </w:abstractNum>
  <w:abstractNum w:abstractNumId="34">
    <w:nsid w:val="48762133"/>
    <w:multiLevelType w:val="hybridMultilevel"/>
    <w:tmpl w:val="CADE4C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4B64037E"/>
    <w:multiLevelType w:val="hybridMultilevel"/>
    <w:tmpl w:val="774E7026"/>
    <w:lvl w:ilvl="0" w:tplc="AC023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3998E9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BAAA2B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C8005B0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4CD133CC"/>
    <w:multiLevelType w:val="hybridMultilevel"/>
    <w:tmpl w:val="C0DA0E5C"/>
    <w:lvl w:ilvl="0" w:tplc="A1D0439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4E596964"/>
    <w:multiLevelType w:val="hybridMultilevel"/>
    <w:tmpl w:val="FD6CCA18"/>
    <w:lvl w:ilvl="0" w:tplc="704A45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96ACE2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B9628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4A1684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E5CEC6B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4EA7E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D3AC088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322C3C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1304F8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8">
    <w:nsid w:val="4F8979BE"/>
    <w:multiLevelType w:val="hybridMultilevel"/>
    <w:tmpl w:val="74926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4FBE6AFA"/>
    <w:multiLevelType w:val="hybridMultilevel"/>
    <w:tmpl w:val="D2D00F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119CEE5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0">
    <w:nsid w:val="5388457E"/>
    <w:multiLevelType w:val="hybridMultilevel"/>
    <w:tmpl w:val="37AAE642"/>
    <w:lvl w:ilvl="0" w:tplc="890E88B0">
      <w:start w:val="1"/>
      <w:numFmt w:val="upperRoman"/>
      <w:lvlText w:val="%1."/>
      <w:lvlJc w:val="left"/>
      <w:pPr>
        <w:tabs>
          <w:tab w:val="num" w:pos="2700"/>
        </w:tabs>
        <w:ind w:left="270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ascii="Times New Roman" w:hAnsi="Times New Roman" w:cs="Times New Roman"/>
      </w:rPr>
    </w:lvl>
  </w:abstractNum>
  <w:abstractNum w:abstractNumId="41">
    <w:nsid w:val="54C70C2F"/>
    <w:multiLevelType w:val="hybridMultilevel"/>
    <w:tmpl w:val="29B2FDF8"/>
    <w:lvl w:ilvl="0" w:tplc="041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42">
    <w:nsid w:val="55141DBD"/>
    <w:multiLevelType w:val="hybridMultilevel"/>
    <w:tmpl w:val="201292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59BF415C"/>
    <w:multiLevelType w:val="hybridMultilevel"/>
    <w:tmpl w:val="50D429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>
    <w:nsid w:val="5A802E56"/>
    <w:multiLevelType w:val="hybridMultilevel"/>
    <w:tmpl w:val="AB820502"/>
    <w:lvl w:ilvl="0" w:tplc="BA6659B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1" w:tplc="662E70D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5">
    <w:nsid w:val="5AA361BB"/>
    <w:multiLevelType w:val="hybridMultilevel"/>
    <w:tmpl w:val="77207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5EFB1B1D"/>
    <w:multiLevelType w:val="hybridMultilevel"/>
    <w:tmpl w:val="3EEE798A"/>
    <w:lvl w:ilvl="0" w:tplc="414C5D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7">
    <w:nsid w:val="613B6FE0"/>
    <w:multiLevelType w:val="hybridMultilevel"/>
    <w:tmpl w:val="6A907CF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48">
    <w:nsid w:val="66576D9E"/>
    <w:multiLevelType w:val="hybridMultilevel"/>
    <w:tmpl w:val="F8FA3D28"/>
    <w:lvl w:ilvl="0" w:tplc="D14032B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49">
    <w:nsid w:val="6AAC26F4"/>
    <w:multiLevelType w:val="hybridMultilevel"/>
    <w:tmpl w:val="4A2CDF52"/>
    <w:lvl w:ilvl="0" w:tplc="1B40BE66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2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50">
    <w:nsid w:val="6B66057F"/>
    <w:multiLevelType w:val="hybridMultilevel"/>
    <w:tmpl w:val="EC668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>
    <w:nsid w:val="6BAA1BAB"/>
    <w:multiLevelType w:val="hybridMultilevel"/>
    <w:tmpl w:val="769264DA"/>
    <w:lvl w:ilvl="0" w:tplc="CD56EB5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2">
    <w:nsid w:val="6BB83737"/>
    <w:multiLevelType w:val="hybridMultilevel"/>
    <w:tmpl w:val="ABDCB7A2"/>
    <w:lvl w:ilvl="0" w:tplc="FB4410FA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6D093AB4"/>
    <w:multiLevelType w:val="hybridMultilevel"/>
    <w:tmpl w:val="DB4ECDB8"/>
    <w:lvl w:ilvl="0" w:tplc="19BED27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6D1F1BBF"/>
    <w:multiLevelType w:val="hybridMultilevel"/>
    <w:tmpl w:val="E0ACE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5">
    <w:nsid w:val="6FF14938"/>
    <w:multiLevelType w:val="hybridMultilevel"/>
    <w:tmpl w:val="7706BB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3A391E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C7A6B21C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6">
    <w:nsid w:val="71581B07"/>
    <w:multiLevelType w:val="hybridMultilevel"/>
    <w:tmpl w:val="C4B4AE30"/>
    <w:lvl w:ilvl="0" w:tplc="5F0CE5A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73140893"/>
    <w:multiLevelType w:val="hybridMultilevel"/>
    <w:tmpl w:val="22624DB0"/>
    <w:lvl w:ilvl="0" w:tplc="E8F48478">
      <w:start w:val="1"/>
      <w:numFmt w:val="bullet"/>
      <w:lvlText w:val="-"/>
      <w:lvlJc w:val="left"/>
      <w:pPr>
        <w:tabs>
          <w:tab w:val="num" w:pos="1416"/>
        </w:tabs>
        <w:ind w:left="141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73AF4917"/>
    <w:multiLevelType w:val="hybridMultilevel"/>
    <w:tmpl w:val="34DA1C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74AD6B81"/>
    <w:multiLevelType w:val="hybridMultilevel"/>
    <w:tmpl w:val="6E425C84"/>
    <w:lvl w:ilvl="0" w:tplc="C9CC31F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0">
    <w:nsid w:val="772E620C"/>
    <w:multiLevelType w:val="hybridMultilevel"/>
    <w:tmpl w:val="7B18B35C"/>
    <w:lvl w:ilvl="0" w:tplc="041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61">
    <w:nsid w:val="7C57630A"/>
    <w:multiLevelType w:val="hybridMultilevel"/>
    <w:tmpl w:val="BC8AA4A0"/>
    <w:lvl w:ilvl="0" w:tplc="E44843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F6C8FDB4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2">
    <w:nsid w:val="7D1D0AD3"/>
    <w:multiLevelType w:val="hybridMultilevel"/>
    <w:tmpl w:val="7C0C5DDC"/>
    <w:lvl w:ilvl="0" w:tplc="161EDF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0"/>
  </w:num>
  <w:num w:numId="3">
    <w:abstractNumId w:val="58"/>
  </w:num>
  <w:num w:numId="4">
    <w:abstractNumId w:val="60"/>
  </w:num>
  <w:num w:numId="5">
    <w:abstractNumId w:val="19"/>
  </w:num>
  <w:num w:numId="6">
    <w:abstractNumId w:val="45"/>
  </w:num>
  <w:num w:numId="7">
    <w:abstractNumId w:val="50"/>
  </w:num>
  <w:num w:numId="8">
    <w:abstractNumId w:val="27"/>
  </w:num>
  <w:num w:numId="9">
    <w:abstractNumId w:val="54"/>
  </w:num>
  <w:num w:numId="10">
    <w:abstractNumId w:val="23"/>
  </w:num>
  <w:num w:numId="11">
    <w:abstractNumId w:val="1"/>
  </w:num>
  <w:num w:numId="12">
    <w:abstractNumId w:val="38"/>
  </w:num>
  <w:num w:numId="13">
    <w:abstractNumId w:val="4"/>
  </w:num>
  <w:num w:numId="1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36"/>
  </w:num>
  <w:num w:numId="18">
    <w:abstractNumId w:val="29"/>
  </w:num>
  <w:num w:numId="19">
    <w:abstractNumId w:val="35"/>
  </w:num>
  <w:num w:numId="20">
    <w:abstractNumId w:val="55"/>
  </w:num>
  <w:num w:numId="21">
    <w:abstractNumId w:val="17"/>
  </w:num>
  <w:num w:numId="22">
    <w:abstractNumId w:val="40"/>
  </w:num>
  <w:num w:numId="23">
    <w:abstractNumId w:val="49"/>
  </w:num>
  <w:num w:numId="24">
    <w:abstractNumId w:val="32"/>
  </w:num>
  <w:num w:numId="25">
    <w:abstractNumId w:val="56"/>
  </w:num>
  <w:num w:numId="26">
    <w:abstractNumId w:val="20"/>
  </w:num>
  <w:num w:numId="27">
    <w:abstractNumId w:val="16"/>
  </w:num>
  <w:num w:numId="28">
    <w:abstractNumId w:val="30"/>
  </w:num>
  <w:num w:numId="29">
    <w:abstractNumId w:val="6"/>
  </w:num>
  <w:num w:numId="30">
    <w:abstractNumId w:val="7"/>
  </w:num>
  <w:num w:numId="31">
    <w:abstractNumId w:val="22"/>
  </w:num>
  <w:num w:numId="32">
    <w:abstractNumId w:val="43"/>
  </w:num>
  <w:num w:numId="33">
    <w:abstractNumId w:val="41"/>
  </w:num>
  <w:num w:numId="34">
    <w:abstractNumId w:val="34"/>
  </w:num>
  <w:num w:numId="35">
    <w:abstractNumId w:val="21"/>
  </w:num>
  <w:num w:numId="36">
    <w:abstractNumId w:val="62"/>
  </w:num>
  <w:num w:numId="37">
    <w:abstractNumId w:val="57"/>
  </w:num>
  <w:num w:numId="38">
    <w:abstractNumId w:val="18"/>
  </w:num>
  <w:num w:numId="39">
    <w:abstractNumId w:val="25"/>
  </w:num>
  <w:num w:numId="40">
    <w:abstractNumId w:val="5"/>
  </w:num>
  <w:num w:numId="41">
    <w:abstractNumId w:val="3"/>
  </w:num>
  <w:num w:numId="42">
    <w:abstractNumId w:val="48"/>
  </w:num>
  <w:num w:numId="43">
    <w:abstractNumId w:val="33"/>
  </w:num>
  <w:num w:numId="4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2"/>
  </w:num>
  <w:num w:numId="46">
    <w:abstractNumId w:val="9"/>
  </w:num>
  <w:num w:numId="4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1"/>
  </w:num>
  <w:num w:numId="49">
    <w:abstractNumId w:val="59"/>
  </w:num>
  <w:num w:numId="50">
    <w:abstractNumId w:val="46"/>
  </w:num>
  <w:num w:numId="51">
    <w:abstractNumId w:val="14"/>
  </w:num>
  <w:num w:numId="52">
    <w:abstractNumId w:val="53"/>
  </w:num>
  <w:num w:numId="53">
    <w:abstractNumId w:val="44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1"/>
  </w:num>
  <w:num w:numId="55">
    <w:abstractNumId w:val="42"/>
  </w:num>
  <w:num w:numId="56">
    <w:abstractNumId w:val="13"/>
  </w:num>
  <w:num w:numId="57">
    <w:abstractNumId w:val="24"/>
  </w:num>
  <w:num w:numId="58">
    <w:abstractNumId w:val="37"/>
  </w:num>
  <w:num w:numId="5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2"/>
  </w:num>
  <w:num w:numId="61">
    <w:abstractNumId w:val="8"/>
  </w:num>
  <w:num w:numId="62">
    <w:abstractNumId w:val="2"/>
  </w:num>
  <w:num w:numId="63">
    <w:abstractNumId w:val="39"/>
  </w:num>
  <w:num w:numId="64">
    <w:abstractNumId w:val="31"/>
  </w:num>
  <w:num w:numId="65">
    <w:abstractNumId w:val="47"/>
  </w:num>
  <w:num w:numId="6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  <w:sz w:val="22"/>
          <w:szCs w:val="22"/>
        </w:rPr>
      </w:lvl>
    </w:lvlOverride>
  </w:num>
  <w:num w:numId="6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4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3BE9"/>
    <w:rsid w:val="003D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head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ind w:left="15"/>
      <w:jc w:val="center"/>
      <w:outlineLvl w:val="0"/>
    </w:pPr>
    <w:rPr>
      <w:rFonts w:ascii="Arial" w:hAnsi="Arial" w:cs="Arial"/>
      <w:b/>
      <w:bCs/>
      <w:color w:val="000000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both"/>
      <w:outlineLvl w:val="1"/>
    </w:pPr>
    <w:rPr>
      <w:rFonts w:ascii="Verdana" w:hAnsi="Verdana" w:cs="Verdana"/>
      <w:b/>
      <w:b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Verdana" w:hAnsi="Verdana" w:cs="Verdana"/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cs="Times New Roman"/>
      <w:b/>
      <w:b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outlineLvl w:val="5"/>
    </w:pPr>
    <w:rPr>
      <w:rFonts w:ascii="Verdana" w:hAnsi="Verdana" w:cs="Verdana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autoSpaceDE w:val="0"/>
      <w:autoSpaceDN w:val="0"/>
      <w:adjustRightInd w:val="0"/>
      <w:jc w:val="both"/>
      <w:outlineLvl w:val="6"/>
    </w:pPr>
    <w:rPr>
      <w:rFonts w:ascii="Verdana" w:hAnsi="Verdana" w:cs="Verdana"/>
      <w:b/>
      <w:bCs/>
      <w:color w:val="00000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pPr>
      <w:ind w:left="1440"/>
      <w:jc w:val="both"/>
    </w:pPr>
    <w:rPr>
      <w:rFonts w:ascii="Verdana" w:hAnsi="Verdana" w:cs="Verdana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pPr>
      <w:ind w:firstLine="708"/>
      <w:jc w:val="both"/>
    </w:pPr>
    <w:rPr>
      <w:rFonts w:ascii="Verdana" w:hAnsi="Verdana" w:cs="Verdana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paragraph" w:styleId="Subtitle">
    <w:name w:val="Subtitle"/>
    <w:basedOn w:val="Normal"/>
    <w:link w:val="SubtitleChar"/>
    <w:uiPriority w:val="99"/>
    <w:qFormat/>
    <w:pPr>
      <w:jc w:val="both"/>
    </w:pPr>
    <w:rPr>
      <w:rFonts w:ascii="Verdana" w:hAnsi="Verdana" w:cs="Verdana"/>
      <w:b/>
      <w:b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Cambria" w:hAnsi="Cambria" w:cs="Cambria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tabs>
        <w:tab w:val="num" w:pos="180"/>
      </w:tabs>
      <w:ind w:left="180"/>
      <w:jc w:val="both"/>
    </w:pPr>
    <w:rPr>
      <w:rFonts w:ascii="Verdana" w:hAnsi="Verdana" w:cs="Verdana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Pr>
      <w:rFonts w:ascii="Times New Roman" w:hAnsi="Times New Roman" w:cs="Times New Roman"/>
      <w:sz w:val="16"/>
      <w:szCs w:val="16"/>
    </w:rPr>
  </w:style>
  <w:style w:type="paragraph" w:styleId="BodyText3">
    <w:name w:val="Body Text 3"/>
    <w:basedOn w:val="Normal"/>
    <w:link w:val="BodyText3Char"/>
    <w:uiPriority w:val="99"/>
    <w:rPr>
      <w:rFonts w:ascii="Verdana" w:hAnsi="Verdana" w:cs="Verdana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Bezodstpw1">
    <w:name w:val="Bez odstępów1"/>
    <w:uiPriority w:val="99"/>
    <w:rPr>
      <w:rFonts w:ascii="Calibri" w:hAnsi="Calibri" w:cs="Calibri"/>
      <w:lang w:eastAsia="en-US"/>
    </w:rPr>
  </w:style>
  <w:style w:type="paragraph" w:styleId="CommentText">
    <w:name w:val="annotation text"/>
    <w:basedOn w:val="Normal"/>
    <w:link w:val="CommentTextChar"/>
    <w:uiPriority w:val="99"/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</w:rPr>
  </w:style>
  <w:style w:type="paragraph" w:customStyle="1" w:styleId="Akapitzlist1">
    <w:name w:val="Akapit z listą1"/>
    <w:basedOn w:val="Normal"/>
    <w:uiPriority w:val="9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  <w:rPr>
      <w:rFonts w:cs="Times New Roman"/>
    </w:rPr>
  </w:style>
  <w:style w:type="paragraph" w:styleId="BlockText">
    <w:name w:val="Block Text"/>
    <w:basedOn w:val="Normal"/>
    <w:uiPriority w:val="99"/>
    <w:pPr>
      <w:spacing w:after="257"/>
      <w:ind w:left="-180" w:right="72"/>
      <w:jc w:val="both"/>
    </w:pPr>
    <w:rPr>
      <w:rFonts w:eastAsia="Arial Unicode MS" w:cs="Times New Roman"/>
    </w:rPr>
  </w:style>
  <w:style w:type="paragraph" w:customStyle="1" w:styleId="11Trescpisma">
    <w:name w:val="@11.Tresc_pisma"/>
    <w:basedOn w:val="Normal"/>
    <w:uiPriority w:val="99"/>
    <w:pPr>
      <w:spacing w:before="180"/>
      <w:jc w:val="both"/>
    </w:pPr>
    <w:rPr>
      <w:rFonts w:ascii="Verdana" w:hAnsi="Verdana" w:cs="Verdana"/>
      <w:sz w:val="20"/>
      <w:szCs w:val="20"/>
    </w:rPr>
  </w:style>
  <w:style w:type="character" w:customStyle="1" w:styleId="FontStyle38">
    <w:name w:val="Font Style38"/>
    <w:uiPriority w:val="99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"/>
    <w:uiPriority w:val="99"/>
    <w:pPr>
      <w:widowControl w:val="0"/>
      <w:suppressAutoHyphens/>
      <w:autoSpaceDE w:val="0"/>
      <w:spacing w:line="276" w:lineRule="exact"/>
      <w:jc w:val="center"/>
    </w:pPr>
    <w:rPr>
      <w:rFonts w:cs="Times New Roman"/>
      <w:lang w:eastAsia="ar-SA"/>
    </w:rPr>
  </w:style>
  <w:style w:type="paragraph" w:customStyle="1" w:styleId="verdana">
    <w:name w:val="verdana"/>
    <w:basedOn w:val="Normal"/>
    <w:uiPriority w:val="99"/>
    <w:pPr>
      <w:ind w:left="360"/>
    </w:pPr>
    <w:rPr>
      <w:rFonts w:ascii="Verdana" w:hAnsi="Verdana" w:cs="Verdana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22</Pages>
  <Words>7983</Words>
  <Characters>-32766</Characters>
  <Application>Microsoft Office Outlook</Application>
  <DocSecurity>0</DocSecurity>
  <Lines>0</Lines>
  <Paragraphs>0</Paragraphs>
  <ScaleCrop>false</ScaleCrop>
  <Company>Urząd Miejski Wrocławia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roczne</dc:title>
  <dc:subject/>
  <dc:creator>umw</dc:creator>
  <cp:keywords/>
  <dc:description/>
  <cp:lastModifiedBy>WI</cp:lastModifiedBy>
  <cp:revision>2</cp:revision>
  <cp:lastPrinted>2013-02-07T13:40:00Z</cp:lastPrinted>
  <dcterms:created xsi:type="dcterms:W3CDTF">2015-01-13T12:21:00Z</dcterms:created>
  <dcterms:modified xsi:type="dcterms:W3CDTF">2015-01-13T12:21:00Z</dcterms:modified>
</cp:coreProperties>
</file>